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10.xml" ContentType="application/vnd.openxmlformats-officedocument.themeOverride+xml"/>
  <Override PartName="/word/charts/chart17.xml" ContentType="application/vnd.openxmlformats-officedocument.drawingml.chart+xml"/>
  <Override PartName="/word/theme/themeOverride11.xml" ContentType="application/vnd.openxmlformats-officedocument.themeOverride+xml"/>
  <Override PartName="/word/charts/chart18.xml" ContentType="application/vnd.openxmlformats-officedocument.drawingml.chart+xml"/>
  <Override PartName="/word/theme/themeOverride12.xml" ContentType="application/vnd.openxmlformats-officedocument.themeOverride+xml"/>
  <Override PartName="/word/charts/chart19.xml" ContentType="application/vnd.openxmlformats-officedocument.drawingml.chart+xml"/>
  <Override PartName="/word/theme/themeOverride13.xml" ContentType="application/vnd.openxmlformats-officedocument.themeOverride+xml"/>
  <Override PartName="/word/charts/chart20.xml" ContentType="application/vnd.openxmlformats-officedocument.drawingml.chart+xml"/>
  <Override PartName="/word/theme/themeOverride14.xml" ContentType="application/vnd.openxmlformats-officedocument.themeOverride+xml"/>
  <Override PartName="/word/charts/chart21.xml" ContentType="application/vnd.openxmlformats-officedocument.drawingml.chart+xml"/>
  <Override PartName="/word/theme/themeOverride15.xml" ContentType="application/vnd.openxmlformats-officedocument.themeOverride+xml"/>
  <Override PartName="/word/charts/chart22.xml" ContentType="application/vnd.openxmlformats-officedocument.drawingml.chart+xml"/>
  <Override PartName="/word/theme/themeOverride16.xml" ContentType="application/vnd.openxmlformats-officedocument.themeOverride+xml"/>
  <Override PartName="/word/charts/chart23.xml" ContentType="application/vnd.openxmlformats-officedocument.drawingml.chart+xml"/>
  <Override PartName="/word/theme/themeOverride17.xml" ContentType="application/vnd.openxmlformats-officedocument.themeOverride+xml"/>
  <Override PartName="/word/charts/chart24.xml" ContentType="application/vnd.openxmlformats-officedocument.drawingml.chart+xml"/>
  <Override PartName="/word/theme/themeOverride18.xml" ContentType="application/vnd.openxmlformats-officedocument.themeOverride+xml"/>
  <Override PartName="/word/charts/chart25.xml" ContentType="application/vnd.openxmlformats-officedocument.drawingml.chart+xml"/>
  <Override PartName="/word/theme/themeOverride19.xml" ContentType="application/vnd.openxmlformats-officedocument.themeOverride+xml"/>
  <Override PartName="/word/charts/chart26.xml" ContentType="application/vnd.openxmlformats-officedocument.drawingml.chart+xml"/>
  <Override PartName="/word/theme/themeOverride20.xml" ContentType="application/vnd.openxmlformats-officedocument.themeOverride+xml"/>
  <Override PartName="/word/charts/chart27.xml" ContentType="application/vnd.openxmlformats-officedocument.drawingml.chart+xml"/>
  <Override PartName="/word/theme/themeOverride21.xml" ContentType="application/vnd.openxmlformats-officedocument.themeOverride+xml"/>
  <Override PartName="/word/charts/chart28.xml" ContentType="application/vnd.openxmlformats-officedocument.drawingml.chart+xml"/>
  <Override PartName="/word/theme/themeOverride22.xml" ContentType="application/vnd.openxmlformats-officedocument.themeOverride+xml"/>
  <Override PartName="/word/charts/chart29.xml" ContentType="application/vnd.openxmlformats-officedocument.drawingml.chart+xml"/>
  <Override PartName="/word/theme/themeOverride23.xml" ContentType="application/vnd.openxmlformats-officedocument.themeOverride+xml"/>
  <Override PartName="/word/charts/chart30.xml" ContentType="application/vnd.openxmlformats-officedocument.drawingml.chart+xml"/>
  <Override PartName="/word/theme/themeOverride24.xml" ContentType="application/vnd.openxmlformats-officedocument.themeOverride+xml"/>
  <Override PartName="/word/charts/chart31.xml" ContentType="application/vnd.openxmlformats-officedocument.drawingml.chart+xml"/>
  <Override PartName="/word/theme/themeOverride25.xml" ContentType="application/vnd.openxmlformats-officedocument.themeOverride+xml"/>
  <Override PartName="/word/charts/chart32.xml" ContentType="application/vnd.openxmlformats-officedocument.drawingml.chart+xml"/>
  <Override PartName="/word/theme/themeOverride26.xml" ContentType="application/vnd.openxmlformats-officedocument.themeOverride+xml"/>
  <Override PartName="/word/charts/chart33.xml" ContentType="application/vnd.openxmlformats-officedocument.drawingml.chart+xml"/>
  <Override PartName="/word/theme/themeOverride27.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28F" w:rsidRPr="00304846" w:rsidRDefault="00DF028F" w:rsidP="00DF028F">
      <w:pPr>
        <w:rPr>
          <w:lang w:val="en-GB"/>
        </w:rPr>
      </w:pPr>
      <w:bookmarkStart w:id="0" w:name="_GoBack"/>
      <w:bookmarkEnd w:id="0"/>
    </w:p>
    <w:p w:rsidR="00DF028F" w:rsidRPr="00304846" w:rsidRDefault="00DF028F" w:rsidP="00DF028F">
      <w:pPr>
        <w:rPr>
          <w:lang w:val="en-GB"/>
        </w:rPr>
      </w:pPr>
    </w:p>
    <w:p w:rsidR="00DF028F" w:rsidRPr="00304846" w:rsidRDefault="00DF028F" w:rsidP="00DF028F">
      <w:pPr>
        <w:rPr>
          <w:lang w:val="en-GB"/>
        </w:rPr>
      </w:pPr>
    </w:p>
    <w:p w:rsidR="00DF028F" w:rsidRPr="00304846" w:rsidRDefault="00DF028F" w:rsidP="00DF028F">
      <w:pPr>
        <w:rPr>
          <w:lang w:val="en-GB"/>
        </w:rPr>
      </w:pPr>
    </w:p>
    <w:p w:rsidR="00DF028F" w:rsidRPr="00304846" w:rsidRDefault="00DF028F" w:rsidP="00DF028F">
      <w:pPr>
        <w:rPr>
          <w:lang w:val="en-GB"/>
        </w:rPr>
      </w:pPr>
    </w:p>
    <w:p w:rsidR="00DF028F" w:rsidRPr="00304846" w:rsidRDefault="00DF028F" w:rsidP="00DF028F">
      <w:pPr>
        <w:rPr>
          <w:lang w:val="en-GB"/>
        </w:rPr>
      </w:pPr>
    </w:p>
    <w:p w:rsidR="00DF028F" w:rsidRPr="00304846" w:rsidRDefault="00DF028F" w:rsidP="00DF028F">
      <w:pPr>
        <w:rPr>
          <w:lang w:val="en-GB"/>
        </w:rPr>
      </w:pPr>
    </w:p>
    <w:p w:rsidR="00DF028F" w:rsidRPr="00304846" w:rsidRDefault="00DF028F" w:rsidP="00DF028F">
      <w:pPr>
        <w:rPr>
          <w:lang w:val="en-GB"/>
        </w:rPr>
      </w:pPr>
    </w:p>
    <w:p w:rsidR="00DF028F" w:rsidRPr="00304846" w:rsidRDefault="00DF028F" w:rsidP="00DF028F">
      <w:pPr>
        <w:rPr>
          <w:lang w:val="en-GB"/>
        </w:rPr>
      </w:pPr>
    </w:p>
    <w:p w:rsidR="00DF028F" w:rsidRPr="00304846" w:rsidRDefault="00DF028F" w:rsidP="00DF028F">
      <w:pPr>
        <w:rPr>
          <w:lang w:val="en-GB"/>
        </w:rPr>
      </w:pPr>
    </w:p>
    <w:p w:rsidR="00DF028F" w:rsidRPr="00304846" w:rsidRDefault="00DF028F" w:rsidP="00DF028F">
      <w:pPr>
        <w:rPr>
          <w:lang w:val="en-GB"/>
        </w:rPr>
      </w:pPr>
    </w:p>
    <w:p w:rsidR="00DF028F" w:rsidRPr="00304846" w:rsidRDefault="00DF028F" w:rsidP="00DF028F">
      <w:pPr>
        <w:rPr>
          <w:lang w:val="en-GB"/>
        </w:rPr>
      </w:pPr>
    </w:p>
    <w:tbl>
      <w:tblPr>
        <w:tblW w:w="10089" w:type="dxa"/>
        <w:tblLook w:val="01E0" w:firstRow="1" w:lastRow="1" w:firstColumn="1" w:lastColumn="1" w:noHBand="0" w:noVBand="0"/>
      </w:tblPr>
      <w:tblGrid>
        <w:gridCol w:w="10089"/>
      </w:tblGrid>
      <w:tr w:rsidR="00DF028F" w:rsidRPr="00304846" w:rsidTr="005761BF">
        <w:tc>
          <w:tcPr>
            <w:tcW w:w="10089" w:type="dxa"/>
          </w:tcPr>
          <w:p w:rsidR="00DF028F" w:rsidRPr="00304846" w:rsidRDefault="00DF028F" w:rsidP="005761BF">
            <w:pPr>
              <w:spacing w:before="380" w:line="280" w:lineRule="exact"/>
              <w:jc w:val="right"/>
              <w:rPr>
                <w:rFonts w:ascii="Tahoma" w:hAnsi="Tahoma" w:cs="Tahoma"/>
                <w:b/>
                <w:bCs/>
                <w:iCs/>
                <w:color w:val="509141"/>
                <w:sz w:val="32"/>
                <w:szCs w:val="32"/>
                <w:lang w:val="en-GB"/>
              </w:rPr>
            </w:pPr>
            <w:r w:rsidRPr="00304846">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6.65pt" o:ole="">
                  <v:imagedata r:id="rId8" o:title=""/>
                </v:shape>
                <o:OLEObject Type="Embed" ProgID="Equation.3" ShapeID="_x0000_i1025" DrawAspect="Content" ObjectID="_1486385364" r:id="rId9"/>
              </w:object>
            </w:r>
          </w:p>
          <w:p w:rsidR="00DF028F" w:rsidRPr="00304846" w:rsidRDefault="00DF028F" w:rsidP="00DF028F">
            <w:pPr>
              <w:spacing w:before="380" w:line="280" w:lineRule="exact"/>
              <w:jc w:val="right"/>
              <w:rPr>
                <w:rFonts w:ascii="Tahoma" w:hAnsi="Tahoma" w:cs="Tahoma"/>
                <w:b/>
                <w:bCs/>
                <w:iCs/>
                <w:color w:val="509141"/>
                <w:sz w:val="36"/>
                <w:szCs w:val="36"/>
                <w:lang w:val="en-GB"/>
              </w:rPr>
            </w:pPr>
            <w:r w:rsidRPr="00304846">
              <w:rPr>
                <w:rFonts w:ascii="Tahoma" w:hAnsi="Tahoma" w:cs="Tahoma"/>
                <w:b/>
                <w:bCs/>
                <w:iCs/>
                <w:color w:val="509141"/>
                <w:sz w:val="36"/>
                <w:szCs w:val="36"/>
                <w:lang w:val="en-GB"/>
              </w:rPr>
              <w:t>Report  ITU-R  F.2326-0</w:t>
            </w:r>
          </w:p>
          <w:p w:rsidR="00DF028F" w:rsidRPr="00304846" w:rsidRDefault="00DF028F" w:rsidP="00DF028F">
            <w:pPr>
              <w:spacing w:before="80" w:line="280" w:lineRule="exact"/>
              <w:jc w:val="right"/>
              <w:rPr>
                <w:rFonts w:ascii="Tahoma" w:hAnsi="Tahoma" w:cs="Tahoma"/>
                <w:iCs/>
                <w:color w:val="509141"/>
                <w:szCs w:val="24"/>
                <w:lang w:val="en-GB"/>
              </w:rPr>
            </w:pPr>
            <w:r w:rsidRPr="00304846">
              <w:rPr>
                <w:rFonts w:ascii="Tahoma" w:hAnsi="Tahoma" w:cs="Tahoma"/>
                <w:b/>
                <w:bCs/>
                <w:iCs/>
                <w:color w:val="509141"/>
                <w:szCs w:val="24"/>
                <w:lang w:val="en-GB"/>
              </w:rPr>
              <w:t>(11/2014)</w:t>
            </w:r>
          </w:p>
        </w:tc>
      </w:tr>
      <w:tr w:rsidR="00DF028F" w:rsidRPr="00FF34AD" w:rsidTr="005761BF">
        <w:tc>
          <w:tcPr>
            <w:tcW w:w="10089" w:type="dxa"/>
          </w:tcPr>
          <w:p w:rsidR="00DF028F" w:rsidRPr="00304846" w:rsidRDefault="00DF028F" w:rsidP="005761BF">
            <w:pPr>
              <w:spacing w:before="80" w:line="500" w:lineRule="exact"/>
              <w:jc w:val="right"/>
              <w:rPr>
                <w:rFonts w:ascii="Tahoma" w:hAnsi="Tahoma" w:cs="Tahoma"/>
                <w:b/>
                <w:bCs/>
                <w:iCs/>
                <w:color w:val="509141"/>
                <w:sz w:val="44"/>
                <w:szCs w:val="44"/>
                <w:lang w:val="en-GB"/>
              </w:rPr>
            </w:pPr>
          </w:p>
          <w:p w:rsidR="00DF028F" w:rsidRPr="00304846" w:rsidRDefault="00DF028F" w:rsidP="00DF028F">
            <w:pPr>
              <w:spacing w:before="80" w:line="500" w:lineRule="exact"/>
              <w:jc w:val="right"/>
              <w:rPr>
                <w:rFonts w:ascii="Tahoma" w:hAnsi="Tahoma" w:cs="Tahoma"/>
                <w:b/>
                <w:bCs/>
                <w:iCs/>
                <w:color w:val="509141"/>
                <w:sz w:val="44"/>
                <w:szCs w:val="44"/>
                <w:lang w:val="en-GB"/>
              </w:rPr>
            </w:pPr>
            <w:r w:rsidRPr="00304846">
              <w:rPr>
                <w:rFonts w:ascii="Tahoma" w:hAnsi="Tahoma" w:cs="Tahoma"/>
                <w:b/>
                <w:bCs/>
                <w:iCs/>
                <w:color w:val="509141"/>
                <w:sz w:val="44"/>
                <w:szCs w:val="44"/>
                <w:lang w:val="en-GB"/>
              </w:rPr>
              <w:t xml:space="preserve">Sharing and compatibility study </w:t>
            </w:r>
            <w:r w:rsidR="00E82A2C" w:rsidRPr="00304846">
              <w:rPr>
                <w:rFonts w:ascii="Tahoma" w:hAnsi="Tahoma" w:cs="Tahoma"/>
                <w:b/>
                <w:bCs/>
                <w:iCs/>
                <w:color w:val="509141"/>
                <w:sz w:val="44"/>
                <w:szCs w:val="44"/>
                <w:lang w:val="en-GB"/>
              </w:rPr>
              <w:br/>
            </w:r>
            <w:r w:rsidRPr="00304846">
              <w:rPr>
                <w:rFonts w:ascii="Tahoma" w:hAnsi="Tahoma" w:cs="Tahoma"/>
                <w:b/>
                <w:bCs/>
                <w:iCs/>
                <w:color w:val="509141"/>
                <w:sz w:val="44"/>
                <w:szCs w:val="44"/>
                <w:lang w:val="en-GB"/>
              </w:rPr>
              <w:t xml:space="preserve">between indoor International </w:t>
            </w:r>
            <w:r w:rsidR="00E82A2C" w:rsidRPr="00304846">
              <w:rPr>
                <w:rFonts w:ascii="Tahoma" w:hAnsi="Tahoma" w:cs="Tahoma"/>
                <w:b/>
                <w:bCs/>
                <w:iCs/>
                <w:color w:val="509141"/>
                <w:sz w:val="44"/>
                <w:szCs w:val="44"/>
                <w:lang w:val="en-GB"/>
              </w:rPr>
              <w:br/>
            </w:r>
            <w:r w:rsidRPr="00304846">
              <w:rPr>
                <w:rFonts w:ascii="Tahoma" w:hAnsi="Tahoma" w:cs="Tahoma"/>
                <w:b/>
                <w:bCs/>
                <w:iCs/>
                <w:color w:val="509141"/>
                <w:sz w:val="44"/>
                <w:szCs w:val="44"/>
                <w:lang w:val="en-GB"/>
              </w:rPr>
              <w:t xml:space="preserve">Mobile Telecommunication small </w:t>
            </w:r>
            <w:r w:rsidR="00E82A2C" w:rsidRPr="00304846">
              <w:rPr>
                <w:rFonts w:ascii="Tahoma" w:hAnsi="Tahoma" w:cs="Tahoma"/>
                <w:b/>
                <w:bCs/>
                <w:iCs/>
                <w:color w:val="509141"/>
                <w:sz w:val="44"/>
                <w:szCs w:val="44"/>
                <w:lang w:val="en-GB"/>
              </w:rPr>
              <w:br/>
            </w:r>
            <w:r w:rsidRPr="00304846">
              <w:rPr>
                <w:rFonts w:ascii="Tahoma" w:hAnsi="Tahoma" w:cs="Tahoma"/>
                <w:b/>
                <w:bCs/>
                <w:iCs/>
                <w:color w:val="509141"/>
                <w:sz w:val="44"/>
                <w:szCs w:val="44"/>
                <w:lang w:val="en-GB"/>
              </w:rPr>
              <w:t xml:space="preserve">cells </w:t>
            </w:r>
            <w:r w:rsidR="00E82A2C" w:rsidRPr="00304846">
              <w:rPr>
                <w:rFonts w:ascii="Tahoma" w:hAnsi="Tahoma" w:cs="Tahoma"/>
                <w:b/>
                <w:bCs/>
                <w:iCs/>
                <w:color w:val="509141"/>
                <w:sz w:val="44"/>
                <w:szCs w:val="44"/>
                <w:lang w:val="en-GB"/>
              </w:rPr>
              <w:t xml:space="preserve">and fixed service stations in </w:t>
            </w:r>
            <w:r w:rsidRPr="00304846">
              <w:rPr>
                <w:rFonts w:ascii="Tahoma" w:hAnsi="Tahoma" w:cs="Tahoma"/>
                <w:b/>
                <w:bCs/>
                <w:iCs/>
                <w:color w:val="509141"/>
                <w:sz w:val="44"/>
                <w:szCs w:val="44"/>
                <w:lang w:val="en-GB"/>
              </w:rPr>
              <w:t xml:space="preserve">the </w:t>
            </w:r>
            <w:r w:rsidR="00E82A2C" w:rsidRPr="00304846">
              <w:rPr>
                <w:rFonts w:ascii="Tahoma" w:hAnsi="Tahoma" w:cs="Tahoma"/>
                <w:b/>
                <w:bCs/>
                <w:iCs/>
                <w:color w:val="509141"/>
                <w:sz w:val="44"/>
                <w:szCs w:val="44"/>
                <w:lang w:val="en-GB"/>
              </w:rPr>
              <w:br/>
            </w:r>
            <w:r w:rsidRPr="00304846">
              <w:rPr>
                <w:rFonts w:ascii="Tahoma" w:hAnsi="Tahoma" w:cs="Tahoma"/>
                <w:b/>
                <w:bCs/>
                <w:iCs/>
                <w:color w:val="509141"/>
                <w:sz w:val="44"/>
                <w:szCs w:val="44"/>
                <w:lang w:val="en-GB"/>
              </w:rPr>
              <w:t>5 925-6 425 MHz frequency band</w:t>
            </w:r>
          </w:p>
          <w:p w:rsidR="00DF028F" w:rsidRPr="00304846" w:rsidRDefault="00DF028F" w:rsidP="005761BF">
            <w:pPr>
              <w:spacing w:before="80" w:line="500" w:lineRule="exact"/>
              <w:jc w:val="right"/>
              <w:rPr>
                <w:rFonts w:ascii="Tahoma" w:hAnsi="Tahoma" w:cs="Tahoma"/>
                <w:b/>
                <w:bCs/>
                <w:iCs/>
                <w:color w:val="509141"/>
                <w:sz w:val="44"/>
                <w:szCs w:val="44"/>
                <w:lang w:val="en-GB"/>
              </w:rPr>
            </w:pPr>
            <w:r w:rsidRPr="00304846">
              <w:rPr>
                <w:rFonts w:ascii="Tahoma" w:hAnsi="Tahoma" w:cs="Tahoma"/>
                <w:b/>
                <w:bCs/>
                <w:iCs/>
                <w:color w:val="509141"/>
                <w:sz w:val="44"/>
                <w:szCs w:val="44"/>
                <w:lang w:val="en-GB"/>
              </w:rPr>
              <w:t xml:space="preserve">  </w:t>
            </w:r>
          </w:p>
        </w:tc>
      </w:tr>
      <w:tr w:rsidR="00DF028F" w:rsidRPr="00304846" w:rsidTr="005761BF">
        <w:tc>
          <w:tcPr>
            <w:tcW w:w="10089" w:type="dxa"/>
          </w:tcPr>
          <w:p w:rsidR="00DF028F" w:rsidRPr="00304846" w:rsidRDefault="00DF028F" w:rsidP="005761BF">
            <w:pPr>
              <w:spacing w:before="80" w:line="280" w:lineRule="exact"/>
              <w:ind w:right="640"/>
              <w:rPr>
                <w:rFonts w:ascii="Tahoma" w:hAnsi="Tahoma" w:cs="Tahoma"/>
                <w:b/>
                <w:bCs/>
                <w:iCs/>
                <w:color w:val="243285"/>
                <w:sz w:val="32"/>
                <w:szCs w:val="32"/>
                <w:lang w:val="en-GB"/>
              </w:rPr>
            </w:pPr>
          </w:p>
          <w:p w:rsidR="00DF028F" w:rsidRPr="00304846" w:rsidRDefault="00DF028F" w:rsidP="005761BF">
            <w:pPr>
              <w:spacing w:before="80" w:line="280" w:lineRule="exact"/>
              <w:ind w:right="640"/>
              <w:rPr>
                <w:rFonts w:ascii="Tahoma" w:hAnsi="Tahoma" w:cs="Tahoma"/>
                <w:b/>
                <w:bCs/>
                <w:iCs/>
                <w:color w:val="243285"/>
                <w:sz w:val="32"/>
                <w:szCs w:val="32"/>
                <w:lang w:val="en-GB"/>
              </w:rPr>
            </w:pPr>
          </w:p>
          <w:p w:rsidR="00DF028F" w:rsidRPr="00304846" w:rsidRDefault="00DF028F" w:rsidP="005761BF">
            <w:pPr>
              <w:spacing w:before="80" w:line="280" w:lineRule="exact"/>
              <w:ind w:right="640"/>
              <w:rPr>
                <w:rFonts w:ascii="Tahoma" w:hAnsi="Tahoma" w:cs="Tahoma"/>
                <w:b/>
                <w:bCs/>
                <w:iCs/>
                <w:color w:val="243285"/>
                <w:sz w:val="32"/>
                <w:szCs w:val="32"/>
                <w:lang w:val="en-GB"/>
              </w:rPr>
            </w:pPr>
          </w:p>
          <w:p w:rsidR="00DF028F" w:rsidRPr="00304846" w:rsidRDefault="00DF028F" w:rsidP="005761BF">
            <w:pPr>
              <w:spacing w:before="80" w:after="180" w:line="360" w:lineRule="exact"/>
              <w:jc w:val="right"/>
              <w:rPr>
                <w:rFonts w:ascii="Tahoma" w:hAnsi="Tahoma" w:cs="Tahoma"/>
                <w:b/>
                <w:bCs/>
                <w:iCs/>
                <w:color w:val="243285"/>
                <w:sz w:val="36"/>
                <w:szCs w:val="36"/>
                <w:lang w:val="en-GB"/>
              </w:rPr>
            </w:pPr>
          </w:p>
          <w:p w:rsidR="00DF028F" w:rsidRPr="00304846" w:rsidRDefault="00DF028F" w:rsidP="005761BF">
            <w:pPr>
              <w:spacing w:before="80" w:after="180" w:line="360" w:lineRule="exact"/>
              <w:jc w:val="right"/>
              <w:rPr>
                <w:rFonts w:ascii="Tahoma" w:hAnsi="Tahoma" w:cs="Tahoma"/>
                <w:b/>
                <w:bCs/>
                <w:iCs/>
                <w:color w:val="509141"/>
                <w:sz w:val="36"/>
                <w:szCs w:val="36"/>
                <w:lang w:val="en-GB"/>
              </w:rPr>
            </w:pPr>
            <w:r w:rsidRPr="00304846">
              <w:rPr>
                <w:rFonts w:ascii="Tahoma" w:hAnsi="Tahoma" w:cs="Tahoma"/>
                <w:b/>
                <w:bCs/>
                <w:iCs/>
                <w:color w:val="509141"/>
                <w:sz w:val="36"/>
                <w:szCs w:val="36"/>
                <w:lang w:val="en-GB"/>
              </w:rPr>
              <w:t>F Series</w:t>
            </w:r>
          </w:p>
          <w:p w:rsidR="00DF028F" w:rsidRPr="00304846" w:rsidRDefault="00DF028F" w:rsidP="005761BF">
            <w:pPr>
              <w:spacing w:before="80" w:line="420" w:lineRule="exact"/>
              <w:jc w:val="right"/>
              <w:rPr>
                <w:rFonts w:ascii="Tahoma" w:hAnsi="Tahoma" w:cs="Tahoma"/>
                <w:b/>
                <w:bCs/>
                <w:iCs/>
                <w:color w:val="509141"/>
                <w:sz w:val="36"/>
                <w:szCs w:val="36"/>
                <w:lang w:val="en-GB"/>
              </w:rPr>
            </w:pPr>
            <w:r w:rsidRPr="00304846">
              <w:rPr>
                <w:rFonts w:ascii="Tahoma" w:hAnsi="Tahoma" w:cs="Tahoma"/>
                <w:b/>
                <w:bCs/>
                <w:iCs/>
                <w:color w:val="509141"/>
                <w:sz w:val="36"/>
                <w:szCs w:val="36"/>
                <w:lang w:val="en-GB"/>
              </w:rPr>
              <w:t>Fixed service</w:t>
            </w:r>
          </w:p>
        </w:tc>
      </w:tr>
    </w:tbl>
    <w:p w:rsidR="00DF028F" w:rsidRPr="00304846" w:rsidRDefault="00DF028F" w:rsidP="00DF028F">
      <w:pPr>
        <w:spacing w:before="80"/>
        <w:rPr>
          <w:i/>
          <w:sz w:val="22"/>
          <w:lang w:val="en-GB"/>
        </w:rPr>
      </w:pPr>
    </w:p>
    <w:p w:rsidR="00DF028F" w:rsidRPr="00304846" w:rsidRDefault="00DF028F" w:rsidP="00DF028F">
      <w:pPr>
        <w:spacing w:before="80"/>
        <w:rPr>
          <w:i/>
          <w:sz w:val="22"/>
          <w:lang w:val="en-GB"/>
        </w:rPr>
      </w:pPr>
    </w:p>
    <w:p w:rsidR="00DF028F" w:rsidRPr="00304846" w:rsidRDefault="00DF028F" w:rsidP="00DF028F">
      <w:pPr>
        <w:spacing w:before="80"/>
        <w:rPr>
          <w:i/>
          <w:sz w:val="22"/>
          <w:lang w:val="en-GB"/>
        </w:rPr>
      </w:pPr>
    </w:p>
    <w:p w:rsidR="00DF028F" w:rsidRPr="00304846" w:rsidRDefault="00DF028F" w:rsidP="00DF028F">
      <w:pPr>
        <w:spacing w:before="80"/>
        <w:rPr>
          <w:i/>
          <w:sz w:val="22"/>
          <w:lang w:val="en-GB"/>
        </w:rPr>
      </w:pPr>
    </w:p>
    <w:p w:rsidR="00DF028F" w:rsidRPr="00304846" w:rsidRDefault="00DF028F" w:rsidP="00DF028F">
      <w:pPr>
        <w:spacing w:before="80"/>
        <w:rPr>
          <w:i/>
          <w:sz w:val="22"/>
          <w:lang w:val="en-GB"/>
        </w:rPr>
      </w:pPr>
    </w:p>
    <w:p w:rsidR="00DF028F" w:rsidRPr="00304846" w:rsidRDefault="00DF028F" w:rsidP="00DF028F">
      <w:pPr>
        <w:spacing w:before="80"/>
        <w:rPr>
          <w:i/>
          <w:sz w:val="22"/>
          <w:lang w:val="en-GB"/>
        </w:rPr>
      </w:pPr>
    </w:p>
    <w:p w:rsidR="00DF028F" w:rsidRPr="00304846" w:rsidRDefault="00DF028F" w:rsidP="00DF028F">
      <w:pPr>
        <w:rPr>
          <w:rFonts w:ascii="Palatino Linotype" w:hAnsi="Palatino Linotype"/>
          <w:lang w:val="en-GB"/>
        </w:rPr>
        <w:sectPr w:rsidR="00DF028F" w:rsidRPr="00304846" w:rsidSect="005761BF">
          <w:headerReference w:type="even" r:id="rId10"/>
          <w:headerReference w:type="default" r:id="rId11"/>
          <w:pgSz w:w="11907" w:h="16840" w:code="9"/>
          <w:pgMar w:top="1089" w:right="1089" w:bottom="284" w:left="1089" w:header="567" w:footer="284" w:gutter="0"/>
          <w:pgNumType w:start="1"/>
          <w:cols w:space="720"/>
        </w:sectPr>
      </w:pPr>
    </w:p>
    <w:p w:rsidR="00DF028F" w:rsidRPr="00304846" w:rsidRDefault="00DF028F" w:rsidP="00DF028F">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304846">
        <w:rPr>
          <w:bCs/>
          <w:sz w:val="24"/>
          <w:szCs w:val="24"/>
          <w:lang w:val="en-GB"/>
        </w:rPr>
        <w:lastRenderedPageBreak/>
        <w:t>Foreword</w:t>
      </w:r>
    </w:p>
    <w:p w:rsidR="00DF028F" w:rsidRPr="00304846" w:rsidRDefault="00DF028F" w:rsidP="00DF028F">
      <w:pPr>
        <w:spacing w:before="240"/>
        <w:rPr>
          <w:sz w:val="20"/>
          <w:lang w:val="en-GB"/>
        </w:rPr>
      </w:pPr>
      <w:r w:rsidRPr="00304846">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F028F" w:rsidRPr="00304846" w:rsidRDefault="00DF028F" w:rsidP="00DF028F">
      <w:pPr>
        <w:rPr>
          <w:sz w:val="20"/>
          <w:lang w:val="en-GB"/>
        </w:rPr>
      </w:pPr>
      <w:r w:rsidRPr="00304846">
        <w:rPr>
          <w:sz w:val="20"/>
          <w:lang w:val="en-GB"/>
        </w:rPr>
        <w:t>The regulatory and policy functions of the Radiocommunication Sector are performed by World and Regional Radiocommunication Conferences and Radiocommunication Assemblies supported by Study Groups.</w:t>
      </w:r>
    </w:p>
    <w:p w:rsidR="00DF028F" w:rsidRPr="00304846" w:rsidRDefault="00DF028F" w:rsidP="00DF028F">
      <w:pPr>
        <w:pStyle w:val="Heading1"/>
        <w:spacing w:before="400"/>
        <w:jc w:val="center"/>
        <w:rPr>
          <w:szCs w:val="24"/>
          <w:lang w:val="en-GB"/>
        </w:rPr>
      </w:pPr>
    </w:p>
    <w:p w:rsidR="00DF028F" w:rsidRPr="00304846" w:rsidRDefault="00DF028F" w:rsidP="00DF028F">
      <w:pPr>
        <w:pStyle w:val="Heading1"/>
        <w:spacing w:before="540"/>
        <w:jc w:val="center"/>
        <w:rPr>
          <w:szCs w:val="24"/>
          <w:lang w:val="en-GB"/>
        </w:rPr>
      </w:pPr>
      <w:r w:rsidRPr="00304846">
        <w:rPr>
          <w:szCs w:val="24"/>
          <w:lang w:val="en-GB"/>
        </w:rPr>
        <w:t>Policy on Intellectual Property Right (IPR)</w:t>
      </w:r>
    </w:p>
    <w:p w:rsidR="00DF028F" w:rsidRPr="00304846" w:rsidRDefault="00DF028F" w:rsidP="00DF028F">
      <w:pPr>
        <w:tabs>
          <w:tab w:val="left" w:pos="720"/>
        </w:tabs>
        <w:spacing w:before="240"/>
        <w:rPr>
          <w:sz w:val="20"/>
          <w:lang w:val="en-GB"/>
        </w:rPr>
      </w:pPr>
      <w:r w:rsidRPr="00304846">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304846">
          <w:rPr>
            <w:rStyle w:val="Hyperlink"/>
            <w:sz w:val="20"/>
            <w:lang w:val="en-GB"/>
          </w:rPr>
          <w:t>http://www.itu.int/ITU-R/go/patents/en</w:t>
        </w:r>
      </w:hyperlink>
      <w:r w:rsidRPr="00304846">
        <w:rPr>
          <w:sz w:val="20"/>
          <w:lang w:val="en-GB"/>
        </w:rPr>
        <w:t xml:space="preserve"> where the Guidelines for Implementation of the Common Patent Policy for ITU</w:t>
      </w:r>
      <w:r w:rsidRPr="00304846">
        <w:rPr>
          <w:sz w:val="20"/>
          <w:lang w:val="en-GB"/>
        </w:rPr>
        <w:noBreakHyphen/>
        <w:t>T/ITU</w:t>
      </w:r>
      <w:r w:rsidRPr="00304846">
        <w:rPr>
          <w:sz w:val="20"/>
          <w:lang w:val="en-GB"/>
        </w:rPr>
        <w:noBreakHyphen/>
        <w:t xml:space="preserve">R/ISO/IEC and the ITU-R patent information database can also be found. </w:t>
      </w:r>
    </w:p>
    <w:p w:rsidR="00DF028F" w:rsidRPr="00304846" w:rsidRDefault="00DF028F" w:rsidP="00DF028F">
      <w:pPr>
        <w:jc w:val="center"/>
        <w:rPr>
          <w:sz w:val="22"/>
          <w:lang w:val="en-GB"/>
        </w:rPr>
      </w:pPr>
    </w:p>
    <w:p w:rsidR="00DF028F" w:rsidRPr="00304846" w:rsidRDefault="00DF028F" w:rsidP="00DF028F">
      <w:pPr>
        <w:jc w:val="center"/>
        <w:rPr>
          <w:sz w:val="22"/>
          <w:lang w:val="en-GB"/>
        </w:rPr>
      </w:pPr>
    </w:p>
    <w:p w:rsidR="00DF028F" w:rsidRPr="00304846" w:rsidRDefault="00DF028F" w:rsidP="00DF028F">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F028F" w:rsidRPr="00FF34AD" w:rsidTr="005761BF">
        <w:tc>
          <w:tcPr>
            <w:tcW w:w="9360" w:type="dxa"/>
            <w:gridSpan w:val="2"/>
            <w:tcBorders>
              <w:top w:val="single" w:sz="12" w:space="0" w:color="000080"/>
              <w:left w:val="single" w:sz="12" w:space="0" w:color="000080"/>
              <w:bottom w:val="nil"/>
              <w:right w:val="single" w:sz="12" w:space="0" w:color="000080"/>
            </w:tcBorders>
          </w:tcPr>
          <w:p w:rsidR="00DF028F" w:rsidRPr="00304846" w:rsidRDefault="00DF028F" w:rsidP="005761BF">
            <w:pPr>
              <w:pStyle w:val="ChapNo"/>
              <w:spacing w:before="240"/>
              <w:rPr>
                <w:sz w:val="22"/>
                <w:szCs w:val="22"/>
                <w:lang w:val="en-GB"/>
              </w:rPr>
            </w:pPr>
            <w:r w:rsidRPr="00304846">
              <w:rPr>
                <w:sz w:val="22"/>
                <w:szCs w:val="22"/>
                <w:lang w:val="en-GB"/>
              </w:rPr>
              <w:t xml:space="preserve">Series of ITU-R Reports </w:t>
            </w:r>
          </w:p>
          <w:p w:rsidR="00DF028F" w:rsidRPr="00304846" w:rsidRDefault="00DF028F" w:rsidP="005761BF">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304846">
              <w:rPr>
                <w:b w:val="0"/>
                <w:sz w:val="18"/>
                <w:szCs w:val="18"/>
                <w:lang w:val="en-GB"/>
              </w:rPr>
              <w:t xml:space="preserve">(Also available online at </w:t>
            </w:r>
            <w:hyperlink r:id="rId13" w:history="1">
              <w:r w:rsidRPr="00304846">
                <w:rPr>
                  <w:rStyle w:val="Hyperlink"/>
                  <w:b w:val="0"/>
                  <w:bCs/>
                  <w:sz w:val="18"/>
                  <w:szCs w:val="18"/>
                  <w:lang w:val="en-GB"/>
                </w:rPr>
                <w:t>http://www.itu.int/publ/R-REP/en</w:t>
              </w:r>
            </w:hyperlink>
            <w:r w:rsidRPr="00304846">
              <w:rPr>
                <w:b w:val="0"/>
                <w:sz w:val="18"/>
                <w:szCs w:val="18"/>
                <w:lang w:val="en-GB"/>
              </w:rPr>
              <w:t>)</w:t>
            </w:r>
          </w:p>
        </w:tc>
      </w:tr>
      <w:tr w:rsidR="00DF028F" w:rsidRPr="00304846" w:rsidTr="005761BF">
        <w:tc>
          <w:tcPr>
            <w:tcW w:w="1140" w:type="dxa"/>
            <w:tcBorders>
              <w:top w:val="nil"/>
              <w:left w:val="single" w:sz="12" w:space="0" w:color="000080"/>
              <w:bottom w:val="nil"/>
              <w:right w:val="nil"/>
            </w:tcBorders>
          </w:tcPr>
          <w:p w:rsidR="00DF028F" w:rsidRPr="00304846" w:rsidRDefault="00DF028F" w:rsidP="005761BF">
            <w:pPr>
              <w:spacing w:before="200" w:after="100"/>
              <w:ind w:left="57"/>
              <w:rPr>
                <w:b/>
                <w:bCs/>
                <w:sz w:val="20"/>
                <w:lang w:val="en-GB"/>
              </w:rPr>
            </w:pPr>
            <w:r w:rsidRPr="00304846">
              <w:rPr>
                <w:b/>
                <w:bCs/>
                <w:sz w:val="20"/>
                <w:lang w:val="en-GB"/>
              </w:rPr>
              <w:t>Series</w:t>
            </w:r>
          </w:p>
        </w:tc>
        <w:tc>
          <w:tcPr>
            <w:tcW w:w="8220" w:type="dxa"/>
            <w:tcBorders>
              <w:top w:val="nil"/>
              <w:left w:val="nil"/>
              <w:bottom w:val="nil"/>
              <w:right w:val="single" w:sz="12" w:space="0" w:color="000080"/>
            </w:tcBorders>
          </w:tcPr>
          <w:p w:rsidR="00DF028F" w:rsidRPr="00304846" w:rsidRDefault="00DF028F" w:rsidP="005761BF">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304846">
              <w:rPr>
                <w:bCs/>
                <w:sz w:val="20"/>
                <w:lang w:val="en-GB"/>
              </w:rPr>
              <w:t>Title</w:t>
            </w:r>
          </w:p>
        </w:tc>
      </w:tr>
      <w:tr w:rsidR="00DF028F" w:rsidRPr="00304846" w:rsidTr="005761BF">
        <w:tc>
          <w:tcPr>
            <w:tcW w:w="1140" w:type="dxa"/>
            <w:tcBorders>
              <w:top w:val="nil"/>
              <w:left w:val="single" w:sz="12" w:space="0" w:color="000080"/>
              <w:bottom w:val="nil"/>
              <w:right w:val="nil"/>
            </w:tcBorders>
            <w:shd w:val="clear" w:color="auto" w:fill="auto"/>
          </w:tcPr>
          <w:p w:rsidR="00DF028F" w:rsidRPr="00304846" w:rsidRDefault="00DF028F" w:rsidP="005761BF">
            <w:pPr>
              <w:spacing w:before="30" w:after="30"/>
              <w:ind w:left="57"/>
              <w:jc w:val="left"/>
              <w:rPr>
                <w:rFonts w:ascii="Times New Roman Bold" w:hAnsi="Times New Roman Bold" w:cs="Times New Roman Bold"/>
                <w:b/>
                <w:bCs/>
                <w:sz w:val="20"/>
                <w:lang w:val="en-GB"/>
              </w:rPr>
            </w:pPr>
            <w:r w:rsidRPr="00304846">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DF028F" w:rsidRPr="00304846" w:rsidRDefault="00DF028F" w:rsidP="005761B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04846">
              <w:rPr>
                <w:b w:val="0"/>
                <w:sz w:val="20"/>
                <w:lang w:val="en-GB"/>
              </w:rPr>
              <w:t>Satellite delivery</w:t>
            </w:r>
          </w:p>
        </w:tc>
      </w:tr>
      <w:tr w:rsidR="00DF028F" w:rsidRPr="00FF34AD" w:rsidTr="005761BF">
        <w:tc>
          <w:tcPr>
            <w:tcW w:w="1140" w:type="dxa"/>
            <w:tcBorders>
              <w:top w:val="nil"/>
              <w:left w:val="single" w:sz="12" w:space="0" w:color="000080"/>
              <w:bottom w:val="nil"/>
              <w:right w:val="nil"/>
            </w:tcBorders>
          </w:tcPr>
          <w:p w:rsidR="00DF028F" w:rsidRPr="00304846" w:rsidRDefault="00DF028F" w:rsidP="005761BF">
            <w:pPr>
              <w:spacing w:before="30" w:after="30"/>
              <w:ind w:left="57"/>
              <w:jc w:val="left"/>
              <w:rPr>
                <w:b/>
                <w:bCs/>
                <w:sz w:val="20"/>
                <w:lang w:val="en-GB"/>
              </w:rPr>
            </w:pPr>
            <w:r w:rsidRPr="00304846">
              <w:rPr>
                <w:b/>
                <w:bCs/>
                <w:sz w:val="20"/>
                <w:lang w:val="en-GB"/>
              </w:rPr>
              <w:t>BR</w:t>
            </w:r>
          </w:p>
        </w:tc>
        <w:tc>
          <w:tcPr>
            <w:tcW w:w="8220" w:type="dxa"/>
            <w:tcBorders>
              <w:top w:val="nil"/>
              <w:left w:val="nil"/>
              <w:bottom w:val="nil"/>
              <w:right w:val="single" w:sz="12" w:space="0" w:color="000080"/>
            </w:tcBorders>
          </w:tcPr>
          <w:p w:rsidR="00DF028F" w:rsidRPr="00304846" w:rsidRDefault="00DF028F" w:rsidP="005761B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04846">
              <w:rPr>
                <w:b w:val="0"/>
                <w:sz w:val="20"/>
                <w:lang w:val="en-GB"/>
              </w:rPr>
              <w:t>Recording for production, archival and play-out; film for television</w:t>
            </w:r>
          </w:p>
        </w:tc>
      </w:tr>
      <w:tr w:rsidR="00DF028F" w:rsidRPr="00304846" w:rsidTr="005761BF">
        <w:tc>
          <w:tcPr>
            <w:tcW w:w="1140" w:type="dxa"/>
            <w:tcBorders>
              <w:top w:val="nil"/>
              <w:left w:val="single" w:sz="12" w:space="0" w:color="000080"/>
              <w:bottom w:val="nil"/>
              <w:right w:val="nil"/>
            </w:tcBorders>
            <w:shd w:val="clear" w:color="auto" w:fill="auto"/>
          </w:tcPr>
          <w:p w:rsidR="00DF028F" w:rsidRPr="00304846" w:rsidRDefault="00DF028F" w:rsidP="005761BF">
            <w:pPr>
              <w:spacing w:before="30" w:after="30"/>
              <w:ind w:left="57"/>
              <w:jc w:val="left"/>
              <w:rPr>
                <w:rFonts w:ascii="Times New Roman Bold" w:hAnsi="Times New Roman Bold" w:cs="Times New Roman Bold"/>
                <w:b/>
                <w:bCs/>
                <w:sz w:val="20"/>
                <w:lang w:val="en-GB"/>
              </w:rPr>
            </w:pPr>
            <w:r w:rsidRPr="00304846">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DF028F" w:rsidRPr="00304846" w:rsidRDefault="00DF028F" w:rsidP="005761B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04846">
              <w:rPr>
                <w:b w:val="0"/>
                <w:sz w:val="20"/>
                <w:lang w:val="en-GB"/>
              </w:rPr>
              <w:t>Broadcasting service (sound)</w:t>
            </w:r>
          </w:p>
        </w:tc>
      </w:tr>
      <w:tr w:rsidR="00DF028F" w:rsidRPr="00304846" w:rsidTr="005761BF">
        <w:tc>
          <w:tcPr>
            <w:tcW w:w="1140" w:type="dxa"/>
            <w:tcBorders>
              <w:top w:val="nil"/>
              <w:left w:val="single" w:sz="12" w:space="0" w:color="000080"/>
              <w:bottom w:val="nil"/>
              <w:right w:val="nil"/>
            </w:tcBorders>
            <w:shd w:val="clear" w:color="auto" w:fill="auto"/>
          </w:tcPr>
          <w:p w:rsidR="00DF028F" w:rsidRPr="00304846" w:rsidRDefault="00DF028F" w:rsidP="005761BF">
            <w:pPr>
              <w:spacing w:before="30" w:after="30"/>
              <w:ind w:left="57"/>
              <w:jc w:val="left"/>
              <w:rPr>
                <w:rFonts w:ascii="Times New Roman Bold" w:hAnsi="Times New Roman Bold" w:cs="Times New Roman Bold"/>
                <w:b/>
                <w:bCs/>
                <w:sz w:val="20"/>
                <w:lang w:val="en-GB"/>
              </w:rPr>
            </w:pPr>
            <w:r w:rsidRPr="00304846">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DF028F" w:rsidRPr="00304846" w:rsidRDefault="00DF028F" w:rsidP="005761B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04846">
              <w:rPr>
                <w:b w:val="0"/>
                <w:sz w:val="20"/>
                <w:lang w:val="en-GB"/>
              </w:rPr>
              <w:t>Broadcasting service (television)</w:t>
            </w:r>
          </w:p>
        </w:tc>
      </w:tr>
      <w:tr w:rsidR="00DF028F" w:rsidRPr="00304846" w:rsidTr="005761BF">
        <w:tc>
          <w:tcPr>
            <w:tcW w:w="1140" w:type="dxa"/>
            <w:tcBorders>
              <w:top w:val="nil"/>
              <w:left w:val="single" w:sz="12" w:space="0" w:color="000080"/>
              <w:bottom w:val="nil"/>
              <w:right w:val="nil"/>
            </w:tcBorders>
            <w:shd w:val="clear" w:color="auto" w:fill="F3F3F3"/>
          </w:tcPr>
          <w:p w:rsidR="00DF028F" w:rsidRPr="00304846" w:rsidRDefault="00DF028F" w:rsidP="005761BF">
            <w:pPr>
              <w:spacing w:before="30" w:after="30"/>
              <w:ind w:left="57"/>
              <w:jc w:val="left"/>
              <w:rPr>
                <w:b/>
                <w:bCs/>
                <w:color w:val="000080"/>
                <w:sz w:val="20"/>
                <w:lang w:val="en-GB"/>
              </w:rPr>
            </w:pPr>
            <w:r w:rsidRPr="00304846">
              <w:rPr>
                <w:b/>
                <w:bCs/>
                <w:color w:val="000080"/>
                <w:sz w:val="20"/>
                <w:lang w:val="en-GB"/>
              </w:rPr>
              <w:t>F</w:t>
            </w:r>
          </w:p>
        </w:tc>
        <w:tc>
          <w:tcPr>
            <w:tcW w:w="8220" w:type="dxa"/>
            <w:tcBorders>
              <w:top w:val="nil"/>
              <w:left w:val="nil"/>
              <w:bottom w:val="nil"/>
              <w:right w:val="single" w:sz="12" w:space="0" w:color="000080"/>
            </w:tcBorders>
            <w:shd w:val="clear" w:color="auto" w:fill="F3F3F3"/>
          </w:tcPr>
          <w:p w:rsidR="00DF028F" w:rsidRPr="00304846" w:rsidRDefault="00DF028F" w:rsidP="005761B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GB"/>
              </w:rPr>
            </w:pPr>
            <w:r w:rsidRPr="00304846">
              <w:rPr>
                <w:b/>
                <w:bCs/>
                <w:color w:val="000080"/>
                <w:sz w:val="20"/>
                <w:lang w:val="en-GB"/>
              </w:rPr>
              <w:t>Fixed service</w:t>
            </w:r>
          </w:p>
        </w:tc>
      </w:tr>
      <w:tr w:rsidR="00DF028F" w:rsidRPr="00304846" w:rsidTr="005761BF">
        <w:tc>
          <w:tcPr>
            <w:tcW w:w="1140" w:type="dxa"/>
            <w:tcBorders>
              <w:top w:val="nil"/>
              <w:left w:val="single" w:sz="12" w:space="0" w:color="000080"/>
              <w:bottom w:val="nil"/>
              <w:right w:val="nil"/>
            </w:tcBorders>
            <w:shd w:val="clear" w:color="auto" w:fill="auto"/>
          </w:tcPr>
          <w:p w:rsidR="00DF028F" w:rsidRPr="00304846" w:rsidRDefault="00DF028F" w:rsidP="005761BF">
            <w:pPr>
              <w:spacing w:before="30" w:after="30"/>
              <w:ind w:left="57"/>
              <w:jc w:val="left"/>
              <w:rPr>
                <w:b/>
                <w:bCs/>
                <w:sz w:val="20"/>
                <w:lang w:val="en-GB"/>
              </w:rPr>
            </w:pPr>
            <w:r w:rsidRPr="00304846">
              <w:rPr>
                <w:b/>
                <w:bCs/>
                <w:sz w:val="20"/>
                <w:lang w:val="en-GB"/>
              </w:rPr>
              <w:t>M</w:t>
            </w:r>
          </w:p>
        </w:tc>
        <w:tc>
          <w:tcPr>
            <w:tcW w:w="8220" w:type="dxa"/>
            <w:tcBorders>
              <w:top w:val="nil"/>
              <w:left w:val="nil"/>
              <w:bottom w:val="nil"/>
              <w:right w:val="single" w:sz="12" w:space="0" w:color="000080"/>
            </w:tcBorders>
            <w:shd w:val="clear" w:color="auto" w:fill="auto"/>
          </w:tcPr>
          <w:p w:rsidR="00DF028F" w:rsidRPr="00304846" w:rsidRDefault="00DF028F" w:rsidP="005761B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04846">
              <w:rPr>
                <w:b w:val="0"/>
                <w:sz w:val="20"/>
                <w:lang w:val="en-GB"/>
              </w:rPr>
              <w:t>Mobile, radiodetermination, amateur and related satellite services</w:t>
            </w:r>
          </w:p>
        </w:tc>
      </w:tr>
      <w:tr w:rsidR="00DF028F" w:rsidRPr="00304846" w:rsidTr="005761BF">
        <w:tc>
          <w:tcPr>
            <w:tcW w:w="1140" w:type="dxa"/>
            <w:tcBorders>
              <w:top w:val="nil"/>
              <w:left w:val="single" w:sz="12" w:space="0" w:color="000080"/>
              <w:bottom w:val="nil"/>
              <w:right w:val="nil"/>
            </w:tcBorders>
          </w:tcPr>
          <w:p w:rsidR="00DF028F" w:rsidRPr="00304846" w:rsidRDefault="00DF028F" w:rsidP="005761BF">
            <w:pPr>
              <w:spacing w:before="30" w:after="30"/>
              <w:ind w:left="57"/>
              <w:jc w:val="left"/>
              <w:rPr>
                <w:b/>
                <w:bCs/>
                <w:sz w:val="20"/>
                <w:lang w:val="en-GB"/>
              </w:rPr>
            </w:pPr>
            <w:r w:rsidRPr="00304846">
              <w:rPr>
                <w:b/>
                <w:bCs/>
                <w:sz w:val="20"/>
                <w:lang w:val="en-GB"/>
              </w:rPr>
              <w:t>P</w:t>
            </w:r>
          </w:p>
        </w:tc>
        <w:tc>
          <w:tcPr>
            <w:tcW w:w="8220" w:type="dxa"/>
            <w:tcBorders>
              <w:top w:val="nil"/>
              <w:left w:val="nil"/>
              <w:bottom w:val="nil"/>
              <w:right w:val="single" w:sz="12" w:space="0" w:color="000080"/>
            </w:tcBorders>
          </w:tcPr>
          <w:p w:rsidR="00DF028F" w:rsidRPr="00304846" w:rsidRDefault="00DF028F" w:rsidP="005761BF">
            <w:pPr>
              <w:spacing w:before="30" w:after="30"/>
              <w:jc w:val="left"/>
              <w:rPr>
                <w:sz w:val="20"/>
                <w:lang w:val="en-GB"/>
              </w:rPr>
            </w:pPr>
            <w:r w:rsidRPr="00304846">
              <w:rPr>
                <w:sz w:val="20"/>
                <w:lang w:val="en-GB"/>
              </w:rPr>
              <w:t>Radiowave propagation</w:t>
            </w:r>
          </w:p>
        </w:tc>
      </w:tr>
      <w:tr w:rsidR="00DF028F" w:rsidRPr="00304846" w:rsidTr="005761BF">
        <w:tc>
          <w:tcPr>
            <w:tcW w:w="1140" w:type="dxa"/>
            <w:tcBorders>
              <w:top w:val="nil"/>
              <w:left w:val="single" w:sz="12" w:space="0" w:color="000080"/>
              <w:bottom w:val="nil"/>
              <w:right w:val="nil"/>
            </w:tcBorders>
          </w:tcPr>
          <w:p w:rsidR="00DF028F" w:rsidRPr="00304846" w:rsidRDefault="00DF028F" w:rsidP="005761BF">
            <w:pPr>
              <w:spacing w:before="30" w:after="30"/>
              <w:ind w:left="57"/>
              <w:jc w:val="left"/>
              <w:rPr>
                <w:b/>
                <w:bCs/>
                <w:sz w:val="20"/>
                <w:lang w:val="en-GB"/>
              </w:rPr>
            </w:pPr>
            <w:r w:rsidRPr="00304846">
              <w:rPr>
                <w:b/>
                <w:bCs/>
                <w:sz w:val="20"/>
                <w:lang w:val="en-GB"/>
              </w:rPr>
              <w:t>RA</w:t>
            </w:r>
          </w:p>
        </w:tc>
        <w:tc>
          <w:tcPr>
            <w:tcW w:w="8220" w:type="dxa"/>
            <w:tcBorders>
              <w:top w:val="nil"/>
              <w:left w:val="nil"/>
              <w:bottom w:val="nil"/>
              <w:right w:val="single" w:sz="12" w:space="0" w:color="000080"/>
            </w:tcBorders>
          </w:tcPr>
          <w:p w:rsidR="00DF028F" w:rsidRPr="00304846" w:rsidRDefault="00DF028F" w:rsidP="005761B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304846">
              <w:rPr>
                <w:sz w:val="20"/>
                <w:lang w:val="en-GB"/>
              </w:rPr>
              <w:t>Radio astronomy</w:t>
            </w:r>
          </w:p>
        </w:tc>
      </w:tr>
      <w:tr w:rsidR="00DF028F" w:rsidRPr="00304846" w:rsidTr="005761BF">
        <w:tc>
          <w:tcPr>
            <w:tcW w:w="1140" w:type="dxa"/>
            <w:tcBorders>
              <w:top w:val="nil"/>
              <w:left w:val="single" w:sz="12" w:space="0" w:color="000080"/>
              <w:bottom w:val="nil"/>
              <w:right w:val="nil"/>
            </w:tcBorders>
          </w:tcPr>
          <w:p w:rsidR="00DF028F" w:rsidRPr="00304846" w:rsidRDefault="00DF028F" w:rsidP="005761BF">
            <w:pPr>
              <w:spacing w:before="30" w:after="30"/>
              <w:ind w:left="57"/>
              <w:jc w:val="left"/>
              <w:rPr>
                <w:b/>
                <w:bCs/>
                <w:sz w:val="20"/>
                <w:lang w:val="en-GB"/>
              </w:rPr>
            </w:pPr>
            <w:r w:rsidRPr="00304846">
              <w:rPr>
                <w:b/>
                <w:bCs/>
                <w:sz w:val="20"/>
                <w:lang w:val="en-GB"/>
              </w:rPr>
              <w:t>RS</w:t>
            </w:r>
          </w:p>
        </w:tc>
        <w:tc>
          <w:tcPr>
            <w:tcW w:w="8220" w:type="dxa"/>
            <w:tcBorders>
              <w:top w:val="nil"/>
              <w:left w:val="nil"/>
              <w:bottom w:val="nil"/>
              <w:right w:val="single" w:sz="12" w:space="0" w:color="000080"/>
            </w:tcBorders>
          </w:tcPr>
          <w:p w:rsidR="00DF028F" w:rsidRPr="00304846" w:rsidRDefault="00DF028F" w:rsidP="005761B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304846">
              <w:rPr>
                <w:sz w:val="20"/>
                <w:lang w:val="en-GB"/>
              </w:rPr>
              <w:t>Remote sensing systems</w:t>
            </w:r>
          </w:p>
        </w:tc>
      </w:tr>
      <w:tr w:rsidR="00DF028F" w:rsidRPr="00304846" w:rsidTr="005761BF">
        <w:tc>
          <w:tcPr>
            <w:tcW w:w="1140" w:type="dxa"/>
            <w:tcBorders>
              <w:top w:val="nil"/>
              <w:left w:val="single" w:sz="12" w:space="0" w:color="000080"/>
              <w:bottom w:val="nil"/>
              <w:right w:val="nil"/>
            </w:tcBorders>
          </w:tcPr>
          <w:p w:rsidR="00DF028F" w:rsidRPr="00304846" w:rsidRDefault="00DF028F" w:rsidP="005761BF">
            <w:pPr>
              <w:spacing w:before="30" w:after="30"/>
              <w:ind w:left="57"/>
              <w:jc w:val="left"/>
              <w:rPr>
                <w:b/>
                <w:bCs/>
                <w:sz w:val="20"/>
                <w:lang w:val="en-GB"/>
              </w:rPr>
            </w:pPr>
            <w:r w:rsidRPr="00304846">
              <w:rPr>
                <w:b/>
                <w:bCs/>
                <w:sz w:val="20"/>
                <w:lang w:val="en-GB"/>
              </w:rPr>
              <w:t>S</w:t>
            </w:r>
          </w:p>
        </w:tc>
        <w:tc>
          <w:tcPr>
            <w:tcW w:w="8220" w:type="dxa"/>
            <w:tcBorders>
              <w:top w:val="nil"/>
              <w:left w:val="nil"/>
              <w:bottom w:val="nil"/>
              <w:right w:val="single" w:sz="12" w:space="0" w:color="000080"/>
            </w:tcBorders>
          </w:tcPr>
          <w:p w:rsidR="00DF028F" w:rsidRPr="00304846" w:rsidRDefault="00DF028F" w:rsidP="005761BF">
            <w:pPr>
              <w:spacing w:before="30" w:after="30"/>
              <w:jc w:val="left"/>
              <w:rPr>
                <w:sz w:val="20"/>
                <w:lang w:val="en-GB"/>
              </w:rPr>
            </w:pPr>
            <w:r w:rsidRPr="00304846">
              <w:rPr>
                <w:sz w:val="20"/>
                <w:lang w:val="en-GB"/>
              </w:rPr>
              <w:t>Fixed-satellite service</w:t>
            </w:r>
          </w:p>
        </w:tc>
      </w:tr>
      <w:tr w:rsidR="00DF028F" w:rsidRPr="00304846" w:rsidTr="005761BF">
        <w:tc>
          <w:tcPr>
            <w:tcW w:w="1140" w:type="dxa"/>
            <w:tcBorders>
              <w:top w:val="nil"/>
              <w:left w:val="single" w:sz="12" w:space="0" w:color="000080"/>
              <w:bottom w:val="nil"/>
              <w:right w:val="nil"/>
            </w:tcBorders>
          </w:tcPr>
          <w:p w:rsidR="00DF028F" w:rsidRPr="00304846" w:rsidRDefault="00DF028F" w:rsidP="005761BF">
            <w:pPr>
              <w:spacing w:before="30" w:after="30"/>
              <w:ind w:left="57"/>
              <w:jc w:val="left"/>
              <w:rPr>
                <w:b/>
                <w:bCs/>
                <w:sz w:val="20"/>
                <w:lang w:val="en-GB"/>
              </w:rPr>
            </w:pPr>
            <w:r w:rsidRPr="00304846">
              <w:rPr>
                <w:b/>
                <w:bCs/>
                <w:sz w:val="20"/>
                <w:lang w:val="en-GB"/>
              </w:rPr>
              <w:t>SA</w:t>
            </w:r>
          </w:p>
        </w:tc>
        <w:tc>
          <w:tcPr>
            <w:tcW w:w="8220" w:type="dxa"/>
            <w:tcBorders>
              <w:top w:val="nil"/>
              <w:left w:val="nil"/>
              <w:bottom w:val="nil"/>
              <w:right w:val="single" w:sz="12" w:space="0" w:color="000080"/>
            </w:tcBorders>
          </w:tcPr>
          <w:p w:rsidR="00DF028F" w:rsidRPr="00304846" w:rsidRDefault="00DF028F" w:rsidP="005761BF">
            <w:pPr>
              <w:spacing w:before="30" w:after="30"/>
              <w:jc w:val="left"/>
              <w:rPr>
                <w:sz w:val="20"/>
                <w:lang w:val="en-GB"/>
              </w:rPr>
            </w:pPr>
            <w:r w:rsidRPr="00304846">
              <w:rPr>
                <w:sz w:val="20"/>
                <w:lang w:val="en-GB"/>
              </w:rPr>
              <w:t>Space applications and meteorology</w:t>
            </w:r>
          </w:p>
        </w:tc>
      </w:tr>
      <w:tr w:rsidR="00DF028F" w:rsidRPr="00FF34AD" w:rsidTr="005761BF">
        <w:tc>
          <w:tcPr>
            <w:tcW w:w="1140" w:type="dxa"/>
            <w:tcBorders>
              <w:top w:val="nil"/>
              <w:left w:val="single" w:sz="12" w:space="0" w:color="000080"/>
              <w:bottom w:val="nil"/>
              <w:right w:val="nil"/>
            </w:tcBorders>
          </w:tcPr>
          <w:p w:rsidR="00DF028F" w:rsidRPr="00304846" w:rsidRDefault="00DF028F" w:rsidP="005761BF">
            <w:pPr>
              <w:spacing w:before="30" w:after="30"/>
              <w:ind w:left="57"/>
              <w:jc w:val="left"/>
              <w:rPr>
                <w:b/>
                <w:bCs/>
                <w:sz w:val="20"/>
                <w:lang w:val="en-GB"/>
              </w:rPr>
            </w:pPr>
            <w:r w:rsidRPr="00304846">
              <w:rPr>
                <w:b/>
                <w:bCs/>
                <w:sz w:val="20"/>
                <w:lang w:val="en-GB"/>
              </w:rPr>
              <w:t>SF</w:t>
            </w:r>
          </w:p>
        </w:tc>
        <w:tc>
          <w:tcPr>
            <w:tcW w:w="8220" w:type="dxa"/>
            <w:tcBorders>
              <w:top w:val="nil"/>
              <w:left w:val="nil"/>
              <w:bottom w:val="nil"/>
              <w:right w:val="single" w:sz="12" w:space="0" w:color="000080"/>
            </w:tcBorders>
          </w:tcPr>
          <w:p w:rsidR="00DF028F" w:rsidRPr="00304846" w:rsidRDefault="00DF028F" w:rsidP="005761BF">
            <w:pPr>
              <w:spacing w:before="30" w:after="30"/>
              <w:jc w:val="left"/>
              <w:rPr>
                <w:sz w:val="20"/>
                <w:lang w:val="en-GB"/>
              </w:rPr>
            </w:pPr>
            <w:r w:rsidRPr="00304846">
              <w:rPr>
                <w:sz w:val="20"/>
                <w:lang w:val="en-GB"/>
              </w:rPr>
              <w:t>Frequency sharing and coordination between fixed-satellite and fixed service systems</w:t>
            </w:r>
          </w:p>
        </w:tc>
      </w:tr>
      <w:tr w:rsidR="00DF028F" w:rsidRPr="00304846" w:rsidTr="005761BF">
        <w:tc>
          <w:tcPr>
            <w:tcW w:w="1140" w:type="dxa"/>
            <w:tcBorders>
              <w:top w:val="nil"/>
              <w:left w:val="single" w:sz="12" w:space="0" w:color="000080"/>
              <w:bottom w:val="single" w:sz="12" w:space="0" w:color="000080"/>
              <w:right w:val="nil"/>
            </w:tcBorders>
          </w:tcPr>
          <w:p w:rsidR="00DF028F" w:rsidRPr="00304846" w:rsidRDefault="00DF028F" w:rsidP="005761BF">
            <w:pPr>
              <w:spacing w:before="30" w:after="30"/>
              <w:ind w:left="57"/>
              <w:jc w:val="left"/>
              <w:rPr>
                <w:b/>
                <w:bCs/>
                <w:sz w:val="20"/>
                <w:lang w:val="en-GB"/>
              </w:rPr>
            </w:pPr>
            <w:r w:rsidRPr="00304846">
              <w:rPr>
                <w:b/>
                <w:bCs/>
                <w:sz w:val="20"/>
                <w:lang w:val="en-GB"/>
              </w:rPr>
              <w:t>SM</w:t>
            </w:r>
          </w:p>
        </w:tc>
        <w:tc>
          <w:tcPr>
            <w:tcW w:w="8220" w:type="dxa"/>
            <w:tcBorders>
              <w:top w:val="nil"/>
              <w:left w:val="nil"/>
              <w:bottom w:val="single" w:sz="12" w:space="0" w:color="000080"/>
              <w:right w:val="single" w:sz="12" w:space="0" w:color="000080"/>
            </w:tcBorders>
          </w:tcPr>
          <w:p w:rsidR="00DF028F" w:rsidRPr="00304846" w:rsidRDefault="00DF028F" w:rsidP="005761BF">
            <w:pPr>
              <w:spacing w:before="30" w:after="180"/>
              <w:jc w:val="left"/>
              <w:rPr>
                <w:sz w:val="20"/>
                <w:lang w:val="en-GB"/>
              </w:rPr>
            </w:pPr>
            <w:r w:rsidRPr="00304846">
              <w:rPr>
                <w:sz w:val="20"/>
                <w:lang w:val="en-GB"/>
              </w:rPr>
              <w:t>Spectrum management</w:t>
            </w:r>
          </w:p>
        </w:tc>
      </w:tr>
    </w:tbl>
    <w:p w:rsidR="00DF028F" w:rsidRPr="00304846" w:rsidRDefault="00DF028F" w:rsidP="00DF028F">
      <w:pPr>
        <w:spacing w:before="30" w:after="30"/>
        <w:jc w:val="center"/>
        <w:rPr>
          <w:sz w:val="20"/>
          <w:lang w:val="en-GB"/>
        </w:rPr>
      </w:pPr>
    </w:p>
    <w:p w:rsidR="00DF028F" w:rsidRPr="00304846" w:rsidRDefault="00DF028F" w:rsidP="00DF028F">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DF028F" w:rsidRPr="00FF34AD" w:rsidTr="005761BF">
        <w:tc>
          <w:tcPr>
            <w:tcW w:w="9360" w:type="dxa"/>
            <w:tcBorders>
              <w:top w:val="single" w:sz="12" w:space="0" w:color="000080"/>
              <w:left w:val="single" w:sz="12" w:space="0" w:color="000080"/>
              <w:bottom w:val="single" w:sz="12" w:space="0" w:color="000080"/>
              <w:right w:val="single" w:sz="12" w:space="0" w:color="000080"/>
            </w:tcBorders>
          </w:tcPr>
          <w:p w:rsidR="00DF028F" w:rsidRPr="00304846" w:rsidRDefault="00DF028F" w:rsidP="005761BF">
            <w:pPr>
              <w:spacing w:after="120"/>
              <w:jc w:val="left"/>
              <w:rPr>
                <w:b/>
                <w:bCs/>
                <w:sz w:val="20"/>
                <w:lang w:val="en-GB"/>
              </w:rPr>
            </w:pPr>
            <w:r w:rsidRPr="00304846">
              <w:rPr>
                <w:b/>
                <w:bCs/>
                <w:i/>
                <w:iCs/>
                <w:sz w:val="20"/>
                <w:lang w:val="en-GB"/>
              </w:rPr>
              <w:t>Note</w:t>
            </w:r>
            <w:r w:rsidRPr="00304846">
              <w:rPr>
                <w:i/>
                <w:iCs/>
                <w:sz w:val="20"/>
                <w:lang w:val="en-GB"/>
              </w:rPr>
              <w:t>: This ITU-R Report was approved in English by the Study Group under the procedure detailed in Resolution ITU-R 1.</w:t>
            </w:r>
          </w:p>
        </w:tc>
      </w:tr>
    </w:tbl>
    <w:p w:rsidR="00DF028F" w:rsidRPr="00304846" w:rsidRDefault="00DF028F" w:rsidP="00DF028F">
      <w:pPr>
        <w:spacing w:before="0"/>
        <w:jc w:val="center"/>
        <w:rPr>
          <w:sz w:val="22"/>
          <w:lang w:val="en-GB"/>
        </w:rPr>
      </w:pPr>
    </w:p>
    <w:p w:rsidR="00DF028F" w:rsidRPr="00304846" w:rsidRDefault="00DF028F" w:rsidP="00DF028F">
      <w:pPr>
        <w:spacing w:before="0"/>
        <w:jc w:val="center"/>
        <w:rPr>
          <w:sz w:val="22"/>
          <w:lang w:val="en-GB"/>
        </w:rPr>
      </w:pPr>
    </w:p>
    <w:p w:rsidR="00DF028F" w:rsidRPr="00304846" w:rsidRDefault="00DF028F" w:rsidP="00DF028F">
      <w:pPr>
        <w:spacing w:before="0"/>
        <w:jc w:val="right"/>
        <w:rPr>
          <w:i/>
          <w:iCs/>
          <w:sz w:val="20"/>
          <w:lang w:val="en-GB"/>
        </w:rPr>
      </w:pPr>
      <w:r w:rsidRPr="00304846">
        <w:rPr>
          <w:i/>
          <w:iCs/>
          <w:sz w:val="20"/>
          <w:lang w:val="en-GB"/>
        </w:rPr>
        <w:t>Electronic Publication</w:t>
      </w:r>
    </w:p>
    <w:p w:rsidR="00DF028F" w:rsidRPr="00304846" w:rsidRDefault="00DF028F" w:rsidP="00DF028F">
      <w:pPr>
        <w:spacing w:before="0"/>
        <w:jc w:val="right"/>
        <w:rPr>
          <w:sz w:val="20"/>
          <w:lang w:val="en-GB"/>
        </w:rPr>
      </w:pPr>
      <w:r w:rsidRPr="00304846">
        <w:rPr>
          <w:sz w:val="20"/>
          <w:lang w:val="en-GB"/>
        </w:rPr>
        <w:t>Geneva, 2015</w:t>
      </w:r>
    </w:p>
    <w:p w:rsidR="00DF028F" w:rsidRPr="00304846" w:rsidRDefault="00DF028F" w:rsidP="00DF028F">
      <w:pPr>
        <w:jc w:val="center"/>
        <w:rPr>
          <w:sz w:val="20"/>
          <w:lang w:val="en-GB"/>
        </w:rPr>
      </w:pPr>
      <w:r w:rsidRPr="00304846">
        <w:rPr>
          <w:sz w:val="20"/>
          <w:lang w:val="en-GB"/>
        </w:rPr>
        <w:sym w:font="Symbol" w:char="00E3"/>
      </w:r>
      <w:r w:rsidRPr="00304846">
        <w:rPr>
          <w:sz w:val="20"/>
          <w:lang w:val="en-GB"/>
        </w:rPr>
        <w:t xml:space="preserve"> ITU </w:t>
      </w:r>
      <w:bookmarkStart w:id="2" w:name="iiannee"/>
      <w:bookmarkEnd w:id="2"/>
      <w:r w:rsidRPr="00304846">
        <w:rPr>
          <w:sz w:val="20"/>
          <w:lang w:val="en-GB"/>
        </w:rPr>
        <w:t>2015</w:t>
      </w:r>
    </w:p>
    <w:p w:rsidR="00DF028F" w:rsidRPr="00304846" w:rsidRDefault="00DF028F" w:rsidP="00DF028F">
      <w:pPr>
        <w:rPr>
          <w:sz w:val="18"/>
          <w:szCs w:val="18"/>
          <w:lang w:val="en-GB"/>
        </w:rPr>
      </w:pPr>
      <w:r w:rsidRPr="00304846">
        <w:rPr>
          <w:sz w:val="18"/>
          <w:szCs w:val="18"/>
          <w:lang w:val="en-GB"/>
        </w:rPr>
        <w:t>All rights reserved. No part of this publication may be reproduced, by any means whatsoever, without written permission of ITU.</w:t>
      </w:r>
    </w:p>
    <w:p w:rsidR="00DF028F" w:rsidRPr="00304846" w:rsidRDefault="00DF028F" w:rsidP="00DF028F">
      <w:pPr>
        <w:tabs>
          <w:tab w:val="clear" w:pos="794"/>
          <w:tab w:val="clear" w:pos="1191"/>
          <w:tab w:val="clear" w:pos="1588"/>
          <w:tab w:val="clear" w:pos="1985"/>
        </w:tabs>
        <w:overflowPunct/>
        <w:autoSpaceDE/>
        <w:autoSpaceDN/>
        <w:adjustRightInd/>
        <w:spacing w:before="0"/>
        <w:jc w:val="left"/>
        <w:rPr>
          <w:i/>
          <w:sz w:val="20"/>
          <w:lang w:val="en-GB"/>
        </w:rPr>
        <w:sectPr w:rsidR="00DF028F" w:rsidRPr="00304846">
          <w:pgSz w:w="11907" w:h="16834"/>
          <w:pgMar w:top="1418" w:right="1134" w:bottom="1134" w:left="1134" w:header="720" w:footer="482" w:gutter="0"/>
          <w:paperSrc w:first="15" w:other="15"/>
          <w:pgNumType w:fmt="lowerRoman" w:start="2"/>
          <w:cols w:space="720"/>
        </w:sectPr>
      </w:pPr>
    </w:p>
    <w:p w:rsidR="00DF028F" w:rsidRPr="00304846" w:rsidRDefault="00DF028F" w:rsidP="00DF028F">
      <w:pPr>
        <w:pStyle w:val="RepNo"/>
        <w:spacing w:before="0"/>
        <w:rPr>
          <w:lang w:val="en-GB"/>
        </w:rPr>
      </w:pPr>
      <w:bookmarkStart w:id="3" w:name="irecnoe"/>
      <w:bookmarkEnd w:id="3"/>
      <w:r w:rsidRPr="00304846">
        <w:rPr>
          <w:lang w:val="en-GB"/>
        </w:rPr>
        <w:lastRenderedPageBreak/>
        <w:t xml:space="preserve">REPORT  </w:t>
      </w:r>
      <w:r w:rsidRPr="00304846">
        <w:rPr>
          <w:rStyle w:val="href"/>
          <w:lang w:val="en-GB"/>
        </w:rPr>
        <w:t>ITU-R  F.2326-0</w:t>
      </w:r>
    </w:p>
    <w:p w:rsidR="00A6617B" w:rsidRDefault="00DF028F" w:rsidP="000A0C8D">
      <w:pPr>
        <w:pStyle w:val="Reptitle"/>
        <w:rPr>
          <w:lang w:val="en-GB" w:eastAsia="zh-CN"/>
        </w:rPr>
      </w:pPr>
      <w:r w:rsidRPr="00304846">
        <w:rPr>
          <w:lang w:val="en-GB" w:eastAsia="zh-CN"/>
        </w:rPr>
        <w:t xml:space="preserve">Sharing and compatibility study between indoor International Mobile Telecommunication small cells and fixed service stations </w:t>
      </w:r>
      <w:r w:rsidR="000A0C8D" w:rsidRPr="00304846">
        <w:rPr>
          <w:lang w:val="en-GB" w:eastAsia="zh-CN"/>
        </w:rPr>
        <w:br/>
      </w:r>
      <w:r w:rsidRPr="00304846">
        <w:rPr>
          <w:lang w:val="en-GB" w:eastAsia="zh-CN"/>
        </w:rPr>
        <w:t>in the 5 925-6 425 MHz frequency band</w:t>
      </w:r>
    </w:p>
    <w:p w:rsidR="00FF34AD" w:rsidRPr="00FF34AD" w:rsidRDefault="00FF34AD" w:rsidP="00FF34AD">
      <w:pPr>
        <w:pStyle w:val="Repdate"/>
        <w:rPr>
          <w:lang w:val="en-GB" w:eastAsia="zh-CN"/>
        </w:rPr>
      </w:pPr>
      <w:r>
        <w:rPr>
          <w:lang w:val="en-GB" w:eastAsia="zh-CN"/>
        </w:rPr>
        <w:t>(2014)</w:t>
      </w:r>
    </w:p>
    <w:p w:rsidR="00AF59A0" w:rsidRPr="00304846" w:rsidRDefault="00B60A61" w:rsidP="00AF59A0">
      <w:pPr>
        <w:pStyle w:val="Heading1"/>
        <w:tabs>
          <w:tab w:val="left" w:pos="3709"/>
        </w:tabs>
        <w:spacing w:before="240"/>
        <w:rPr>
          <w:rFonts w:asciiTheme="majorBidi" w:hAnsiTheme="majorBidi" w:cstheme="majorBidi"/>
          <w:lang w:val="en-GB"/>
        </w:rPr>
      </w:pPr>
      <w:r w:rsidRPr="00304846">
        <w:rPr>
          <w:rFonts w:asciiTheme="majorBidi" w:hAnsiTheme="majorBidi" w:cstheme="majorBidi"/>
          <w:lang w:val="en-GB"/>
        </w:rPr>
        <w:t>1</w:t>
      </w:r>
      <w:r w:rsidRPr="00304846">
        <w:rPr>
          <w:rFonts w:asciiTheme="majorBidi" w:hAnsiTheme="majorBidi" w:cstheme="majorBidi"/>
          <w:lang w:val="en-GB"/>
        </w:rPr>
        <w:tab/>
        <w:t>Introduction</w:t>
      </w:r>
    </w:p>
    <w:p w:rsidR="00AF59A0" w:rsidRPr="00304846" w:rsidRDefault="00AF59A0" w:rsidP="00B60A61">
      <w:pPr>
        <w:rPr>
          <w:lang w:val="en-GB"/>
        </w:rPr>
      </w:pPr>
      <w:r w:rsidRPr="00304846">
        <w:rPr>
          <w:lang w:val="en-GB"/>
        </w:rPr>
        <w:t>The frequency band 5 925-6 425 MHz has been proposed as a possible candidate band for International Mobile Telecommunication (IMT) identification.</w:t>
      </w:r>
    </w:p>
    <w:p w:rsidR="00AF59A0" w:rsidRPr="00304846" w:rsidRDefault="00AF59A0" w:rsidP="00B60A61">
      <w:pPr>
        <w:rPr>
          <w:lang w:val="en-GB"/>
        </w:rPr>
      </w:pPr>
      <w:r w:rsidRPr="00304846">
        <w:rPr>
          <w:lang w:val="en-GB"/>
        </w:rPr>
        <w:t>However this band is heavily used for point-to-point fixed service (FS) links. The objective is to study the sharing and compatibility between indoor IMT small cells and FS stations. The study considers only the impact of interference from IMT indoor small cells into point</w:t>
      </w:r>
      <w:r w:rsidR="006C4C52">
        <w:rPr>
          <w:lang w:val="en-GB"/>
        </w:rPr>
        <w:t>-to-point FS station receivers.</w:t>
      </w:r>
    </w:p>
    <w:p w:rsidR="00AF59A0" w:rsidRPr="00304846" w:rsidRDefault="00AF59A0" w:rsidP="00AF59A0">
      <w:pPr>
        <w:pStyle w:val="Heading1"/>
        <w:rPr>
          <w:rFonts w:asciiTheme="majorBidi" w:hAnsiTheme="majorBidi" w:cstheme="majorBidi"/>
          <w:lang w:val="en-GB"/>
        </w:rPr>
      </w:pPr>
      <w:r w:rsidRPr="00304846">
        <w:rPr>
          <w:rFonts w:asciiTheme="majorBidi" w:hAnsiTheme="majorBidi" w:cstheme="majorBidi"/>
          <w:lang w:val="en-GB"/>
        </w:rPr>
        <w:t>2</w:t>
      </w:r>
      <w:r w:rsidRPr="00304846">
        <w:rPr>
          <w:rFonts w:asciiTheme="majorBidi" w:hAnsiTheme="majorBidi" w:cstheme="majorBidi"/>
          <w:lang w:val="en-GB"/>
        </w:rPr>
        <w:tab/>
        <w:t>Background</w:t>
      </w:r>
    </w:p>
    <w:p w:rsidR="00AF59A0" w:rsidRPr="00304846" w:rsidRDefault="00AF59A0" w:rsidP="00B60A61">
      <w:pPr>
        <w:rPr>
          <w:lang w:val="en-GB"/>
        </w:rPr>
      </w:pPr>
      <w:r w:rsidRPr="00304846">
        <w:rPr>
          <w:snapToGrid w:val="0"/>
          <w:lang w:val="en-GB"/>
        </w:rPr>
        <w:t xml:space="preserve">The </w:t>
      </w:r>
      <w:r w:rsidRPr="00304846">
        <w:rPr>
          <w:lang w:val="en-GB"/>
        </w:rPr>
        <w:t xml:space="preserve">frequency band 5 925-6 425 MHz is already allocated to the mobile service (MS) on a primary basis worldwide. However identification of this frequency band for IMT will significantly change the usage of the band which requires the coexistence studies with other incumbent services. The main services deployed in this band are FS and fixed-satellite service </w:t>
      </w:r>
      <w:r w:rsidR="006C4C52">
        <w:rPr>
          <w:lang w:val="en-GB"/>
        </w:rPr>
        <w:t>(FSS) (Earth-to-space).</w:t>
      </w:r>
    </w:p>
    <w:p w:rsidR="00AF59A0" w:rsidRPr="00304846" w:rsidRDefault="00AF59A0" w:rsidP="00B60A61">
      <w:pPr>
        <w:rPr>
          <w:lang w:val="en-GB"/>
        </w:rPr>
      </w:pPr>
      <w:r w:rsidRPr="00304846">
        <w:rPr>
          <w:lang w:val="en-GB"/>
        </w:rPr>
        <w:t>Point-to-point FS links in this frequency band are heavily used for cellular network backhaul in many countries. The use of point-to-point FS links in the 5 925-6 425 MHz band is relevant for rural areas as well as for urban environment, which requires consideration of different sharing scenarios. It is assumed in the study that IMT systems are to be deployed only as indoor small cells, which is required to ensure coexistence with FSS space stations, receiving in the band 5</w:t>
      </w:r>
      <w:r w:rsidR="00B60A61" w:rsidRPr="00304846">
        <w:rPr>
          <w:lang w:val="en-GB"/>
        </w:rPr>
        <w:t> </w:t>
      </w:r>
      <w:r w:rsidRPr="00304846">
        <w:rPr>
          <w:lang w:val="en-GB"/>
        </w:rPr>
        <w:t>925</w:t>
      </w:r>
      <w:r w:rsidR="00B60A61" w:rsidRPr="00304846">
        <w:rPr>
          <w:lang w:val="en-GB"/>
        </w:rPr>
        <w:noBreakHyphen/>
      </w:r>
      <w:r w:rsidRPr="00304846">
        <w:rPr>
          <w:lang w:val="en-GB"/>
        </w:rPr>
        <w:t>6 42</w:t>
      </w:r>
      <w:r w:rsidR="004A76E7">
        <w:rPr>
          <w:lang w:val="en-GB"/>
        </w:rPr>
        <w:t>5 MHz.</w:t>
      </w:r>
    </w:p>
    <w:p w:rsidR="00AF59A0" w:rsidRPr="00304846" w:rsidRDefault="00AF59A0" w:rsidP="00B60A61">
      <w:pPr>
        <w:rPr>
          <w:lang w:val="en-GB"/>
        </w:rPr>
      </w:pPr>
      <w:r w:rsidRPr="00304846">
        <w:rPr>
          <w:lang w:val="en-GB"/>
        </w:rPr>
        <w:t xml:space="preserve">Deliverables describing typical deployment of FS stations in the 5 925-6 425 MHz band and relevant for the assessment of interference are: </w:t>
      </w:r>
    </w:p>
    <w:p w:rsidR="00AF59A0" w:rsidRPr="00304846" w:rsidRDefault="00AF59A0" w:rsidP="00FC711E">
      <w:pPr>
        <w:pStyle w:val="enumlev1"/>
        <w:rPr>
          <w:lang w:val="en-GB" w:eastAsia="ja-JP"/>
        </w:rPr>
      </w:pPr>
      <w:r w:rsidRPr="00304846">
        <w:rPr>
          <w:lang w:val="en-GB"/>
        </w:rPr>
        <w:t>–</w:t>
      </w:r>
      <w:r w:rsidRPr="00304846">
        <w:rPr>
          <w:lang w:val="en-GB"/>
        </w:rPr>
        <w:tab/>
      </w:r>
      <w:r w:rsidRPr="00304846">
        <w:rPr>
          <w:lang w:val="en-GB" w:eastAsia="ja-JP"/>
        </w:rPr>
        <w:t xml:space="preserve">Report ITU-R F.2240 </w:t>
      </w:r>
      <w:r w:rsidR="00B60A61" w:rsidRPr="00304846">
        <w:rPr>
          <w:lang w:val="en-GB" w:eastAsia="ja-JP"/>
        </w:rPr>
        <w:t xml:space="preserve">– </w:t>
      </w:r>
      <w:r w:rsidRPr="00304846">
        <w:rPr>
          <w:lang w:val="en-GB" w:eastAsia="ja-JP"/>
        </w:rPr>
        <w:t>Interference analysis modelling for sharing between HAPS gateway links in the fixed service and other systems/services in the range 5 850</w:t>
      </w:r>
      <w:r w:rsidR="00FC711E" w:rsidRPr="00304846">
        <w:rPr>
          <w:lang w:val="en-GB" w:eastAsia="ja-JP"/>
        </w:rPr>
        <w:noBreakHyphen/>
      </w:r>
      <w:r w:rsidRPr="00304846">
        <w:rPr>
          <w:lang w:val="en-GB" w:eastAsia="ja-JP"/>
        </w:rPr>
        <w:t>7 075 MHz.</w:t>
      </w:r>
    </w:p>
    <w:p w:rsidR="00AF59A0" w:rsidRPr="00304846" w:rsidRDefault="00AF59A0" w:rsidP="00B60A61">
      <w:pPr>
        <w:pStyle w:val="enumlev1"/>
        <w:rPr>
          <w:lang w:val="en-GB" w:eastAsia="ja-JP"/>
        </w:rPr>
      </w:pPr>
      <w:r w:rsidRPr="00304846">
        <w:rPr>
          <w:lang w:val="en-GB" w:eastAsia="ja-JP"/>
        </w:rPr>
        <w:t>–</w:t>
      </w:r>
      <w:r w:rsidRPr="00304846">
        <w:rPr>
          <w:lang w:val="en-GB" w:eastAsia="ja-JP"/>
        </w:rPr>
        <w:tab/>
        <w:t xml:space="preserve">Recommendation ITU-R F.758 </w:t>
      </w:r>
      <w:r w:rsidR="00B60A61" w:rsidRPr="00304846">
        <w:rPr>
          <w:lang w:val="en-GB" w:eastAsia="ja-JP"/>
        </w:rPr>
        <w:t xml:space="preserve">– </w:t>
      </w:r>
      <w:r w:rsidRPr="00304846">
        <w:rPr>
          <w:lang w:val="en-GB" w:eastAsia="ja-JP"/>
        </w:rPr>
        <w:t>System parameters and considerations in the development of criteria for sharing or compatibility between digital fixed wireless systems in the fixed service and systems in other services an</w:t>
      </w:r>
      <w:r w:rsidR="00B60A61" w:rsidRPr="00304846">
        <w:rPr>
          <w:lang w:val="en-GB" w:eastAsia="ja-JP"/>
        </w:rPr>
        <w:t>d other sources of interference</w:t>
      </w:r>
      <w:r w:rsidRPr="00304846">
        <w:rPr>
          <w:lang w:val="en-GB" w:eastAsia="ja-JP"/>
        </w:rPr>
        <w:t>.</w:t>
      </w:r>
    </w:p>
    <w:p w:rsidR="00AF59A0" w:rsidRPr="00304846" w:rsidRDefault="00AF59A0" w:rsidP="00AF59A0">
      <w:pPr>
        <w:pStyle w:val="Heading1"/>
        <w:rPr>
          <w:lang w:val="en-GB"/>
        </w:rPr>
      </w:pPr>
      <w:r w:rsidRPr="00304846">
        <w:rPr>
          <w:lang w:val="en-GB"/>
        </w:rPr>
        <w:t>3</w:t>
      </w:r>
      <w:r w:rsidRPr="00304846">
        <w:rPr>
          <w:lang w:val="en-GB"/>
        </w:rPr>
        <w:tab/>
        <w:t>Technical characteristics</w:t>
      </w:r>
    </w:p>
    <w:p w:rsidR="00AF59A0" w:rsidRPr="00304846" w:rsidRDefault="00AF59A0" w:rsidP="00AF59A0">
      <w:pPr>
        <w:pStyle w:val="Heading2"/>
        <w:rPr>
          <w:lang w:val="en-GB"/>
        </w:rPr>
      </w:pPr>
      <w:r w:rsidRPr="00304846">
        <w:rPr>
          <w:lang w:val="en-GB"/>
        </w:rPr>
        <w:t>3.1</w:t>
      </w:r>
      <w:r w:rsidRPr="00304846">
        <w:rPr>
          <w:lang w:val="en-GB"/>
        </w:rPr>
        <w:tab/>
        <w:t>IMT systems characteristics and assumptions</w:t>
      </w:r>
    </w:p>
    <w:p w:rsidR="00AF59A0" w:rsidRPr="00304846" w:rsidRDefault="00AF59A0" w:rsidP="00AF59A0">
      <w:pPr>
        <w:rPr>
          <w:rFonts w:asciiTheme="majorBidi" w:hAnsiTheme="majorBidi" w:cstheme="majorBidi"/>
          <w:szCs w:val="24"/>
          <w:lang w:val="en-GB"/>
        </w:rPr>
      </w:pPr>
      <w:r w:rsidRPr="00304846">
        <w:rPr>
          <w:rFonts w:asciiTheme="majorBidi" w:hAnsiTheme="majorBidi" w:cstheme="majorBidi"/>
          <w:lang w:val="en-GB"/>
        </w:rPr>
        <w:t xml:space="preserve">Considering the rather high frequency of the frequency band 5 925-6 425 MHz, it was assumed that the IMT systems would most likely be deployed in dense urban areas and mainly indoor as pico and femto cells with wideband channels and high data rate. It was also assumed that the frequency band </w:t>
      </w:r>
      <w:r w:rsidRPr="00304846">
        <w:rPr>
          <w:rFonts w:asciiTheme="majorBidi" w:hAnsiTheme="majorBidi" w:cstheme="majorBidi"/>
          <w:szCs w:val="24"/>
          <w:lang w:val="en-GB"/>
        </w:rPr>
        <w:t xml:space="preserve">5 925-6 425 MHz would be used as a separate level of coverage without macro cells, making the time division duplex more advantageous for such IMT systems. Taking this into account the calculations consider only small base stations emitting up to 100% of time. Subscriber stations, </w:t>
      </w:r>
      <w:r w:rsidRPr="00304846">
        <w:rPr>
          <w:rFonts w:asciiTheme="majorBidi" w:hAnsiTheme="majorBidi" w:cstheme="majorBidi"/>
          <w:szCs w:val="24"/>
          <w:lang w:val="en-GB"/>
        </w:rPr>
        <w:lastRenderedPageBreak/>
        <w:t>which are generally low power and power controlled, were not considered. Parameters for small base stations used in the calculati</w:t>
      </w:r>
      <w:r w:rsidR="006C4C52">
        <w:rPr>
          <w:rFonts w:asciiTheme="majorBidi" w:hAnsiTheme="majorBidi" w:cstheme="majorBidi"/>
          <w:szCs w:val="24"/>
          <w:lang w:val="en-GB"/>
        </w:rPr>
        <w:t>ons are given in Table 1 below.</w:t>
      </w:r>
    </w:p>
    <w:p w:rsidR="00AF59A0" w:rsidRPr="00304846" w:rsidRDefault="00924E0E" w:rsidP="00AF59A0">
      <w:pPr>
        <w:pStyle w:val="TableNo"/>
        <w:rPr>
          <w:lang w:val="en-GB"/>
        </w:rPr>
      </w:pPr>
      <w:r w:rsidRPr="00304846">
        <w:rPr>
          <w:lang w:val="en-GB"/>
        </w:rPr>
        <w:t xml:space="preserve">TABLE </w:t>
      </w:r>
      <w:r w:rsidR="00AF59A0" w:rsidRPr="00304846">
        <w:rPr>
          <w:lang w:val="en-GB"/>
        </w:rPr>
        <w:t>1</w:t>
      </w:r>
    </w:p>
    <w:p w:rsidR="00AF59A0" w:rsidRPr="00304846" w:rsidRDefault="00AF59A0" w:rsidP="00AF59A0">
      <w:pPr>
        <w:pStyle w:val="Tabletitle"/>
        <w:rPr>
          <w:lang w:val="en-GB"/>
        </w:rPr>
      </w:pPr>
      <w:r w:rsidRPr="00304846">
        <w:rPr>
          <w:lang w:val="en-GB"/>
        </w:rPr>
        <w:t>Deployment-related param</w:t>
      </w:r>
      <w:r w:rsidR="001D5531" w:rsidRPr="00304846">
        <w:rPr>
          <w:lang w:val="en-GB"/>
        </w:rPr>
        <w:t>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5"/>
        <w:gridCol w:w="4534"/>
      </w:tblGrid>
      <w:tr w:rsidR="00AF59A0" w:rsidRPr="00304846" w:rsidTr="00C51D02">
        <w:trPr>
          <w:trHeight w:val="58"/>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8E34E1" w:rsidP="00924E0E">
            <w:pPr>
              <w:pStyle w:val="Tablehead"/>
              <w:rPr>
                <w:rFonts w:eastAsia="Calibri"/>
                <w:lang w:val="en-GB"/>
              </w:rPr>
            </w:pPr>
            <w:r w:rsidRPr="00304846">
              <w:rPr>
                <w:rFonts w:eastAsia="Calibri"/>
                <w:lang w:val="en-GB"/>
              </w:rPr>
              <w:t>Base station characteristics/</w:t>
            </w:r>
            <w:r w:rsidR="00AF59A0" w:rsidRPr="00304846">
              <w:rPr>
                <w:rFonts w:eastAsia="Calibri"/>
                <w:lang w:val="en-GB"/>
              </w:rPr>
              <w:t>Cell structure</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head"/>
              <w:rPr>
                <w:rFonts w:eastAsia="Calibri"/>
                <w:lang w:val="en-GB"/>
              </w:rPr>
            </w:pPr>
            <w:r w:rsidRPr="00304846">
              <w:rPr>
                <w:rFonts w:eastAsia="Calibri"/>
                <w:lang w:val="en-GB"/>
              </w:rPr>
              <w:t>Small cell indoor</w:t>
            </w:r>
          </w:p>
        </w:tc>
      </w:tr>
      <w:tr w:rsidR="00AF59A0" w:rsidRPr="00FF34AD"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F41739" w:rsidP="00924E0E">
            <w:pPr>
              <w:pStyle w:val="Tabletext"/>
              <w:rPr>
                <w:rFonts w:eastAsia="Calibri"/>
                <w:lang w:val="en-GB"/>
              </w:rPr>
            </w:pPr>
            <w:r w:rsidRPr="00304846">
              <w:rPr>
                <w:rFonts w:eastAsia="Calibri"/>
                <w:lang w:val="en-GB"/>
              </w:rPr>
              <w:t>Cell radius/</w:t>
            </w:r>
            <w:r w:rsidR="00AF59A0" w:rsidRPr="00304846">
              <w:rPr>
                <w:rFonts w:eastAsia="Calibri"/>
                <w:lang w:val="en-GB"/>
              </w:rPr>
              <w:t>Deployment density</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jc w:val="center"/>
              <w:rPr>
                <w:rFonts w:eastAsia="Calibri"/>
                <w:lang w:val="en-GB"/>
              </w:rPr>
            </w:pPr>
            <w:r w:rsidRPr="00304846">
              <w:rPr>
                <w:rFonts w:eastAsia="Calibri"/>
                <w:color w:val="000000"/>
                <w:lang w:val="en-GB"/>
              </w:rPr>
              <w:t>Depending on indoor coverage/capacity demand</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rPr>
                <w:rFonts w:eastAsia="Calibri"/>
                <w:lang w:val="en-GB"/>
              </w:rPr>
            </w:pPr>
            <w:r w:rsidRPr="00304846">
              <w:rPr>
                <w:rFonts w:eastAsia="Calibri"/>
                <w:lang w:val="en-GB"/>
              </w:rPr>
              <w:t>Antenna height</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jc w:val="center"/>
              <w:rPr>
                <w:rFonts w:eastAsia="Calibri"/>
                <w:lang w:val="en-GB"/>
              </w:rPr>
            </w:pPr>
            <w:r w:rsidRPr="00304846">
              <w:rPr>
                <w:rFonts w:eastAsia="Calibri"/>
                <w:lang w:val="en-GB"/>
              </w:rPr>
              <w:t>3 m</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rPr>
                <w:rFonts w:eastAsia="Calibri"/>
                <w:lang w:val="en-GB"/>
              </w:rPr>
            </w:pPr>
            <w:r w:rsidRPr="00304846">
              <w:rPr>
                <w:rFonts w:eastAsia="Calibri"/>
                <w:lang w:val="en-GB"/>
              </w:rPr>
              <w:t>Sectorization</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jc w:val="center"/>
              <w:rPr>
                <w:rFonts w:eastAsia="Calibri"/>
                <w:lang w:val="en-GB"/>
              </w:rPr>
            </w:pPr>
            <w:r w:rsidRPr="00304846">
              <w:rPr>
                <w:rFonts w:eastAsia="Calibri"/>
                <w:lang w:val="en-GB"/>
              </w:rPr>
              <w:t>Single sector</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rPr>
                <w:rFonts w:eastAsia="Calibri"/>
                <w:lang w:val="en-GB"/>
              </w:rPr>
            </w:pPr>
            <w:r w:rsidRPr="00304846">
              <w:rPr>
                <w:rFonts w:eastAsia="Calibri"/>
                <w:lang w:val="en-GB"/>
              </w:rPr>
              <w:t>Downtilt</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jc w:val="center"/>
              <w:rPr>
                <w:rFonts w:eastAsia="Calibri"/>
                <w:lang w:val="en-GB"/>
              </w:rPr>
            </w:pPr>
            <w:r w:rsidRPr="00304846">
              <w:rPr>
                <w:rFonts w:eastAsia="Calibri"/>
                <w:lang w:val="en-GB"/>
              </w:rPr>
              <w:t>n.a.</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rPr>
                <w:rFonts w:eastAsia="Calibri"/>
                <w:lang w:val="en-GB"/>
              </w:rPr>
            </w:pPr>
            <w:r w:rsidRPr="00304846">
              <w:rPr>
                <w:rFonts w:eastAsia="Calibri"/>
                <w:lang w:val="en-GB"/>
              </w:rPr>
              <w:t>Frequency reuse</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jc w:val="center"/>
              <w:rPr>
                <w:rFonts w:eastAsia="Calibri"/>
                <w:lang w:val="en-GB"/>
              </w:rPr>
            </w:pPr>
            <w:r w:rsidRPr="00304846">
              <w:rPr>
                <w:rFonts w:eastAsia="Calibri"/>
                <w:lang w:val="en-GB"/>
              </w:rPr>
              <w:t>1</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rPr>
                <w:rFonts w:eastAsia="Calibri"/>
                <w:lang w:val="en-GB"/>
              </w:rPr>
            </w:pPr>
            <w:r w:rsidRPr="00304846">
              <w:rPr>
                <w:rFonts w:eastAsia="Calibri"/>
                <w:lang w:val="en-GB"/>
              </w:rPr>
              <w:t>Antenna pattern</w:t>
            </w:r>
          </w:p>
        </w:tc>
        <w:tc>
          <w:tcPr>
            <w:tcW w:w="2352" w:type="pct"/>
            <w:tcBorders>
              <w:top w:val="single" w:sz="4" w:space="0" w:color="auto"/>
              <w:left w:val="single" w:sz="4" w:space="0" w:color="auto"/>
              <w:bottom w:val="single" w:sz="4" w:space="0" w:color="auto"/>
              <w:right w:val="single" w:sz="4" w:space="0" w:color="auto"/>
            </w:tcBorders>
            <w:hideMark/>
          </w:tcPr>
          <w:p w:rsidR="00AF59A0" w:rsidRPr="006C4C52" w:rsidRDefault="00AF59A0" w:rsidP="00924E0E">
            <w:pPr>
              <w:pStyle w:val="Tabletext"/>
              <w:jc w:val="center"/>
              <w:rPr>
                <w:rFonts w:eastAsia="Calibri"/>
                <w:lang w:val="fr-CH"/>
              </w:rPr>
            </w:pPr>
            <w:r w:rsidRPr="006C4C52">
              <w:rPr>
                <w:rFonts w:eastAsia="Calibri"/>
                <w:lang w:val="fr-CH"/>
              </w:rPr>
              <w:t xml:space="preserve">Recommendation ITU-R F.1336 omni </w:t>
            </w:r>
            <w:r w:rsidR="00924E0E" w:rsidRPr="002330EA">
              <w:rPr>
                <w:rFonts w:eastAsia="Calibri"/>
                <w:lang w:val="fr-CH"/>
              </w:rPr>
              <w:br/>
            </w:r>
            <w:r w:rsidRPr="006C4C52">
              <w:rPr>
                <w:rFonts w:eastAsia="Calibri"/>
                <w:lang w:val="fr-CH"/>
              </w:rPr>
              <w:t>(Fig</w:t>
            </w:r>
            <w:r w:rsidR="00924E0E" w:rsidRPr="002330EA">
              <w:rPr>
                <w:rFonts w:eastAsia="Calibri"/>
                <w:lang w:val="fr-CH"/>
              </w:rPr>
              <w:t>s</w:t>
            </w:r>
            <w:r w:rsidRPr="006C4C52">
              <w:rPr>
                <w:rFonts w:eastAsia="Calibri"/>
                <w:lang w:val="fr-CH"/>
              </w:rPr>
              <w:t xml:space="preserve"> 1, 2)</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rPr>
                <w:rFonts w:eastAsia="Calibri"/>
                <w:lang w:val="en-GB"/>
              </w:rPr>
            </w:pPr>
            <w:r w:rsidRPr="00304846">
              <w:rPr>
                <w:rFonts w:eastAsia="Calibri"/>
                <w:lang w:val="en-GB"/>
              </w:rPr>
              <w:t>Antenna polarization</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jc w:val="center"/>
              <w:rPr>
                <w:rFonts w:eastAsia="Calibri"/>
                <w:lang w:val="en-GB"/>
              </w:rPr>
            </w:pPr>
            <w:r w:rsidRPr="00304846">
              <w:rPr>
                <w:rFonts w:eastAsia="Calibri"/>
                <w:lang w:val="en-GB"/>
              </w:rPr>
              <w:t>Linear</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rPr>
                <w:rFonts w:eastAsia="Calibri"/>
                <w:lang w:val="en-GB"/>
              </w:rPr>
            </w:pPr>
            <w:r w:rsidRPr="00304846">
              <w:rPr>
                <w:rFonts w:eastAsia="Calibri"/>
                <w:lang w:val="en-GB"/>
              </w:rPr>
              <w:t>Indoor base station deployment</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jc w:val="center"/>
              <w:rPr>
                <w:rFonts w:eastAsia="Calibri"/>
                <w:lang w:val="en-GB"/>
              </w:rPr>
            </w:pPr>
            <w:r w:rsidRPr="00304846">
              <w:rPr>
                <w:rFonts w:eastAsia="Calibri"/>
                <w:lang w:val="en-GB"/>
              </w:rPr>
              <w:t>100%</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rPr>
                <w:rFonts w:eastAsia="Calibri"/>
                <w:lang w:val="en-GB"/>
              </w:rPr>
            </w:pPr>
            <w:r w:rsidRPr="00304846">
              <w:rPr>
                <w:rFonts w:eastAsia="Calibri"/>
                <w:lang w:val="en-GB"/>
              </w:rPr>
              <w:t>Indoor base station penetration loss</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jc w:val="center"/>
              <w:rPr>
                <w:rFonts w:eastAsia="Calibri"/>
                <w:lang w:val="en-GB"/>
              </w:rPr>
            </w:pPr>
            <w:r w:rsidRPr="00304846">
              <w:rPr>
                <w:rFonts w:eastAsia="Calibri"/>
                <w:lang w:val="en-GB"/>
              </w:rPr>
              <w:t>20 dB</w:t>
            </w:r>
            <w:r w:rsidR="00924E0E" w:rsidRPr="00304846">
              <w:rPr>
                <w:rFonts w:eastAsia="Calibri"/>
                <w:lang w:val="en-GB"/>
              </w:rPr>
              <w:t xml:space="preserve"> (Note 1)</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rPr>
                <w:rFonts w:eastAsia="Calibri"/>
                <w:lang w:val="en-GB"/>
              </w:rPr>
            </w:pPr>
            <w:r w:rsidRPr="00304846">
              <w:rPr>
                <w:rFonts w:eastAsia="Calibri"/>
                <w:lang w:val="en-GB"/>
              </w:rPr>
              <w:t>Below rooftop base station antenna deployment</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jc w:val="center"/>
              <w:rPr>
                <w:rFonts w:eastAsia="Calibri"/>
                <w:lang w:val="en-GB"/>
              </w:rPr>
            </w:pPr>
            <w:r w:rsidRPr="00304846">
              <w:rPr>
                <w:rFonts w:eastAsia="Calibri"/>
                <w:lang w:val="en-GB"/>
              </w:rPr>
              <w:t>n.a.</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rPr>
                <w:rFonts w:eastAsia="Calibri"/>
                <w:lang w:val="en-GB"/>
              </w:rPr>
            </w:pPr>
            <w:r w:rsidRPr="00304846">
              <w:rPr>
                <w:rFonts w:eastAsia="Calibri"/>
                <w:lang w:val="en-GB"/>
              </w:rPr>
              <w:t>Feeder loss</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jc w:val="center"/>
              <w:rPr>
                <w:rFonts w:eastAsia="Calibri"/>
                <w:lang w:val="en-GB"/>
              </w:rPr>
            </w:pPr>
            <w:r w:rsidRPr="00304846">
              <w:rPr>
                <w:rFonts w:eastAsia="Calibri"/>
                <w:lang w:val="en-GB"/>
              </w:rPr>
              <w:t>n.a</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rPr>
                <w:rFonts w:eastAsia="Calibri"/>
                <w:lang w:val="en-GB"/>
              </w:rPr>
            </w:pPr>
            <w:r w:rsidRPr="00304846">
              <w:rPr>
                <w:rFonts w:eastAsia="Calibri"/>
                <w:lang w:val="en-GB"/>
              </w:rPr>
              <w:t>Maximum base station output power (20 MHz)</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jc w:val="center"/>
              <w:rPr>
                <w:rFonts w:eastAsia="Calibri"/>
                <w:lang w:val="en-GB"/>
              </w:rPr>
            </w:pPr>
            <w:r w:rsidRPr="00304846">
              <w:rPr>
                <w:rFonts w:eastAsia="Calibri"/>
                <w:lang w:val="en-GB"/>
              </w:rPr>
              <w:t>24 dBm and 30 dBm</w:t>
            </w:r>
            <w:r w:rsidR="00924E0E" w:rsidRPr="00304846">
              <w:rPr>
                <w:rFonts w:eastAsia="Calibri"/>
                <w:lang w:val="en-GB"/>
              </w:rPr>
              <w:t xml:space="preserve"> (Note 2)</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tcPr>
          <w:p w:rsidR="00AF59A0" w:rsidRPr="00304846" w:rsidRDefault="00575F6D" w:rsidP="00924E0E">
            <w:pPr>
              <w:pStyle w:val="Tabletext"/>
              <w:rPr>
                <w:color w:val="000000"/>
                <w:lang w:val="en-GB" w:eastAsia="ar-SA"/>
              </w:rPr>
            </w:pPr>
            <w:r w:rsidRPr="00304846">
              <w:rPr>
                <w:color w:val="000000"/>
                <w:lang w:val="en-GB" w:eastAsia="ar-SA"/>
              </w:rPr>
              <w:t xml:space="preserve">Channel </w:t>
            </w:r>
            <w:r w:rsidR="00AF59A0" w:rsidRPr="00304846">
              <w:rPr>
                <w:color w:val="000000"/>
                <w:lang w:val="en-GB" w:eastAsia="ar-SA"/>
              </w:rPr>
              <w:t xml:space="preserve">bandwith </w:t>
            </w:r>
          </w:p>
        </w:tc>
        <w:tc>
          <w:tcPr>
            <w:tcW w:w="2352" w:type="pct"/>
            <w:tcBorders>
              <w:top w:val="single" w:sz="4" w:space="0" w:color="auto"/>
              <w:left w:val="single" w:sz="4" w:space="0" w:color="auto"/>
              <w:bottom w:val="single" w:sz="4" w:space="0" w:color="auto"/>
              <w:right w:val="single" w:sz="4" w:space="0" w:color="auto"/>
            </w:tcBorders>
          </w:tcPr>
          <w:p w:rsidR="00AF59A0" w:rsidRPr="00304846" w:rsidRDefault="00AF59A0" w:rsidP="00924E0E">
            <w:pPr>
              <w:pStyle w:val="Tabletext"/>
              <w:jc w:val="center"/>
              <w:rPr>
                <w:rFonts w:eastAsia="Calibri"/>
                <w:lang w:val="en-GB"/>
              </w:rPr>
            </w:pPr>
            <w:r w:rsidRPr="00304846">
              <w:rPr>
                <w:rFonts w:eastAsia="Calibri"/>
                <w:lang w:val="en-GB"/>
              </w:rPr>
              <w:t>20 MHz</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tcPr>
          <w:p w:rsidR="00AF59A0" w:rsidRPr="00304846" w:rsidRDefault="00AF59A0" w:rsidP="00924E0E">
            <w:pPr>
              <w:pStyle w:val="Tabletext"/>
              <w:rPr>
                <w:rFonts w:eastAsia="Calibri"/>
                <w:lang w:val="en-GB"/>
              </w:rPr>
            </w:pPr>
            <w:r w:rsidRPr="00304846">
              <w:rPr>
                <w:color w:val="000000"/>
                <w:lang w:val="en-GB" w:eastAsia="ar-SA"/>
              </w:rPr>
              <w:t>Transmitter spectrum mask</w:t>
            </w:r>
          </w:p>
        </w:tc>
        <w:tc>
          <w:tcPr>
            <w:tcW w:w="2352" w:type="pct"/>
            <w:tcBorders>
              <w:top w:val="single" w:sz="4" w:space="0" w:color="auto"/>
              <w:left w:val="single" w:sz="4" w:space="0" w:color="auto"/>
              <w:bottom w:val="single" w:sz="4" w:space="0" w:color="auto"/>
              <w:right w:val="single" w:sz="4" w:space="0" w:color="auto"/>
            </w:tcBorders>
          </w:tcPr>
          <w:p w:rsidR="00AF59A0" w:rsidRPr="00304846" w:rsidRDefault="00AF59A0" w:rsidP="00924E0E">
            <w:pPr>
              <w:pStyle w:val="Tabletext"/>
              <w:jc w:val="center"/>
              <w:rPr>
                <w:rFonts w:eastAsia="Calibri"/>
                <w:lang w:val="en-GB"/>
              </w:rPr>
            </w:pPr>
            <w:r w:rsidRPr="00304846">
              <w:rPr>
                <w:rFonts w:eastAsia="Calibri"/>
                <w:lang w:val="en-GB"/>
              </w:rPr>
              <w:t>Table 2, Fig. 3</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AF59A0" w:rsidP="00575F6D">
            <w:pPr>
              <w:pStyle w:val="Tabletext"/>
              <w:rPr>
                <w:rFonts w:eastAsia="Calibri"/>
                <w:b/>
                <w:bCs/>
                <w:lang w:val="en-GB"/>
              </w:rPr>
            </w:pPr>
            <w:r w:rsidRPr="00304846">
              <w:rPr>
                <w:rFonts w:eastAsia="Calibri"/>
                <w:b/>
                <w:bCs/>
                <w:lang w:val="en-GB"/>
              </w:rPr>
              <w:t>Base station characteristics/Cell structure</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jc w:val="center"/>
              <w:rPr>
                <w:rFonts w:eastAsia="Calibri"/>
                <w:b/>
                <w:bCs/>
                <w:lang w:val="en-GB"/>
              </w:rPr>
            </w:pPr>
            <w:r w:rsidRPr="00304846">
              <w:rPr>
                <w:rFonts w:eastAsia="Calibri"/>
                <w:b/>
                <w:bCs/>
                <w:lang w:val="en-GB"/>
              </w:rPr>
              <w:t>Small cell indoor</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rPr>
                <w:rFonts w:eastAsia="Calibri"/>
                <w:lang w:val="en-GB"/>
              </w:rPr>
            </w:pPr>
            <w:r w:rsidRPr="00304846">
              <w:rPr>
                <w:rFonts w:eastAsia="Calibri"/>
                <w:lang w:val="en-GB"/>
              </w:rPr>
              <w:t>Maximum base station antenna gain</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jc w:val="center"/>
              <w:rPr>
                <w:rFonts w:eastAsia="Calibri"/>
                <w:lang w:val="en-GB"/>
              </w:rPr>
            </w:pPr>
            <w:r w:rsidRPr="00304846">
              <w:rPr>
                <w:rFonts w:eastAsia="Calibri"/>
                <w:lang w:val="en-GB"/>
              </w:rPr>
              <w:t>0 dBi</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rPr>
                <w:rFonts w:eastAsia="Calibri"/>
                <w:lang w:val="en-GB"/>
              </w:rPr>
            </w:pPr>
            <w:r w:rsidRPr="00304846">
              <w:rPr>
                <w:rFonts w:eastAsia="Calibri"/>
                <w:lang w:val="en-GB"/>
              </w:rPr>
              <w:t>Maximum base station output power (e.i.r.p.)</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jc w:val="center"/>
              <w:rPr>
                <w:rFonts w:eastAsia="Calibri"/>
                <w:lang w:val="en-GB"/>
              </w:rPr>
            </w:pPr>
            <w:r w:rsidRPr="00304846">
              <w:rPr>
                <w:rFonts w:eastAsia="Calibri"/>
                <w:lang w:val="en-GB"/>
              </w:rPr>
              <w:t>24 dBm and 30 dBm</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rPr>
                <w:rFonts w:eastAsia="Calibri"/>
                <w:lang w:val="en-GB"/>
              </w:rPr>
            </w:pPr>
            <w:r w:rsidRPr="00304846">
              <w:rPr>
                <w:rFonts w:eastAsia="Calibri"/>
                <w:lang w:val="en-GB"/>
              </w:rPr>
              <w:t>Average base station activity</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575F6D" w:rsidP="00924E0E">
            <w:pPr>
              <w:pStyle w:val="Tabletext"/>
              <w:jc w:val="center"/>
              <w:rPr>
                <w:rFonts w:eastAsia="Calibri"/>
                <w:lang w:val="en-GB"/>
              </w:rPr>
            </w:pPr>
            <w:r w:rsidRPr="00304846">
              <w:rPr>
                <w:rFonts w:eastAsia="Calibri"/>
                <w:lang w:val="en-GB"/>
              </w:rPr>
              <w:t>50</w:t>
            </w:r>
            <w:r w:rsidR="00AF59A0" w:rsidRPr="00304846">
              <w:rPr>
                <w:rFonts w:eastAsia="Calibri"/>
                <w:lang w:val="en-GB"/>
              </w:rPr>
              <w:t>%</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AF59A0" w:rsidP="00C51D02">
            <w:pPr>
              <w:pStyle w:val="Tabletext"/>
              <w:jc w:val="left"/>
              <w:rPr>
                <w:rFonts w:eastAsia="Calibri"/>
                <w:lang w:val="en-GB"/>
              </w:rPr>
            </w:pPr>
            <w:r w:rsidRPr="00304846">
              <w:rPr>
                <w:rFonts w:eastAsia="Calibri"/>
                <w:lang w:val="en-GB"/>
              </w:rPr>
              <w:t>Average base station power/sector (to be used in sharing studies)</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jc w:val="center"/>
              <w:rPr>
                <w:rFonts w:eastAsia="Calibri"/>
                <w:lang w:val="en-GB"/>
              </w:rPr>
            </w:pPr>
            <w:r w:rsidRPr="00304846">
              <w:rPr>
                <w:rFonts w:eastAsia="Calibri"/>
                <w:lang w:val="en-GB"/>
              </w:rPr>
              <w:t>21 dBm and 27 dBm</w:t>
            </w:r>
          </w:p>
        </w:tc>
      </w:tr>
      <w:tr w:rsidR="00924E0E" w:rsidRPr="00FF34AD" w:rsidTr="00924E0E">
        <w:trPr>
          <w:trHeight w:val="20"/>
          <w:jc w:val="center"/>
        </w:trPr>
        <w:tc>
          <w:tcPr>
            <w:tcW w:w="5000" w:type="pct"/>
            <w:gridSpan w:val="2"/>
            <w:tcBorders>
              <w:top w:val="single" w:sz="4" w:space="0" w:color="auto"/>
              <w:left w:val="nil"/>
              <w:bottom w:val="nil"/>
              <w:right w:val="nil"/>
            </w:tcBorders>
          </w:tcPr>
          <w:p w:rsidR="00924E0E" w:rsidRPr="00304846" w:rsidRDefault="00924E0E" w:rsidP="008E34E1">
            <w:pPr>
              <w:pStyle w:val="TableLegendNote"/>
              <w:rPr>
                <w:lang w:val="en-GB"/>
              </w:rPr>
            </w:pPr>
            <w:r w:rsidRPr="00304846">
              <w:rPr>
                <w:rFonts w:eastAsia="Calibri"/>
                <w:lang w:val="en-GB"/>
              </w:rPr>
              <w:t xml:space="preserve">NOTE 1 – </w:t>
            </w:r>
            <w:r w:rsidRPr="00304846">
              <w:rPr>
                <w:lang w:val="en-GB"/>
              </w:rPr>
              <w:t>Typical value for indoor base station penetration loss is described as 25 dB for the horizontal direction in the band 5-6 GHz, however 20 dB is used for interference assessment.</w:t>
            </w:r>
          </w:p>
          <w:p w:rsidR="00924E0E" w:rsidRPr="00304846" w:rsidRDefault="00924E0E" w:rsidP="008E34E1">
            <w:pPr>
              <w:pStyle w:val="TableLegendNote"/>
              <w:rPr>
                <w:rFonts w:eastAsia="Calibri"/>
                <w:lang w:val="en-GB"/>
              </w:rPr>
            </w:pPr>
            <w:r w:rsidRPr="00304846">
              <w:rPr>
                <w:rFonts w:eastAsia="Calibri"/>
                <w:lang w:val="en-GB"/>
              </w:rPr>
              <w:t xml:space="preserve">NOTE 2 – </w:t>
            </w:r>
            <w:r w:rsidRPr="00304846">
              <w:rPr>
                <w:lang w:val="en-GB"/>
              </w:rPr>
              <w:t>30 dBm value is added as an alternative value. Due to assumed 100 MHz channel higher power might be necessary to provide similar power spectrum density as within 20 MHz channel.</w:t>
            </w:r>
          </w:p>
        </w:tc>
      </w:tr>
    </w:tbl>
    <w:p w:rsidR="00AF59A0" w:rsidRPr="00304846" w:rsidRDefault="00AF59A0" w:rsidP="00AF59A0">
      <w:pPr>
        <w:overflowPunct/>
        <w:autoSpaceDE/>
        <w:autoSpaceDN/>
        <w:adjustRightInd/>
        <w:spacing w:before="0"/>
        <w:textAlignment w:val="auto"/>
        <w:rPr>
          <w:caps/>
          <w:sz w:val="20"/>
          <w:lang w:val="en-GB"/>
        </w:rPr>
      </w:pPr>
    </w:p>
    <w:p w:rsidR="00AF59A0" w:rsidRPr="00304846" w:rsidRDefault="00AF59A0" w:rsidP="00AF59A0">
      <w:pPr>
        <w:pStyle w:val="FigureNo"/>
        <w:rPr>
          <w:lang w:val="en-GB"/>
        </w:rPr>
      </w:pPr>
      <w:r w:rsidRPr="00304846">
        <w:rPr>
          <w:lang w:val="en-GB"/>
        </w:rPr>
        <w:lastRenderedPageBreak/>
        <w:t>FIGURE 1</w:t>
      </w:r>
    </w:p>
    <w:p w:rsidR="008E437E" w:rsidRPr="00304846" w:rsidRDefault="008E437E" w:rsidP="008E34E1">
      <w:pPr>
        <w:pStyle w:val="Figuretitle"/>
        <w:rPr>
          <w:lang w:val="en-GB"/>
        </w:rPr>
      </w:pPr>
      <w:r w:rsidRPr="00304846">
        <w:rPr>
          <w:lang w:val="en-GB" w:eastAsia="fr-FR"/>
        </w:rPr>
        <w:t>Antenna radiation pattern IMT base station system</w:t>
      </w:r>
      <w:r w:rsidRPr="00304846">
        <w:rPr>
          <w:lang w:val="en-GB" w:eastAsia="ru-RU"/>
        </w:rPr>
        <w:t xml:space="preserve"> </w:t>
      </w:r>
      <w:r w:rsidRPr="00304846">
        <w:rPr>
          <w:lang w:val="en-GB"/>
        </w:rPr>
        <w:t>for azimuth angles</w:t>
      </w:r>
    </w:p>
    <w:p w:rsidR="00AF59A0" w:rsidRPr="00304846" w:rsidRDefault="00AF59A0" w:rsidP="008E437E">
      <w:pPr>
        <w:pStyle w:val="Figure"/>
        <w:rPr>
          <w:sz w:val="20"/>
          <w:lang w:val="en-GB"/>
        </w:rPr>
      </w:pPr>
      <w:r w:rsidRPr="00304846">
        <w:rPr>
          <w:noProof/>
          <w:lang w:val="en-US" w:eastAsia="zh-CN"/>
        </w:rPr>
        <w:drawing>
          <wp:inline distT="0" distB="0" distL="0" distR="0" wp14:anchorId="50FCD7C5" wp14:editId="0EEE759D">
            <wp:extent cx="2637155" cy="2505075"/>
            <wp:effectExtent l="19050" t="19050" r="10795" b="28575"/>
            <wp:docPr id="220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7155" cy="2505075"/>
                    </a:xfrm>
                    <a:prstGeom prst="rect">
                      <a:avLst/>
                    </a:prstGeom>
                    <a:noFill/>
                    <a:ln w="15875">
                      <a:solidFill>
                        <a:srgbClr val="000000"/>
                      </a:solidFill>
                      <a:miter lim="800000"/>
                      <a:headEnd/>
                      <a:tailEnd/>
                    </a:ln>
                  </pic:spPr>
                </pic:pic>
              </a:graphicData>
            </a:graphic>
          </wp:inline>
        </w:drawing>
      </w:r>
    </w:p>
    <w:p w:rsidR="00AF59A0" w:rsidRPr="00304846" w:rsidRDefault="00AF59A0" w:rsidP="00AF59A0">
      <w:pPr>
        <w:pStyle w:val="FigureNo"/>
        <w:rPr>
          <w:lang w:val="en-GB"/>
        </w:rPr>
      </w:pPr>
      <w:r w:rsidRPr="00304846">
        <w:rPr>
          <w:lang w:val="en-GB"/>
        </w:rPr>
        <w:t>FIGURE 2</w:t>
      </w:r>
    </w:p>
    <w:p w:rsidR="00AF59A0" w:rsidRPr="00304846" w:rsidRDefault="00AF59A0" w:rsidP="00AF59A0">
      <w:pPr>
        <w:pStyle w:val="Figuretitle"/>
        <w:rPr>
          <w:lang w:val="en-GB" w:eastAsia="ru-RU"/>
        </w:rPr>
      </w:pPr>
      <w:r w:rsidRPr="00304846">
        <w:rPr>
          <w:lang w:val="en-GB" w:eastAsia="fr-FR"/>
        </w:rPr>
        <w:t>Antenna radiation pattern IMT base station system</w:t>
      </w:r>
      <w:r w:rsidRPr="00304846">
        <w:rPr>
          <w:lang w:val="en-GB" w:eastAsia="ru-RU"/>
        </w:rPr>
        <w:t xml:space="preserve"> </w:t>
      </w:r>
      <w:r w:rsidRPr="00304846">
        <w:rPr>
          <w:lang w:val="en-GB"/>
        </w:rPr>
        <w:t>for elevation angles</w:t>
      </w:r>
    </w:p>
    <w:p w:rsidR="00AF59A0" w:rsidRPr="00304846" w:rsidRDefault="00AF59A0" w:rsidP="008E437E">
      <w:pPr>
        <w:pStyle w:val="Figure"/>
        <w:rPr>
          <w:rFonts w:asciiTheme="minorHAnsi" w:hAnsiTheme="minorHAnsi" w:cstheme="minorHAnsi"/>
          <w:sz w:val="20"/>
          <w:lang w:val="en-GB"/>
        </w:rPr>
      </w:pPr>
      <w:r w:rsidRPr="00304846">
        <w:rPr>
          <w:noProof/>
          <w:lang w:val="en-US" w:eastAsia="zh-CN"/>
        </w:rPr>
        <w:drawing>
          <wp:inline distT="0" distB="0" distL="0" distR="0" wp14:anchorId="6D22C1BA" wp14:editId="696EF787">
            <wp:extent cx="2943225" cy="2657475"/>
            <wp:effectExtent l="19050" t="19050" r="28575" b="28575"/>
            <wp:docPr id="22096" name="Рисунок 6"/>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3225" cy="2657475"/>
                    </a:xfrm>
                    <a:prstGeom prst="rect">
                      <a:avLst/>
                    </a:prstGeom>
                    <a:noFill/>
                    <a:ln w="15875">
                      <a:solidFill>
                        <a:schemeClr val="tx1"/>
                      </a:solidFill>
                    </a:ln>
                  </pic:spPr>
                </pic:pic>
              </a:graphicData>
            </a:graphic>
          </wp:inline>
        </w:drawing>
      </w:r>
    </w:p>
    <w:p w:rsidR="00AF59A0" w:rsidRPr="00304846" w:rsidRDefault="00AF59A0" w:rsidP="00AF59A0">
      <w:pPr>
        <w:pStyle w:val="TableNo"/>
        <w:rPr>
          <w:lang w:val="en-GB"/>
        </w:rPr>
      </w:pPr>
      <w:r w:rsidRPr="00304846">
        <w:rPr>
          <w:lang w:val="en-GB"/>
        </w:rPr>
        <w:t>TABLE 2</w:t>
      </w:r>
    </w:p>
    <w:p w:rsidR="00AF59A0" w:rsidRPr="00304846" w:rsidRDefault="00AF59A0" w:rsidP="005010BD">
      <w:pPr>
        <w:pStyle w:val="Tabletitle"/>
        <w:rPr>
          <w:lang w:val="en-GB"/>
        </w:rPr>
      </w:pPr>
      <w:r w:rsidRPr="00304846">
        <w:rPr>
          <w:lang w:val="en-GB"/>
        </w:rPr>
        <w:t>Transmitter spectrum mask IMT Systems</w:t>
      </w:r>
      <w:r w:rsidR="005010BD" w:rsidRPr="00304846">
        <w:rPr>
          <w:rStyle w:val="FootnoteReference"/>
          <w:b w:val="0"/>
          <w:bCs/>
          <w:lang w:val="en-GB"/>
        </w:rPr>
        <w:footnoteReference w:id="1"/>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70" w:type="dxa"/>
          <w:right w:w="70" w:type="dxa"/>
        </w:tblCellMar>
        <w:tblLook w:val="04A0" w:firstRow="1" w:lastRow="0" w:firstColumn="1" w:lastColumn="0" w:noHBand="0" w:noVBand="1"/>
      </w:tblPr>
      <w:tblGrid>
        <w:gridCol w:w="709"/>
        <w:gridCol w:w="1153"/>
        <w:gridCol w:w="3729"/>
      </w:tblGrid>
      <w:tr w:rsidR="00AF59A0" w:rsidRPr="002330EA" w:rsidTr="005761BF">
        <w:trPr>
          <w:trHeight w:val="335"/>
          <w:tblHeader/>
          <w:jc w:val="center"/>
        </w:trPr>
        <w:tc>
          <w:tcPr>
            <w:tcW w:w="0" w:type="auto"/>
            <w:vAlign w:val="center"/>
            <w:hideMark/>
          </w:tcPr>
          <w:p w:rsidR="00AF59A0" w:rsidRPr="00304846" w:rsidRDefault="00AF59A0" w:rsidP="005761BF">
            <w:pPr>
              <w:suppressAutoHyphens/>
              <w:snapToGrid w:val="0"/>
              <w:spacing w:before="20" w:after="20"/>
              <w:ind w:right="113"/>
              <w:jc w:val="center"/>
              <w:rPr>
                <w:rFonts w:asciiTheme="majorBidi" w:hAnsiTheme="majorBidi" w:cstheme="majorBidi"/>
                <w:b/>
                <w:bCs/>
                <w:color w:val="000000"/>
                <w:sz w:val="20"/>
                <w:lang w:val="en-GB" w:eastAsia="ar-SA"/>
              </w:rPr>
            </w:pPr>
            <w:r w:rsidRPr="00304846">
              <w:rPr>
                <w:rFonts w:asciiTheme="majorBidi" w:hAnsiTheme="majorBidi" w:cstheme="majorBidi"/>
                <w:b/>
                <w:bCs/>
                <w:color w:val="000000"/>
                <w:sz w:val="20"/>
                <w:lang w:val="en-GB" w:eastAsia="ar-SA"/>
              </w:rPr>
              <w:t>Band</w:t>
            </w:r>
          </w:p>
        </w:tc>
        <w:tc>
          <w:tcPr>
            <w:tcW w:w="0" w:type="auto"/>
            <w:vAlign w:val="center"/>
            <w:hideMark/>
          </w:tcPr>
          <w:p w:rsidR="00AF59A0" w:rsidRPr="00304846" w:rsidRDefault="005010BD" w:rsidP="005761BF">
            <w:pPr>
              <w:suppressAutoHyphens/>
              <w:snapToGrid w:val="0"/>
              <w:spacing w:before="20" w:after="20"/>
              <w:ind w:right="113"/>
              <w:jc w:val="center"/>
              <w:rPr>
                <w:rFonts w:asciiTheme="majorBidi" w:hAnsiTheme="majorBidi" w:cstheme="majorBidi"/>
                <w:b/>
                <w:bCs/>
                <w:color w:val="000000"/>
                <w:sz w:val="20"/>
                <w:lang w:val="en-GB" w:eastAsia="ar-SA"/>
              </w:rPr>
            </w:pPr>
            <w:r w:rsidRPr="00304846">
              <w:rPr>
                <w:rFonts w:asciiTheme="majorBidi" w:hAnsiTheme="majorBidi" w:cstheme="majorBidi"/>
                <w:b/>
                <w:bCs/>
                <w:color w:val="000000"/>
                <w:sz w:val="20"/>
                <w:lang w:val="en-GB" w:eastAsia="ar-SA"/>
              </w:rPr>
              <w:t>Channel</w:t>
            </w:r>
            <w:r w:rsidRPr="00304846">
              <w:rPr>
                <w:rFonts w:asciiTheme="majorBidi" w:hAnsiTheme="majorBidi" w:cstheme="majorBidi"/>
                <w:b/>
                <w:bCs/>
                <w:color w:val="000000"/>
                <w:sz w:val="20"/>
                <w:lang w:val="en-GB" w:eastAsia="ar-SA"/>
              </w:rPr>
              <w:br/>
              <w:t>s</w:t>
            </w:r>
            <w:r w:rsidR="00AF59A0" w:rsidRPr="00304846">
              <w:rPr>
                <w:rFonts w:asciiTheme="majorBidi" w:hAnsiTheme="majorBidi" w:cstheme="majorBidi"/>
                <w:b/>
                <w:bCs/>
                <w:color w:val="000000"/>
                <w:sz w:val="20"/>
                <w:lang w:val="en-GB" w:eastAsia="ar-SA"/>
              </w:rPr>
              <w:t>eparation</w:t>
            </w:r>
          </w:p>
        </w:tc>
        <w:tc>
          <w:tcPr>
            <w:tcW w:w="0" w:type="auto"/>
            <w:vMerge w:val="restart"/>
            <w:vAlign w:val="center"/>
          </w:tcPr>
          <w:p w:rsidR="00AF59A0" w:rsidRPr="00304846" w:rsidRDefault="00AF59A0" w:rsidP="005761BF">
            <w:pPr>
              <w:keepNext/>
              <w:keepLines/>
              <w:suppressAutoHyphens/>
              <w:snapToGrid w:val="0"/>
              <w:spacing w:before="20" w:after="20"/>
              <w:ind w:left="1134" w:hanging="1134"/>
              <w:jc w:val="center"/>
              <w:outlineLvl w:val="1"/>
              <w:rPr>
                <w:rFonts w:asciiTheme="majorBidi" w:hAnsiTheme="majorBidi" w:cstheme="majorBidi"/>
                <w:b/>
                <w:bCs/>
                <w:i/>
                <w:color w:val="000000"/>
                <w:sz w:val="20"/>
                <w:lang w:val="en-GB" w:eastAsia="ar-SA"/>
              </w:rPr>
            </w:pPr>
            <w:r w:rsidRPr="00304846">
              <w:rPr>
                <w:rFonts w:asciiTheme="majorBidi" w:hAnsiTheme="majorBidi" w:cstheme="majorBidi"/>
                <w:b/>
                <w:bCs/>
                <w:color w:val="000000"/>
                <w:sz w:val="20"/>
                <w:lang w:val="en-GB" w:eastAsia="ar-SA"/>
              </w:rPr>
              <w:t>Transmitter spectrum mask IMT Systems</w:t>
            </w:r>
          </w:p>
        </w:tc>
      </w:tr>
      <w:tr w:rsidR="00AF59A0" w:rsidRPr="00304846" w:rsidTr="005761BF">
        <w:trPr>
          <w:tblHeader/>
          <w:jc w:val="center"/>
        </w:trPr>
        <w:tc>
          <w:tcPr>
            <w:tcW w:w="0" w:type="auto"/>
            <w:vAlign w:val="center"/>
            <w:hideMark/>
          </w:tcPr>
          <w:p w:rsidR="00AF59A0" w:rsidRPr="00304846" w:rsidRDefault="00AF59A0" w:rsidP="005761BF">
            <w:pPr>
              <w:suppressAutoHyphens/>
              <w:snapToGrid w:val="0"/>
              <w:spacing w:before="20" w:after="20"/>
              <w:jc w:val="center"/>
              <w:rPr>
                <w:rFonts w:asciiTheme="majorBidi" w:hAnsiTheme="majorBidi" w:cstheme="majorBidi"/>
                <w:b/>
                <w:bCs/>
                <w:color w:val="000000"/>
                <w:sz w:val="20"/>
                <w:lang w:val="en-GB" w:eastAsia="ar-SA"/>
              </w:rPr>
            </w:pPr>
            <w:r w:rsidRPr="00304846">
              <w:rPr>
                <w:rFonts w:asciiTheme="majorBidi" w:hAnsiTheme="majorBidi" w:cstheme="majorBidi"/>
                <w:b/>
                <w:bCs/>
                <w:color w:val="000000"/>
                <w:sz w:val="20"/>
                <w:lang w:val="en-GB" w:eastAsia="ar-SA"/>
              </w:rPr>
              <w:t>MHz</w:t>
            </w:r>
          </w:p>
        </w:tc>
        <w:tc>
          <w:tcPr>
            <w:tcW w:w="0" w:type="auto"/>
            <w:tcBorders>
              <w:bottom w:val="single" w:sz="12" w:space="0" w:color="000000"/>
            </w:tcBorders>
            <w:vAlign w:val="center"/>
            <w:hideMark/>
          </w:tcPr>
          <w:p w:rsidR="00AF59A0" w:rsidRPr="00304846" w:rsidRDefault="00AF59A0" w:rsidP="005761BF">
            <w:pPr>
              <w:suppressAutoHyphens/>
              <w:snapToGrid w:val="0"/>
              <w:spacing w:before="20" w:after="20"/>
              <w:jc w:val="center"/>
              <w:rPr>
                <w:rFonts w:asciiTheme="majorBidi" w:hAnsiTheme="majorBidi" w:cstheme="majorBidi"/>
                <w:b/>
                <w:bCs/>
                <w:color w:val="000000"/>
                <w:sz w:val="20"/>
                <w:lang w:val="en-GB" w:eastAsia="ar-SA"/>
              </w:rPr>
            </w:pPr>
            <w:r w:rsidRPr="00304846">
              <w:rPr>
                <w:rFonts w:asciiTheme="majorBidi" w:hAnsiTheme="majorBidi" w:cstheme="majorBidi"/>
                <w:b/>
                <w:bCs/>
                <w:color w:val="000000"/>
                <w:sz w:val="20"/>
                <w:lang w:val="en-GB" w:eastAsia="ar-SA"/>
              </w:rPr>
              <w:t>MHz</w:t>
            </w:r>
          </w:p>
        </w:tc>
        <w:tc>
          <w:tcPr>
            <w:tcW w:w="0" w:type="auto"/>
            <w:vMerge/>
            <w:vAlign w:val="center"/>
          </w:tcPr>
          <w:p w:rsidR="00AF59A0" w:rsidRPr="00304846" w:rsidRDefault="00AF59A0" w:rsidP="005761BF">
            <w:pPr>
              <w:suppressAutoHyphens/>
              <w:snapToGrid w:val="0"/>
              <w:jc w:val="center"/>
              <w:rPr>
                <w:rFonts w:asciiTheme="majorBidi" w:hAnsiTheme="majorBidi" w:cstheme="majorBidi"/>
                <w:b/>
                <w:bCs/>
                <w:color w:val="000000"/>
                <w:sz w:val="20"/>
                <w:lang w:val="en-GB" w:eastAsia="ar-SA"/>
              </w:rPr>
            </w:pPr>
          </w:p>
        </w:tc>
      </w:tr>
    </w:tbl>
    <w:p w:rsidR="00AF59A0" w:rsidRPr="00304846" w:rsidRDefault="00AF59A0" w:rsidP="00AF59A0">
      <w:pPr>
        <w:spacing w:before="0"/>
        <w:rPr>
          <w:sz w:val="4"/>
          <w:szCs w:val="4"/>
          <w:lang w:val="en-GB"/>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70" w:type="dxa"/>
          <w:right w:w="70" w:type="dxa"/>
        </w:tblCellMar>
        <w:tblLook w:val="04A0" w:firstRow="1" w:lastRow="0" w:firstColumn="1" w:lastColumn="0" w:noHBand="0" w:noVBand="1"/>
      </w:tblPr>
      <w:tblGrid>
        <w:gridCol w:w="1107"/>
        <w:gridCol w:w="490"/>
        <w:gridCol w:w="340"/>
        <w:gridCol w:w="146"/>
        <w:gridCol w:w="949"/>
        <w:gridCol w:w="703"/>
        <w:gridCol w:w="703"/>
        <w:gridCol w:w="703"/>
        <w:gridCol w:w="703"/>
        <w:gridCol w:w="590"/>
        <w:gridCol w:w="590"/>
        <w:gridCol w:w="590"/>
        <w:gridCol w:w="590"/>
      </w:tblGrid>
      <w:tr w:rsidR="00AF59A0" w:rsidRPr="00304846" w:rsidTr="005761BF">
        <w:trPr>
          <w:trHeight w:val="227"/>
          <w:jc w:val="center"/>
        </w:trPr>
        <w:tc>
          <w:tcPr>
            <w:tcW w:w="0" w:type="auto"/>
            <w:vMerge w:val="restart"/>
            <w:shd w:val="clear" w:color="auto" w:fill="auto"/>
            <w:vAlign w:val="center"/>
            <w:hideMark/>
          </w:tcPr>
          <w:p w:rsidR="00AF59A0" w:rsidRPr="00304846" w:rsidRDefault="00AF59A0"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sz w:val="20"/>
                <w:lang w:val="en-GB" w:eastAsia="ar-SA"/>
              </w:rPr>
              <w:t>5</w:t>
            </w:r>
            <w:r w:rsidR="005010BD" w:rsidRPr="00304846">
              <w:rPr>
                <w:rFonts w:asciiTheme="majorBidi" w:hAnsiTheme="majorBidi" w:cstheme="majorBidi"/>
                <w:sz w:val="20"/>
                <w:lang w:val="en-GB" w:eastAsia="ar-SA"/>
              </w:rPr>
              <w:t xml:space="preserve"> </w:t>
            </w:r>
            <w:r w:rsidRPr="00304846">
              <w:rPr>
                <w:rFonts w:asciiTheme="majorBidi" w:hAnsiTheme="majorBidi" w:cstheme="majorBidi"/>
                <w:sz w:val="20"/>
                <w:lang w:val="en-GB" w:eastAsia="ar-SA"/>
              </w:rPr>
              <w:t>925-6</w:t>
            </w:r>
            <w:r w:rsidR="005010BD" w:rsidRPr="00304846">
              <w:rPr>
                <w:rFonts w:asciiTheme="majorBidi" w:hAnsiTheme="majorBidi" w:cstheme="majorBidi"/>
                <w:sz w:val="20"/>
                <w:lang w:val="en-GB" w:eastAsia="ar-SA"/>
              </w:rPr>
              <w:t xml:space="preserve"> </w:t>
            </w:r>
            <w:r w:rsidRPr="00304846">
              <w:rPr>
                <w:rFonts w:asciiTheme="majorBidi" w:hAnsiTheme="majorBidi" w:cstheme="majorBidi"/>
                <w:sz w:val="20"/>
                <w:lang w:val="en-GB" w:eastAsia="ar-SA"/>
              </w:rPr>
              <w:t>425</w:t>
            </w:r>
          </w:p>
        </w:tc>
        <w:tc>
          <w:tcPr>
            <w:tcW w:w="0" w:type="auto"/>
            <w:vMerge w:val="restart"/>
            <w:tcBorders>
              <w:top w:val="single" w:sz="12" w:space="0" w:color="000000"/>
              <w:left w:val="single" w:sz="12" w:space="0" w:color="000000"/>
              <w:bottom w:val="single" w:sz="12" w:space="0" w:color="000000"/>
              <w:right w:val="nil"/>
            </w:tcBorders>
            <w:shd w:val="clear" w:color="auto" w:fill="auto"/>
            <w:vAlign w:val="center"/>
            <w:hideMark/>
          </w:tcPr>
          <w:p w:rsidR="00AF59A0" w:rsidRPr="00304846" w:rsidRDefault="00AF59A0"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sz w:val="20"/>
                <w:lang w:val="en-GB" w:eastAsia="ar-SA"/>
              </w:rPr>
              <w:t>20.0</w:t>
            </w:r>
          </w:p>
        </w:tc>
        <w:tc>
          <w:tcPr>
            <w:tcW w:w="0" w:type="auto"/>
            <w:vMerge w:val="restart"/>
            <w:tcBorders>
              <w:top w:val="single" w:sz="12" w:space="0" w:color="000000"/>
              <w:left w:val="nil"/>
              <w:bottom w:val="single" w:sz="12" w:space="0" w:color="000000"/>
              <w:right w:val="nil"/>
            </w:tcBorders>
            <w:shd w:val="clear" w:color="auto" w:fill="auto"/>
            <w:vAlign w:val="center"/>
            <w:hideMark/>
          </w:tcPr>
          <w:p w:rsidR="00AF59A0" w:rsidRPr="00304846" w:rsidRDefault="00AF59A0" w:rsidP="005761BF">
            <w:pPr>
              <w:suppressAutoHyphens/>
              <w:snapToGrid w:val="0"/>
              <w:spacing w:before="40" w:after="20"/>
              <w:jc w:val="center"/>
              <w:rPr>
                <w:rFonts w:asciiTheme="majorBidi" w:hAnsiTheme="majorBidi" w:cstheme="majorBidi"/>
                <w:color w:val="000000"/>
                <w:sz w:val="20"/>
                <w:lang w:val="en-GB" w:eastAsia="ar-SA"/>
              </w:rPr>
            </w:pPr>
            <w:r w:rsidRPr="00304846">
              <w:rPr>
                <w:rFonts w:asciiTheme="majorBidi" w:hAnsiTheme="majorBidi" w:cstheme="majorBidi"/>
                <w:color w:val="000000"/>
                <w:sz w:val="20"/>
                <w:lang w:val="en-GB" w:eastAsia="ar-SA"/>
              </w:rPr>
              <w:t>…</w:t>
            </w:r>
          </w:p>
        </w:tc>
        <w:tc>
          <w:tcPr>
            <w:tcW w:w="0" w:type="auto"/>
            <w:vMerge w:val="restart"/>
            <w:tcBorders>
              <w:top w:val="single" w:sz="12" w:space="0" w:color="000000"/>
              <w:left w:val="nil"/>
              <w:bottom w:val="single" w:sz="12" w:space="0" w:color="000000"/>
              <w:right w:val="single" w:sz="12" w:space="0" w:color="000000"/>
            </w:tcBorders>
            <w:shd w:val="clear" w:color="auto" w:fill="auto"/>
            <w:vAlign w:val="center"/>
            <w:hideMark/>
          </w:tcPr>
          <w:p w:rsidR="00AF59A0" w:rsidRPr="00304846" w:rsidRDefault="00AF59A0" w:rsidP="005761BF">
            <w:pPr>
              <w:suppressAutoHyphens/>
              <w:snapToGrid w:val="0"/>
              <w:spacing w:before="40" w:after="20"/>
              <w:rPr>
                <w:rFonts w:asciiTheme="majorBidi" w:hAnsiTheme="majorBidi" w:cstheme="majorBidi"/>
                <w:color w:val="000000"/>
                <w:sz w:val="20"/>
                <w:lang w:val="en-GB" w:eastAsia="ar-SA"/>
              </w:rPr>
            </w:pPr>
          </w:p>
        </w:tc>
        <w:tc>
          <w:tcPr>
            <w:tcW w:w="0" w:type="auto"/>
            <w:tcBorders>
              <w:left w:val="single" w:sz="12" w:space="0" w:color="000000"/>
            </w:tcBorders>
            <w:shd w:val="clear" w:color="auto" w:fill="auto"/>
            <w:vAlign w:val="center"/>
          </w:tcPr>
          <w:p w:rsidR="00AF59A0" w:rsidRPr="00304846" w:rsidRDefault="005010BD"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iCs/>
                <w:color w:val="000000"/>
                <w:sz w:val="20"/>
                <w:lang w:val="en-GB" w:eastAsia="ar-SA"/>
              </w:rPr>
              <w:sym w:font="Symbol" w:char="F044"/>
            </w:r>
            <w:r w:rsidR="00AF59A0" w:rsidRPr="00304846">
              <w:rPr>
                <w:rFonts w:asciiTheme="majorBidi" w:hAnsiTheme="majorBidi" w:cstheme="majorBidi"/>
                <w:i/>
                <w:color w:val="000000"/>
                <w:sz w:val="20"/>
                <w:lang w:val="en-GB" w:eastAsia="ar-SA"/>
              </w:rPr>
              <w:t>f</w:t>
            </w:r>
            <w:r w:rsidR="00AF59A0" w:rsidRPr="00304846">
              <w:rPr>
                <w:rFonts w:asciiTheme="majorBidi" w:hAnsiTheme="majorBidi" w:cstheme="majorBidi"/>
                <w:i/>
                <w:iCs/>
                <w:color w:val="000000"/>
                <w:sz w:val="20"/>
                <w:vertAlign w:val="subscript"/>
                <w:lang w:val="en-GB" w:eastAsia="ar-SA"/>
              </w:rPr>
              <w:t>i</w:t>
            </w:r>
            <w:r w:rsidR="00AF59A0" w:rsidRPr="00304846">
              <w:rPr>
                <w:rFonts w:asciiTheme="majorBidi" w:hAnsiTheme="majorBidi" w:cstheme="majorBidi"/>
                <w:color w:val="000000"/>
                <w:sz w:val="20"/>
                <w:lang w:val="en-GB" w:eastAsia="ar-SA"/>
              </w:rPr>
              <w:t xml:space="preserve"> (MHz)</w:t>
            </w:r>
          </w:p>
        </w:tc>
        <w:tc>
          <w:tcPr>
            <w:tcW w:w="0" w:type="auto"/>
            <w:shd w:val="clear" w:color="auto" w:fill="auto"/>
            <w:vAlign w:val="center"/>
          </w:tcPr>
          <w:p w:rsidR="00AF59A0" w:rsidRPr="00304846" w:rsidRDefault="005010BD"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sz w:val="20"/>
                <w:lang w:val="en-GB" w:eastAsia="ar-SA"/>
              </w:rPr>
              <w:t>−</w:t>
            </w:r>
            <w:r w:rsidR="00AF59A0" w:rsidRPr="00304846">
              <w:rPr>
                <w:rFonts w:asciiTheme="majorBidi" w:hAnsiTheme="majorBidi" w:cstheme="majorBidi"/>
                <w:sz w:val="20"/>
                <w:lang w:val="en-GB" w:eastAsia="ar-SA"/>
              </w:rPr>
              <w:t>20.05</w:t>
            </w:r>
          </w:p>
        </w:tc>
        <w:tc>
          <w:tcPr>
            <w:tcW w:w="0" w:type="auto"/>
            <w:shd w:val="clear" w:color="auto" w:fill="auto"/>
            <w:vAlign w:val="center"/>
          </w:tcPr>
          <w:p w:rsidR="00AF59A0" w:rsidRPr="00304846" w:rsidRDefault="005010BD" w:rsidP="005761BF">
            <w:pPr>
              <w:suppressAutoHyphens/>
              <w:snapToGrid w:val="0"/>
              <w:spacing w:before="40" w:after="20"/>
              <w:rPr>
                <w:rFonts w:asciiTheme="majorBidi" w:hAnsiTheme="majorBidi" w:cstheme="majorBidi"/>
                <w:sz w:val="20"/>
                <w:lang w:val="en-GB" w:eastAsia="ar-SA"/>
              </w:rPr>
            </w:pPr>
            <w:r w:rsidRPr="00304846">
              <w:rPr>
                <w:rFonts w:asciiTheme="majorBidi" w:hAnsiTheme="majorBidi" w:cstheme="majorBidi"/>
                <w:sz w:val="20"/>
                <w:lang w:val="en-GB" w:eastAsia="ar-SA"/>
              </w:rPr>
              <w:t>−</w:t>
            </w:r>
            <w:r w:rsidR="00AF59A0" w:rsidRPr="00304846">
              <w:rPr>
                <w:rFonts w:asciiTheme="majorBidi" w:hAnsiTheme="majorBidi" w:cstheme="majorBidi"/>
                <w:sz w:val="20"/>
                <w:lang w:val="en-GB" w:eastAsia="ar-SA"/>
              </w:rPr>
              <w:t>15.05</w:t>
            </w:r>
          </w:p>
        </w:tc>
        <w:tc>
          <w:tcPr>
            <w:tcW w:w="0" w:type="auto"/>
            <w:shd w:val="clear" w:color="auto" w:fill="auto"/>
            <w:vAlign w:val="center"/>
          </w:tcPr>
          <w:p w:rsidR="00AF59A0" w:rsidRPr="00304846" w:rsidRDefault="005010BD" w:rsidP="005010BD">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sz w:val="20"/>
                <w:lang w:val="en-GB" w:eastAsia="ar-SA"/>
              </w:rPr>
              <w:t>−</w:t>
            </w:r>
            <w:r w:rsidR="00AF59A0" w:rsidRPr="00304846">
              <w:rPr>
                <w:rFonts w:asciiTheme="majorBidi" w:hAnsiTheme="majorBidi" w:cstheme="majorBidi"/>
                <w:sz w:val="20"/>
                <w:lang w:val="en-GB" w:eastAsia="ar-SA"/>
              </w:rPr>
              <w:t>10.05</w:t>
            </w:r>
          </w:p>
        </w:tc>
        <w:tc>
          <w:tcPr>
            <w:tcW w:w="0" w:type="auto"/>
            <w:shd w:val="clear" w:color="auto" w:fill="auto"/>
            <w:vAlign w:val="center"/>
          </w:tcPr>
          <w:p w:rsidR="00AF59A0" w:rsidRPr="00304846" w:rsidRDefault="005010BD"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sz w:val="20"/>
                <w:lang w:val="en-GB" w:eastAsia="ar-SA"/>
              </w:rPr>
              <w:t>−</w:t>
            </w:r>
            <w:r w:rsidR="00AF59A0" w:rsidRPr="00304846">
              <w:rPr>
                <w:rFonts w:asciiTheme="majorBidi" w:hAnsiTheme="majorBidi" w:cstheme="majorBidi"/>
                <w:sz w:val="20"/>
                <w:lang w:val="en-GB" w:eastAsia="ar-SA"/>
              </w:rPr>
              <w:t>10.00</w:t>
            </w:r>
          </w:p>
        </w:tc>
        <w:tc>
          <w:tcPr>
            <w:tcW w:w="0" w:type="auto"/>
            <w:shd w:val="clear" w:color="auto" w:fill="auto"/>
            <w:vAlign w:val="center"/>
          </w:tcPr>
          <w:p w:rsidR="00AF59A0" w:rsidRPr="00304846" w:rsidRDefault="00AF59A0"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sz w:val="20"/>
                <w:lang w:val="en-GB" w:eastAsia="ar-SA"/>
              </w:rPr>
              <w:t>10.00</w:t>
            </w:r>
          </w:p>
        </w:tc>
        <w:tc>
          <w:tcPr>
            <w:tcW w:w="0" w:type="auto"/>
            <w:shd w:val="clear" w:color="auto" w:fill="auto"/>
            <w:vAlign w:val="center"/>
          </w:tcPr>
          <w:p w:rsidR="00AF59A0" w:rsidRPr="00304846" w:rsidRDefault="00AF59A0"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sz w:val="20"/>
                <w:lang w:val="en-GB" w:eastAsia="ar-SA"/>
              </w:rPr>
              <w:t>10.05</w:t>
            </w:r>
          </w:p>
        </w:tc>
        <w:tc>
          <w:tcPr>
            <w:tcW w:w="0" w:type="auto"/>
            <w:shd w:val="clear" w:color="auto" w:fill="auto"/>
            <w:vAlign w:val="center"/>
          </w:tcPr>
          <w:p w:rsidR="00AF59A0" w:rsidRPr="00304846" w:rsidRDefault="00AF59A0" w:rsidP="005761BF">
            <w:pPr>
              <w:suppressAutoHyphens/>
              <w:snapToGrid w:val="0"/>
              <w:spacing w:before="40" w:after="20"/>
              <w:rPr>
                <w:rFonts w:asciiTheme="majorBidi" w:hAnsiTheme="majorBidi" w:cstheme="majorBidi"/>
                <w:sz w:val="20"/>
                <w:lang w:val="en-GB" w:eastAsia="ar-SA"/>
              </w:rPr>
            </w:pPr>
            <w:r w:rsidRPr="00304846">
              <w:rPr>
                <w:rFonts w:asciiTheme="majorBidi" w:hAnsiTheme="majorBidi" w:cstheme="majorBidi"/>
                <w:sz w:val="20"/>
                <w:lang w:val="en-GB" w:eastAsia="ar-SA"/>
              </w:rPr>
              <w:t>15.05</w:t>
            </w:r>
          </w:p>
        </w:tc>
        <w:tc>
          <w:tcPr>
            <w:tcW w:w="0" w:type="auto"/>
            <w:shd w:val="clear" w:color="auto" w:fill="auto"/>
            <w:vAlign w:val="center"/>
          </w:tcPr>
          <w:p w:rsidR="00AF59A0" w:rsidRPr="00304846" w:rsidRDefault="00AF59A0"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sz w:val="20"/>
                <w:lang w:val="en-GB" w:eastAsia="ar-SA"/>
              </w:rPr>
              <w:t>20.05</w:t>
            </w:r>
          </w:p>
        </w:tc>
      </w:tr>
      <w:tr w:rsidR="00AF59A0" w:rsidRPr="00304846" w:rsidTr="005761BF">
        <w:trPr>
          <w:trHeight w:val="289"/>
          <w:jc w:val="center"/>
        </w:trPr>
        <w:tc>
          <w:tcPr>
            <w:tcW w:w="0" w:type="auto"/>
            <w:vMerge/>
            <w:tcBorders>
              <w:bottom w:val="single" w:sz="12" w:space="0" w:color="000000"/>
            </w:tcBorders>
            <w:shd w:val="clear" w:color="auto" w:fill="auto"/>
            <w:vAlign w:val="center"/>
          </w:tcPr>
          <w:p w:rsidR="00AF59A0" w:rsidRPr="00304846" w:rsidRDefault="00AF59A0" w:rsidP="005761BF">
            <w:pPr>
              <w:suppressAutoHyphens/>
              <w:snapToGrid w:val="0"/>
              <w:spacing w:before="40" w:after="20"/>
              <w:jc w:val="center"/>
              <w:rPr>
                <w:rFonts w:asciiTheme="majorBidi" w:hAnsiTheme="majorBidi" w:cstheme="majorBidi"/>
                <w:sz w:val="20"/>
                <w:lang w:val="en-GB" w:eastAsia="ar-SA"/>
              </w:rPr>
            </w:pPr>
          </w:p>
        </w:tc>
        <w:tc>
          <w:tcPr>
            <w:tcW w:w="0" w:type="auto"/>
            <w:vMerge/>
            <w:tcBorders>
              <w:top w:val="nil"/>
              <w:left w:val="single" w:sz="12" w:space="0" w:color="000000"/>
              <w:bottom w:val="single" w:sz="12" w:space="0" w:color="000000"/>
              <w:right w:val="nil"/>
            </w:tcBorders>
            <w:shd w:val="clear" w:color="auto" w:fill="auto"/>
            <w:vAlign w:val="center"/>
          </w:tcPr>
          <w:p w:rsidR="00AF59A0" w:rsidRPr="00304846" w:rsidRDefault="00AF59A0" w:rsidP="005761BF">
            <w:pPr>
              <w:suppressAutoHyphens/>
              <w:snapToGrid w:val="0"/>
              <w:spacing w:before="40" w:after="20"/>
              <w:jc w:val="center"/>
              <w:rPr>
                <w:rFonts w:asciiTheme="majorBidi" w:hAnsiTheme="majorBidi" w:cstheme="majorBidi"/>
                <w:sz w:val="20"/>
                <w:lang w:val="en-GB" w:eastAsia="ar-SA"/>
              </w:rPr>
            </w:pPr>
          </w:p>
        </w:tc>
        <w:tc>
          <w:tcPr>
            <w:tcW w:w="0" w:type="auto"/>
            <w:vMerge/>
            <w:tcBorders>
              <w:top w:val="nil"/>
              <w:left w:val="nil"/>
              <w:bottom w:val="single" w:sz="12" w:space="0" w:color="000000"/>
              <w:right w:val="nil"/>
            </w:tcBorders>
            <w:shd w:val="clear" w:color="auto" w:fill="auto"/>
            <w:vAlign w:val="center"/>
          </w:tcPr>
          <w:p w:rsidR="00AF59A0" w:rsidRPr="00304846" w:rsidRDefault="00AF59A0" w:rsidP="005761BF">
            <w:pPr>
              <w:suppressAutoHyphens/>
              <w:snapToGrid w:val="0"/>
              <w:spacing w:before="40" w:after="20"/>
              <w:jc w:val="center"/>
              <w:rPr>
                <w:rFonts w:asciiTheme="majorBidi" w:hAnsiTheme="majorBidi" w:cstheme="majorBidi"/>
                <w:color w:val="000000"/>
                <w:sz w:val="20"/>
                <w:lang w:val="en-GB" w:eastAsia="ar-SA"/>
              </w:rPr>
            </w:pPr>
          </w:p>
        </w:tc>
        <w:tc>
          <w:tcPr>
            <w:tcW w:w="0" w:type="auto"/>
            <w:vMerge/>
            <w:tcBorders>
              <w:top w:val="nil"/>
              <w:left w:val="nil"/>
              <w:bottom w:val="single" w:sz="12" w:space="0" w:color="000000"/>
              <w:right w:val="single" w:sz="12" w:space="0" w:color="000000"/>
            </w:tcBorders>
            <w:shd w:val="clear" w:color="auto" w:fill="auto"/>
            <w:vAlign w:val="center"/>
          </w:tcPr>
          <w:p w:rsidR="00AF59A0" w:rsidRPr="00304846" w:rsidRDefault="00AF59A0" w:rsidP="005761BF">
            <w:pPr>
              <w:suppressAutoHyphens/>
              <w:snapToGrid w:val="0"/>
              <w:spacing w:before="40" w:after="20"/>
              <w:jc w:val="center"/>
              <w:rPr>
                <w:rFonts w:asciiTheme="majorBidi" w:hAnsiTheme="majorBidi" w:cstheme="majorBidi"/>
                <w:color w:val="000000"/>
                <w:sz w:val="20"/>
                <w:lang w:val="en-GB" w:eastAsia="ar-SA"/>
              </w:rPr>
            </w:pPr>
          </w:p>
        </w:tc>
        <w:tc>
          <w:tcPr>
            <w:tcW w:w="0" w:type="auto"/>
            <w:tcBorders>
              <w:left w:val="single" w:sz="12" w:space="0" w:color="000000"/>
            </w:tcBorders>
            <w:shd w:val="clear" w:color="auto" w:fill="auto"/>
            <w:vAlign w:val="center"/>
          </w:tcPr>
          <w:p w:rsidR="00AF59A0" w:rsidRPr="00304846" w:rsidRDefault="00AF59A0"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color w:val="000000"/>
                <w:sz w:val="20"/>
                <w:lang w:val="en-GB" w:eastAsia="ar-SA"/>
              </w:rPr>
              <w:t>a</w:t>
            </w:r>
            <w:r w:rsidRPr="00304846">
              <w:rPr>
                <w:rFonts w:asciiTheme="majorBidi" w:hAnsiTheme="majorBidi" w:cstheme="majorBidi"/>
                <w:color w:val="000000"/>
                <w:sz w:val="20"/>
                <w:vertAlign w:val="subscript"/>
                <w:lang w:val="en-GB" w:eastAsia="ar-SA"/>
              </w:rPr>
              <w:t>i</w:t>
            </w:r>
            <w:r w:rsidRPr="00304846">
              <w:rPr>
                <w:rFonts w:asciiTheme="majorBidi" w:hAnsiTheme="majorBidi" w:cstheme="majorBidi"/>
                <w:color w:val="000000"/>
                <w:sz w:val="20"/>
                <w:lang w:val="en-GB" w:eastAsia="ar-SA"/>
              </w:rPr>
              <w:t xml:space="preserve"> (dB)</w:t>
            </w:r>
          </w:p>
        </w:tc>
        <w:tc>
          <w:tcPr>
            <w:tcW w:w="0" w:type="auto"/>
            <w:shd w:val="clear" w:color="auto" w:fill="auto"/>
            <w:vAlign w:val="center"/>
          </w:tcPr>
          <w:p w:rsidR="00AF59A0" w:rsidRPr="00304846" w:rsidRDefault="00AF59A0"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sz w:val="20"/>
                <w:lang w:val="en-GB" w:eastAsia="ar-SA"/>
              </w:rPr>
              <w:t>48.00</w:t>
            </w:r>
          </w:p>
        </w:tc>
        <w:tc>
          <w:tcPr>
            <w:tcW w:w="0" w:type="auto"/>
            <w:shd w:val="clear" w:color="auto" w:fill="auto"/>
            <w:vAlign w:val="center"/>
          </w:tcPr>
          <w:p w:rsidR="00AF59A0" w:rsidRPr="00304846" w:rsidRDefault="00AF59A0"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sz w:val="20"/>
                <w:lang w:val="en-GB" w:eastAsia="ar-SA"/>
              </w:rPr>
              <w:t>48.00</w:t>
            </w:r>
          </w:p>
        </w:tc>
        <w:tc>
          <w:tcPr>
            <w:tcW w:w="0" w:type="auto"/>
            <w:shd w:val="clear" w:color="auto" w:fill="auto"/>
            <w:vAlign w:val="center"/>
          </w:tcPr>
          <w:p w:rsidR="00AF59A0" w:rsidRPr="00304846" w:rsidRDefault="00AF59A0"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sz w:val="20"/>
                <w:lang w:val="en-GB" w:eastAsia="ar-SA"/>
              </w:rPr>
              <w:t>40.93</w:t>
            </w:r>
          </w:p>
        </w:tc>
        <w:tc>
          <w:tcPr>
            <w:tcW w:w="0" w:type="auto"/>
            <w:shd w:val="clear" w:color="auto" w:fill="auto"/>
            <w:vAlign w:val="center"/>
          </w:tcPr>
          <w:p w:rsidR="00AF59A0" w:rsidRPr="00304846" w:rsidRDefault="00AF59A0"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sz w:val="20"/>
                <w:lang w:val="en-GB" w:eastAsia="ar-SA"/>
              </w:rPr>
              <w:t>0.00</w:t>
            </w:r>
          </w:p>
        </w:tc>
        <w:tc>
          <w:tcPr>
            <w:tcW w:w="0" w:type="auto"/>
            <w:shd w:val="clear" w:color="auto" w:fill="auto"/>
            <w:vAlign w:val="center"/>
          </w:tcPr>
          <w:p w:rsidR="00AF59A0" w:rsidRPr="00304846" w:rsidRDefault="00AF59A0"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sz w:val="20"/>
                <w:lang w:val="en-GB" w:eastAsia="ar-SA"/>
              </w:rPr>
              <w:t>0.00</w:t>
            </w:r>
          </w:p>
        </w:tc>
        <w:tc>
          <w:tcPr>
            <w:tcW w:w="0" w:type="auto"/>
            <w:shd w:val="clear" w:color="auto" w:fill="auto"/>
            <w:vAlign w:val="center"/>
          </w:tcPr>
          <w:p w:rsidR="00AF59A0" w:rsidRPr="00304846" w:rsidRDefault="00AF59A0"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sz w:val="20"/>
                <w:lang w:val="en-GB" w:eastAsia="ar-SA"/>
              </w:rPr>
              <w:t>40.93</w:t>
            </w:r>
          </w:p>
        </w:tc>
        <w:tc>
          <w:tcPr>
            <w:tcW w:w="0" w:type="auto"/>
            <w:shd w:val="clear" w:color="auto" w:fill="auto"/>
            <w:vAlign w:val="center"/>
          </w:tcPr>
          <w:p w:rsidR="00AF59A0" w:rsidRPr="00304846" w:rsidRDefault="00AF59A0"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sz w:val="20"/>
                <w:lang w:val="en-GB" w:eastAsia="ar-SA"/>
              </w:rPr>
              <w:t>48.00</w:t>
            </w:r>
          </w:p>
        </w:tc>
        <w:tc>
          <w:tcPr>
            <w:tcW w:w="0" w:type="auto"/>
            <w:shd w:val="clear" w:color="auto" w:fill="auto"/>
            <w:vAlign w:val="center"/>
          </w:tcPr>
          <w:p w:rsidR="00AF59A0" w:rsidRPr="00304846" w:rsidRDefault="00AF59A0"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sz w:val="20"/>
                <w:lang w:val="en-GB" w:eastAsia="ar-SA"/>
              </w:rPr>
              <w:t>48.00</w:t>
            </w:r>
          </w:p>
        </w:tc>
      </w:tr>
    </w:tbl>
    <w:p w:rsidR="00AF59A0" w:rsidRPr="00304846" w:rsidRDefault="00AF59A0" w:rsidP="00AF59A0">
      <w:pPr>
        <w:pStyle w:val="FigureNo"/>
        <w:rPr>
          <w:lang w:val="en-GB"/>
        </w:rPr>
      </w:pPr>
      <w:r w:rsidRPr="00304846">
        <w:rPr>
          <w:lang w:val="en-GB"/>
        </w:rPr>
        <w:lastRenderedPageBreak/>
        <w:t>FIGURE 3</w:t>
      </w:r>
    </w:p>
    <w:p w:rsidR="00AF59A0" w:rsidRPr="00304846" w:rsidRDefault="00135300" w:rsidP="004E01CD">
      <w:pPr>
        <w:pStyle w:val="Figuretitle"/>
        <w:rPr>
          <w:lang w:val="en-GB" w:eastAsia="ar-SA"/>
        </w:rPr>
      </w:pPr>
      <w:r w:rsidRPr="00304846">
        <w:rPr>
          <w:lang w:val="en-GB" w:eastAsia="ar-SA"/>
        </w:rPr>
        <w:t>Transmitter spectrum masks IMT s</w:t>
      </w:r>
      <w:r w:rsidR="00AF59A0" w:rsidRPr="00304846">
        <w:rPr>
          <w:lang w:val="en-GB" w:eastAsia="ar-SA"/>
        </w:rPr>
        <w:t>ystems</w:t>
      </w:r>
    </w:p>
    <w:p w:rsidR="00CE1312" w:rsidRPr="00304846" w:rsidRDefault="00AF59A0" w:rsidP="00CE1312">
      <w:pPr>
        <w:pStyle w:val="Figure"/>
        <w:rPr>
          <w:lang w:val="en-GB"/>
        </w:rPr>
      </w:pPr>
      <w:r w:rsidRPr="00304846">
        <w:rPr>
          <w:rFonts w:eastAsiaTheme="minorHAnsi"/>
          <w:noProof/>
          <w:lang w:val="en-US" w:eastAsia="zh-CN"/>
        </w:rPr>
        <w:drawing>
          <wp:inline distT="0" distB="0" distL="0" distR="0" wp14:anchorId="611AD2BA" wp14:editId="5D131DDC">
            <wp:extent cx="5414645" cy="2782570"/>
            <wp:effectExtent l="0" t="0" r="14605" b="17780"/>
            <wp:docPr id="2209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F59A0" w:rsidRPr="00304846" w:rsidRDefault="00AF59A0" w:rsidP="00CE1312">
      <w:pPr>
        <w:pStyle w:val="Heading2"/>
        <w:rPr>
          <w:lang w:val="en-GB"/>
        </w:rPr>
      </w:pPr>
      <w:r w:rsidRPr="00304846">
        <w:rPr>
          <w:lang w:val="en-GB"/>
        </w:rPr>
        <w:t>3.2</w:t>
      </w:r>
      <w:r w:rsidRPr="00304846">
        <w:rPr>
          <w:lang w:val="en-GB"/>
        </w:rPr>
        <w:tab/>
        <w:t>FS stations characteristics and assumptions</w:t>
      </w:r>
    </w:p>
    <w:p w:rsidR="00AF59A0" w:rsidRPr="00304846" w:rsidRDefault="00AF59A0" w:rsidP="008E34E1">
      <w:pPr>
        <w:rPr>
          <w:lang w:val="en-GB"/>
        </w:rPr>
      </w:pPr>
      <w:r w:rsidRPr="00304846">
        <w:rPr>
          <w:lang w:val="en-GB"/>
        </w:rPr>
        <w:t>The technical characteristics of the point-to-point FS links were derived from Recommendation ITU-R F.758-5 and Report ITU-R F.2240 and are summarized in Table 3.</w:t>
      </w:r>
    </w:p>
    <w:p w:rsidR="00AF59A0" w:rsidRPr="00304846" w:rsidRDefault="00AF59A0" w:rsidP="00AF59A0">
      <w:pPr>
        <w:pStyle w:val="TableNo"/>
        <w:rPr>
          <w:lang w:val="en-GB" w:eastAsia="ja-JP"/>
        </w:rPr>
      </w:pPr>
      <w:r w:rsidRPr="00304846">
        <w:rPr>
          <w:lang w:val="en-GB"/>
        </w:rPr>
        <w:t>TABLE 3</w:t>
      </w:r>
    </w:p>
    <w:p w:rsidR="00AF59A0" w:rsidRPr="00304846" w:rsidRDefault="00AF59A0" w:rsidP="00AF59A0">
      <w:pPr>
        <w:pStyle w:val="Tabletitle"/>
        <w:rPr>
          <w:lang w:val="en-GB" w:eastAsia="ja-JP"/>
        </w:rPr>
      </w:pPr>
      <w:r w:rsidRPr="00304846">
        <w:rPr>
          <w:lang w:val="en-GB" w:eastAsia="ja-JP"/>
        </w:rPr>
        <w:t>System parameters for PP FS systems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9"/>
        <w:gridCol w:w="2085"/>
        <w:gridCol w:w="2135"/>
      </w:tblGrid>
      <w:tr w:rsidR="00AF59A0" w:rsidRPr="00304846" w:rsidTr="002A6FFA">
        <w:trPr>
          <w:trHeight w:val="195"/>
        </w:trPr>
        <w:tc>
          <w:tcPr>
            <w:tcW w:w="5419"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2A6FFA">
            <w:pPr>
              <w:pStyle w:val="Tablehead"/>
              <w:rPr>
                <w:lang w:val="en-GB"/>
              </w:rPr>
            </w:pPr>
            <w:r w:rsidRPr="00304846">
              <w:rPr>
                <w:lang w:val="en-GB"/>
              </w:rPr>
              <w:t>Frequency range (GHz)</w:t>
            </w:r>
          </w:p>
        </w:tc>
        <w:tc>
          <w:tcPr>
            <w:tcW w:w="4220" w:type="dxa"/>
            <w:gridSpan w:val="2"/>
            <w:tcBorders>
              <w:top w:val="single" w:sz="4" w:space="0" w:color="auto"/>
              <w:left w:val="single" w:sz="4" w:space="0" w:color="auto"/>
              <w:bottom w:val="single" w:sz="4" w:space="0" w:color="auto"/>
              <w:right w:val="single" w:sz="4" w:space="0" w:color="auto"/>
            </w:tcBorders>
            <w:hideMark/>
          </w:tcPr>
          <w:p w:rsidR="00AF59A0" w:rsidRPr="00304846" w:rsidRDefault="00AF59A0" w:rsidP="00575B8A">
            <w:pPr>
              <w:pStyle w:val="Tablehead"/>
              <w:rPr>
                <w:lang w:val="en-GB"/>
              </w:rPr>
            </w:pPr>
            <w:r w:rsidRPr="00304846">
              <w:rPr>
                <w:lang w:val="en-GB"/>
              </w:rPr>
              <w:t>5.925-6.425</w:t>
            </w:r>
          </w:p>
        </w:tc>
      </w:tr>
      <w:tr w:rsidR="00AF59A0" w:rsidRPr="00304846" w:rsidTr="005D2CBD">
        <w:trPr>
          <w:trHeight w:val="195"/>
        </w:trPr>
        <w:tc>
          <w:tcPr>
            <w:tcW w:w="5419" w:type="dxa"/>
            <w:vMerge/>
            <w:tcBorders>
              <w:top w:val="single" w:sz="4" w:space="0" w:color="auto"/>
              <w:left w:val="single" w:sz="4" w:space="0" w:color="auto"/>
              <w:bottom w:val="single" w:sz="4" w:space="0" w:color="auto"/>
              <w:right w:val="single" w:sz="4" w:space="0" w:color="auto"/>
            </w:tcBorders>
            <w:vAlign w:val="center"/>
            <w:hideMark/>
          </w:tcPr>
          <w:p w:rsidR="00AF59A0" w:rsidRPr="00304846" w:rsidRDefault="00AF59A0" w:rsidP="00FA7BDD">
            <w:pPr>
              <w:pStyle w:val="Tablehead"/>
              <w:jc w:val="left"/>
              <w:rPr>
                <w:lang w:val="en-GB"/>
              </w:rPr>
            </w:pP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AF59A0" w:rsidRPr="00304846" w:rsidRDefault="00AF59A0" w:rsidP="00575B8A">
            <w:pPr>
              <w:pStyle w:val="Tablehead"/>
              <w:rPr>
                <w:lang w:val="en-GB"/>
              </w:rPr>
            </w:pPr>
            <w:r w:rsidRPr="00304846">
              <w:rPr>
                <w:lang w:val="en-GB"/>
              </w:rPr>
              <w:t>Type 1</w:t>
            </w:r>
          </w:p>
        </w:tc>
        <w:tc>
          <w:tcPr>
            <w:tcW w:w="2135" w:type="dxa"/>
            <w:tcBorders>
              <w:top w:val="single" w:sz="4" w:space="0" w:color="auto"/>
              <w:left w:val="single" w:sz="4" w:space="0" w:color="auto"/>
              <w:bottom w:val="single" w:sz="4" w:space="0" w:color="auto"/>
              <w:right w:val="single" w:sz="4" w:space="0" w:color="auto"/>
            </w:tcBorders>
            <w:shd w:val="clear" w:color="auto" w:fill="auto"/>
            <w:hideMark/>
          </w:tcPr>
          <w:p w:rsidR="00AF59A0" w:rsidRPr="00304846" w:rsidRDefault="00AF59A0" w:rsidP="00575B8A">
            <w:pPr>
              <w:pStyle w:val="Tablehead"/>
              <w:rPr>
                <w:lang w:val="en-GB"/>
              </w:rPr>
            </w:pPr>
            <w:r w:rsidRPr="00304846">
              <w:rPr>
                <w:lang w:val="en-GB"/>
              </w:rPr>
              <w:t>Type 2</w:t>
            </w:r>
          </w:p>
        </w:tc>
      </w:tr>
      <w:tr w:rsidR="00AF59A0" w:rsidRPr="00304846" w:rsidTr="005D2CBD">
        <w:tc>
          <w:tcPr>
            <w:tcW w:w="54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rFonts w:eastAsia="Calibri"/>
                <w:lang w:val="en-GB"/>
              </w:rPr>
            </w:pPr>
            <w:r w:rsidRPr="00304846">
              <w:rPr>
                <w:rFonts w:eastAsia="Calibri"/>
                <w:lang w:val="en-GB"/>
              </w:rPr>
              <w:t xml:space="preserve">Reference </w:t>
            </w:r>
          </w:p>
        </w:tc>
        <w:tc>
          <w:tcPr>
            <w:tcW w:w="42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6C4C52" w:rsidRDefault="00AF59A0" w:rsidP="00FA7BDD">
            <w:pPr>
              <w:pStyle w:val="Tabletext"/>
              <w:jc w:val="center"/>
              <w:rPr>
                <w:rFonts w:eastAsia="Calibri"/>
                <w:lang w:val="fr-CH" w:eastAsia="ja-JP"/>
              </w:rPr>
            </w:pPr>
            <w:r w:rsidRPr="006C4C52">
              <w:rPr>
                <w:rFonts w:eastAsia="Calibri"/>
                <w:lang w:val="fr-CH"/>
              </w:rPr>
              <w:t>Rec. ITU-R F.</w:t>
            </w:r>
            <w:r w:rsidR="00575B8A" w:rsidRPr="002330EA">
              <w:rPr>
                <w:rFonts w:eastAsia="Calibri"/>
                <w:lang w:val="fr-CH" w:eastAsia="ja-JP"/>
              </w:rPr>
              <w:t>383 (Figs</w:t>
            </w:r>
            <w:r w:rsidRPr="006C4C52">
              <w:rPr>
                <w:rFonts w:eastAsia="Calibri"/>
                <w:lang w:val="fr-CH" w:eastAsia="ja-JP"/>
              </w:rPr>
              <w:t xml:space="preserve"> 6, 5)</w:t>
            </w:r>
          </w:p>
        </w:tc>
      </w:tr>
      <w:tr w:rsidR="00AF59A0" w:rsidRPr="00304846" w:rsidTr="005D2CBD">
        <w:tc>
          <w:tcPr>
            <w:tcW w:w="54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rFonts w:eastAsia="Calibri"/>
                <w:lang w:val="en-GB"/>
              </w:rPr>
            </w:pPr>
            <w:r w:rsidRPr="00304846">
              <w:rPr>
                <w:rFonts w:eastAsia="Calibri"/>
                <w:lang w:val="en-GB"/>
              </w:rPr>
              <w:t>Modulation</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eastAsia="ja-JP"/>
              </w:rPr>
              <w:t>64-QAM</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eastAsia="ja-JP"/>
              </w:rPr>
              <w:t>128-QAM</w:t>
            </w:r>
          </w:p>
        </w:tc>
      </w:tr>
      <w:tr w:rsidR="00AF59A0" w:rsidRPr="00304846" w:rsidTr="005D2CBD">
        <w:tc>
          <w:tcPr>
            <w:tcW w:w="54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rFonts w:eastAsia="Calibri"/>
                <w:lang w:val="en-GB"/>
              </w:rPr>
            </w:pPr>
            <w:r w:rsidRPr="00304846">
              <w:rPr>
                <w:rFonts w:eastAsia="Calibri"/>
                <w:lang w:val="en-GB"/>
              </w:rPr>
              <w:t xml:space="preserve">Channel spacing and receiver noise bandwidth (MHz) </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eastAsia="ja-JP"/>
              </w:rPr>
              <w:t>40</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rPr>
            </w:pPr>
            <w:r w:rsidRPr="00304846">
              <w:rPr>
                <w:rFonts w:eastAsia="Calibri"/>
                <w:lang w:val="en-GB" w:eastAsia="ja-JP"/>
              </w:rPr>
              <w:t>29.65</w:t>
            </w:r>
          </w:p>
        </w:tc>
      </w:tr>
      <w:tr w:rsidR="00AF59A0" w:rsidRPr="00304846" w:rsidTr="005D2CBD">
        <w:tc>
          <w:tcPr>
            <w:tcW w:w="54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rFonts w:eastAsia="Calibri"/>
                <w:lang w:val="en-GB"/>
              </w:rPr>
            </w:pPr>
            <w:r w:rsidRPr="00304846">
              <w:rPr>
                <w:rFonts w:eastAsia="Calibri"/>
                <w:lang w:val="en-GB"/>
              </w:rPr>
              <w:t xml:space="preserve">Tx output power range (dBW) </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rPr>
              <w:t>−8…</w:t>
            </w:r>
            <w:r w:rsidRPr="00304846">
              <w:rPr>
                <w:rFonts w:eastAsia="Calibri"/>
                <w:lang w:val="en-GB" w:eastAsia="ja-JP"/>
              </w:rPr>
              <w:t>2.0</w:t>
            </w:r>
          </w:p>
          <w:p w:rsidR="00AF59A0" w:rsidRPr="00304846" w:rsidRDefault="00AF59A0" w:rsidP="00FA7BDD">
            <w:pPr>
              <w:pStyle w:val="Tabletext"/>
              <w:jc w:val="center"/>
              <w:rPr>
                <w:rFonts w:eastAsia="Calibri"/>
                <w:lang w:val="en-GB" w:eastAsia="ja-JP"/>
              </w:rPr>
            </w:pPr>
            <w:r w:rsidRPr="00304846">
              <w:rPr>
                <w:rFonts w:eastAsia="Calibri"/>
                <w:lang w:val="en-GB" w:eastAsia="ja-JP"/>
              </w:rPr>
              <w:t xml:space="preserve">(Mode </w:t>
            </w:r>
            <w:r w:rsidR="00FA7BDD" w:rsidRPr="00304846">
              <w:rPr>
                <w:rFonts w:eastAsia="Calibri"/>
                <w:lang w:val="en-GB"/>
              </w:rPr>
              <w:t>−</w:t>
            </w:r>
            <w:r w:rsidRPr="00304846">
              <w:rPr>
                <w:rFonts w:eastAsia="Calibri"/>
                <w:lang w:val="en-GB" w:eastAsia="ja-JP"/>
              </w:rPr>
              <w:t>4)</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rPr>
            </w:pPr>
            <w:r w:rsidRPr="00304846">
              <w:rPr>
                <w:rFonts w:eastAsia="Calibri"/>
                <w:lang w:val="en-GB" w:eastAsia="ja-JP"/>
              </w:rPr>
              <w:t>−11</w:t>
            </w:r>
            <w:r w:rsidRPr="00304846">
              <w:rPr>
                <w:rFonts w:eastAsia="Calibri"/>
                <w:lang w:val="en-GB"/>
              </w:rPr>
              <w:t>…2</w:t>
            </w:r>
          </w:p>
          <w:p w:rsidR="00AF59A0" w:rsidRPr="00304846" w:rsidRDefault="00AF59A0" w:rsidP="00FA7BDD">
            <w:pPr>
              <w:pStyle w:val="Tabletext"/>
              <w:jc w:val="center"/>
              <w:rPr>
                <w:rFonts w:eastAsia="Calibri"/>
                <w:lang w:val="en-GB" w:eastAsia="ja-JP"/>
              </w:rPr>
            </w:pPr>
            <w:r w:rsidRPr="00304846">
              <w:rPr>
                <w:rFonts w:eastAsia="Calibri"/>
                <w:lang w:val="en-GB" w:eastAsia="ja-JP"/>
              </w:rPr>
              <w:t xml:space="preserve">(Mode </w:t>
            </w:r>
            <w:r w:rsidR="00FA7BDD" w:rsidRPr="00304846">
              <w:rPr>
                <w:rFonts w:eastAsia="Calibri"/>
                <w:lang w:val="en-GB"/>
              </w:rPr>
              <w:t>−</w:t>
            </w:r>
            <w:r w:rsidRPr="00304846">
              <w:rPr>
                <w:rFonts w:eastAsia="Calibri"/>
                <w:lang w:val="en-GB" w:eastAsia="ja-JP"/>
              </w:rPr>
              <w:t>3)</w:t>
            </w:r>
          </w:p>
        </w:tc>
      </w:tr>
      <w:tr w:rsidR="00AF59A0" w:rsidRPr="00304846" w:rsidTr="005D2CBD">
        <w:tc>
          <w:tcPr>
            <w:tcW w:w="54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rFonts w:eastAsia="Calibri"/>
                <w:lang w:val="en-GB" w:eastAsia="ja-JP"/>
              </w:rPr>
            </w:pPr>
            <w:r w:rsidRPr="00304846">
              <w:rPr>
                <w:rFonts w:eastAsia="Calibri"/>
                <w:lang w:val="en-GB"/>
              </w:rPr>
              <w:t>Tx output power density range (dBW/MHz)</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rPr>
              <w:t>−24... −</w:t>
            </w:r>
            <w:r w:rsidRPr="00304846">
              <w:rPr>
                <w:rFonts w:eastAsia="Calibri"/>
                <w:lang w:val="en-GB" w:eastAsia="ja-JP"/>
              </w:rPr>
              <w:t>14.0</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rPr>
              <w:t>−</w:t>
            </w:r>
            <w:r w:rsidRPr="00304846">
              <w:rPr>
                <w:rFonts w:eastAsia="Calibri"/>
                <w:lang w:val="en-GB" w:eastAsia="ja-JP"/>
              </w:rPr>
              <w:t>25.7…</w:t>
            </w:r>
            <w:r w:rsidRPr="00304846">
              <w:rPr>
                <w:rFonts w:eastAsia="Calibri"/>
                <w:lang w:val="en-GB"/>
              </w:rPr>
              <w:t>−</w:t>
            </w:r>
            <w:r w:rsidRPr="00304846">
              <w:rPr>
                <w:rFonts w:eastAsia="Calibri"/>
                <w:lang w:val="en-GB" w:eastAsia="ja-JP"/>
              </w:rPr>
              <w:t>9.7</w:t>
            </w:r>
          </w:p>
        </w:tc>
      </w:tr>
      <w:tr w:rsidR="00AF59A0" w:rsidRPr="00304846" w:rsidTr="005D2CBD">
        <w:tc>
          <w:tcPr>
            <w:tcW w:w="54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rFonts w:eastAsia="Calibri"/>
                <w:lang w:val="en-GB"/>
              </w:rPr>
            </w:pPr>
            <w:r w:rsidRPr="00304846">
              <w:rPr>
                <w:rFonts w:eastAsia="Calibri"/>
                <w:lang w:val="en-GB"/>
              </w:rPr>
              <w:t>Feeder/multiplexer loss range (dB)</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rPr>
            </w:pPr>
            <w:r w:rsidRPr="00304846">
              <w:rPr>
                <w:rFonts w:eastAsia="Calibri"/>
                <w:lang w:val="en-GB"/>
              </w:rPr>
              <w:t>2.5…5.6</w:t>
            </w:r>
          </w:p>
          <w:p w:rsidR="00AF59A0" w:rsidRPr="00304846" w:rsidRDefault="00AF59A0" w:rsidP="00FA7BDD">
            <w:pPr>
              <w:pStyle w:val="Tabletext"/>
              <w:jc w:val="center"/>
              <w:rPr>
                <w:rFonts w:eastAsia="Calibri"/>
                <w:lang w:val="en-GB" w:eastAsia="ja-JP"/>
              </w:rPr>
            </w:pPr>
            <w:r w:rsidRPr="00304846">
              <w:rPr>
                <w:rFonts w:eastAsia="Calibri"/>
                <w:lang w:val="en-GB" w:eastAsia="ja-JP"/>
              </w:rPr>
              <w:t>(Mode 3.4)</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rPr>
            </w:pPr>
            <w:r w:rsidRPr="00304846">
              <w:rPr>
                <w:rFonts w:eastAsia="Calibri"/>
                <w:lang w:val="en-GB"/>
              </w:rPr>
              <w:t>1.1…3</w:t>
            </w:r>
          </w:p>
          <w:p w:rsidR="00AF59A0" w:rsidRPr="00304846" w:rsidRDefault="00AF59A0" w:rsidP="00FA7BDD">
            <w:pPr>
              <w:pStyle w:val="Tabletext"/>
              <w:jc w:val="center"/>
              <w:rPr>
                <w:rFonts w:eastAsia="Calibri"/>
                <w:lang w:val="en-GB"/>
              </w:rPr>
            </w:pPr>
            <w:r w:rsidRPr="00304846">
              <w:rPr>
                <w:rFonts w:eastAsia="Calibri"/>
                <w:lang w:val="en-GB" w:eastAsia="ja-JP"/>
              </w:rPr>
              <w:t>(Mode 1.3)</w:t>
            </w:r>
          </w:p>
        </w:tc>
      </w:tr>
      <w:tr w:rsidR="00AF59A0" w:rsidRPr="00304846" w:rsidTr="005D2CBD">
        <w:trPr>
          <w:trHeight w:val="314"/>
        </w:trPr>
        <w:tc>
          <w:tcPr>
            <w:tcW w:w="54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rFonts w:eastAsia="Calibri"/>
                <w:lang w:val="en-GB"/>
              </w:rPr>
            </w:pPr>
            <w:r w:rsidRPr="00304846">
              <w:rPr>
                <w:rFonts w:eastAsia="Calibri"/>
                <w:lang w:val="en-GB"/>
              </w:rPr>
              <w:t>Antenna gain range (dBi)</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rPr>
              <w:t>38.1…</w:t>
            </w:r>
            <w:r w:rsidRPr="00304846">
              <w:rPr>
                <w:rFonts w:eastAsia="Calibri"/>
                <w:lang w:val="en-GB" w:eastAsia="ja-JP"/>
              </w:rPr>
              <w:t>45.0</w:t>
            </w:r>
          </w:p>
          <w:p w:rsidR="00AF59A0" w:rsidRPr="00304846" w:rsidRDefault="00AF59A0" w:rsidP="00FA7BDD">
            <w:pPr>
              <w:pStyle w:val="Tabletext"/>
              <w:jc w:val="center"/>
              <w:rPr>
                <w:rFonts w:eastAsia="Calibri"/>
                <w:lang w:val="en-GB"/>
              </w:rPr>
            </w:pPr>
            <w:r w:rsidRPr="00304846">
              <w:rPr>
                <w:rFonts w:eastAsia="Calibri"/>
                <w:lang w:val="en-GB" w:eastAsia="ja-JP"/>
              </w:rPr>
              <w:t>(Mode 38)</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rPr>
              <w:t>3</w:t>
            </w:r>
            <w:r w:rsidRPr="00304846">
              <w:rPr>
                <w:rFonts w:eastAsia="Calibri"/>
                <w:lang w:val="en-GB" w:eastAsia="ja-JP"/>
              </w:rPr>
              <w:t>8.7…46.6</w:t>
            </w:r>
          </w:p>
          <w:p w:rsidR="00AF59A0" w:rsidRPr="00304846" w:rsidRDefault="00AF59A0" w:rsidP="00FA7BDD">
            <w:pPr>
              <w:pStyle w:val="Tabletext"/>
              <w:jc w:val="center"/>
              <w:rPr>
                <w:rFonts w:eastAsia="Calibri"/>
                <w:lang w:val="en-GB" w:eastAsia="ja-JP"/>
              </w:rPr>
            </w:pPr>
            <w:r w:rsidRPr="00304846">
              <w:rPr>
                <w:rFonts w:eastAsia="Calibri"/>
                <w:lang w:val="en-GB" w:eastAsia="ja-JP"/>
              </w:rPr>
              <w:t>(Mode 45)</w:t>
            </w:r>
          </w:p>
        </w:tc>
      </w:tr>
      <w:tr w:rsidR="00AF59A0" w:rsidRPr="00304846" w:rsidTr="005D2CBD">
        <w:tc>
          <w:tcPr>
            <w:tcW w:w="54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lang w:val="en-GB"/>
              </w:rPr>
            </w:pPr>
            <w:r w:rsidRPr="00304846">
              <w:rPr>
                <w:lang w:val="en-GB"/>
              </w:rPr>
              <w:t>Antenna pattern</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6C4C52" w:rsidRDefault="00AF59A0" w:rsidP="00FA7BDD">
            <w:pPr>
              <w:pStyle w:val="Tabletext"/>
              <w:jc w:val="center"/>
              <w:rPr>
                <w:lang w:val="fr-CH"/>
              </w:rPr>
            </w:pPr>
            <w:r w:rsidRPr="006C4C52">
              <w:rPr>
                <w:lang w:val="fr-CH"/>
              </w:rPr>
              <w:t xml:space="preserve">Rec. </w:t>
            </w:r>
            <w:r w:rsidR="004E01CD" w:rsidRPr="002330EA">
              <w:rPr>
                <w:lang w:val="fr-CH"/>
              </w:rPr>
              <w:br/>
            </w:r>
            <w:r w:rsidRPr="006C4C52">
              <w:rPr>
                <w:lang w:val="fr-CH"/>
              </w:rPr>
              <w:t xml:space="preserve">ITU-R F.1245 </w:t>
            </w:r>
            <w:r w:rsidRPr="006C4C52">
              <w:rPr>
                <w:lang w:val="fr-CH"/>
              </w:rPr>
              <w:br/>
              <w:t>(Fig. 4)</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6C4C52" w:rsidRDefault="00AF59A0" w:rsidP="00FA7BDD">
            <w:pPr>
              <w:pStyle w:val="Tabletext"/>
              <w:jc w:val="center"/>
              <w:rPr>
                <w:lang w:val="fr-CH"/>
              </w:rPr>
            </w:pPr>
            <w:r w:rsidRPr="006C4C52">
              <w:rPr>
                <w:lang w:val="fr-CH"/>
              </w:rPr>
              <w:t xml:space="preserve">Rec. </w:t>
            </w:r>
            <w:r w:rsidR="004E01CD" w:rsidRPr="002330EA">
              <w:rPr>
                <w:lang w:val="fr-CH"/>
              </w:rPr>
              <w:br/>
            </w:r>
            <w:r w:rsidRPr="006C4C52">
              <w:rPr>
                <w:lang w:val="fr-CH"/>
              </w:rPr>
              <w:t xml:space="preserve">ITU-R F.1245 </w:t>
            </w:r>
            <w:r w:rsidR="00EB28CB" w:rsidRPr="002330EA">
              <w:rPr>
                <w:lang w:val="fr-CH"/>
              </w:rPr>
              <w:br/>
            </w:r>
            <w:r w:rsidRPr="006C4C52">
              <w:rPr>
                <w:lang w:val="fr-CH"/>
              </w:rPr>
              <w:t>(Fig. 4)</w:t>
            </w:r>
          </w:p>
        </w:tc>
      </w:tr>
      <w:tr w:rsidR="00AF59A0" w:rsidRPr="00304846" w:rsidTr="005D2CBD">
        <w:tc>
          <w:tcPr>
            <w:tcW w:w="54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rFonts w:eastAsia="Calibri"/>
                <w:lang w:val="en-GB"/>
              </w:rPr>
            </w:pPr>
            <w:r w:rsidRPr="00304846">
              <w:rPr>
                <w:rFonts w:eastAsia="Calibri"/>
                <w:lang w:val="en-GB"/>
              </w:rPr>
              <w:t>Antenna height (m)</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rPr>
            </w:pPr>
            <w:r w:rsidRPr="00304846">
              <w:rPr>
                <w:rFonts w:eastAsia="Calibri"/>
                <w:lang w:val="en-GB"/>
              </w:rPr>
              <w:t>15…110</w:t>
            </w:r>
          </w:p>
          <w:p w:rsidR="00AF59A0" w:rsidRPr="00304846" w:rsidRDefault="00AF59A0" w:rsidP="00FA7BDD">
            <w:pPr>
              <w:pStyle w:val="Tabletext"/>
              <w:jc w:val="center"/>
              <w:rPr>
                <w:rFonts w:eastAsia="Calibri"/>
                <w:lang w:val="en-GB"/>
              </w:rPr>
            </w:pPr>
            <w:r w:rsidRPr="00304846">
              <w:rPr>
                <w:rFonts w:eastAsia="Calibri"/>
                <w:lang w:val="en-GB" w:eastAsia="ja-JP"/>
              </w:rPr>
              <w:t>(Mode 55)</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rPr>
            </w:pPr>
            <w:r w:rsidRPr="00304846">
              <w:rPr>
                <w:rFonts w:eastAsia="Calibri"/>
                <w:lang w:val="en-GB"/>
              </w:rPr>
              <w:t>15…110</w:t>
            </w:r>
          </w:p>
          <w:p w:rsidR="00AF59A0" w:rsidRPr="00304846" w:rsidRDefault="00AF59A0" w:rsidP="00FA7BDD">
            <w:pPr>
              <w:pStyle w:val="Tabletext"/>
              <w:jc w:val="center"/>
              <w:rPr>
                <w:rFonts w:eastAsia="Calibri"/>
                <w:lang w:val="en-GB"/>
              </w:rPr>
            </w:pPr>
            <w:r w:rsidRPr="00304846">
              <w:rPr>
                <w:rFonts w:eastAsia="Calibri"/>
                <w:lang w:val="en-GB" w:eastAsia="ja-JP"/>
              </w:rPr>
              <w:t>(Mode 55)</w:t>
            </w:r>
          </w:p>
        </w:tc>
      </w:tr>
      <w:tr w:rsidR="00AF59A0" w:rsidRPr="00304846" w:rsidTr="005D2CBD">
        <w:tc>
          <w:tcPr>
            <w:tcW w:w="54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rFonts w:eastAsia="Calibri"/>
                <w:lang w:val="en-GB"/>
              </w:rPr>
            </w:pPr>
            <w:r w:rsidRPr="00304846">
              <w:rPr>
                <w:rFonts w:eastAsia="Calibri"/>
                <w:lang w:val="en-GB"/>
              </w:rPr>
              <w:t>e.i.r.p.</w:t>
            </w:r>
            <w:r w:rsidRPr="00304846">
              <w:rPr>
                <w:rFonts w:eastAsia="Calibri"/>
                <w:lang w:val="en-GB" w:eastAsia="ja-JP"/>
              </w:rPr>
              <w:t xml:space="preserve"> </w:t>
            </w:r>
            <w:r w:rsidRPr="00304846">
              <w:rPr>
                <w:rFonts w:eastAsia="Calibri"/>
                <w:lang w:val="en-GB"/>
              </w:rPr>
              <w:t>range (dBW)</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rPr>
            </w:pPr>
            <w:r w:rsidRPr="00304846">
              <w:rPr>
                <w:rFonts w:eastAsia="Calibri"/>
                <w:lang w:val="en-GB"/>
              </w:rPr>
              <w:t>20.6...37.5</w:t>
            </w:r>
          </w:p>
          <w:p w:rsidR="00AF59A0" w:rsidRPr="00304846" w:rsidRDefault="00AF59A0" w:rsidP="00FA7BDD">
            <w:pPr>
              <w:pStyle w:val="Tabletext"/>
              <w:jc w:val="center"/>
              <w:rPr>
                <w:rFonts w:eastAsia="Calibri"/>
                <w:lang w:val="en-GB"/>
              </w:rPr>
            </w:pPr>
            <w:r w:rsidRPr="00304846">
              <w:rPr>
                <w:rFonts w:eastAsia="Calibri"/>
                <w:lang w:val="en-GB"/>
              </w:rPr>
              <w:t>(Mode 30.6)</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rPr>
            </w:pPr>
            <w:r w:rsidRPr="00304846">
              <w:rPr>
                <w:rFonts w:eastAsia="Calibri"/>
                <w:lang w:val="en-GB"/>
              </w:rPr>
              <w:t>25.7…45.9</w:t>
            </w:r>
          </w:p>
          <w:p w:rsidR="00AF59A0" w:rsidRPr="00304846" w:rsidRDefault="00AF59A0" w:rsidP="00FA7BDD">
            <w:pPr>
              <w:pStyle w:val="Tabletext"/>
              <w:jc w:val="center"/>
              <w:rPr>
                <w:rFonts w:eastAsia="Calibri"/>
                <w:lang w:val="en-GB"/>
              </w:rPr>
            </w:pPr>
            <w:r w:rsidRPr="00304846">
              <w:rPr>
                <w:rFonts w:eastAsia="Calibri"/>
                <w:lang w:val="en-GB"/>
              </w:rPr>
              <w:t>(Mode 40.7)</w:t>
            </w:r>
          </w:p>
        </w:tc>
      </w:tr>
    </w:tbl>
    <w:p w:rsidR="00EB28CB" w:rsidRPr="00304846" w:rsidRDefault="00EB28CB" w:rsidP="00EB28CB">
      <w:pPr>
        <w:pStyle w:val="TableNo"/>
        <w:rPr>
          <w:lang w:val="en-GB" w:eastAsia="ja-JP"/>
        </w:rPr>
      </w:pPr>
      <w:r w:rsidRPr="00304846">
        <w:rPr>
          <w:lang w:val="en-GB"/>
        </w:rPr>
        <w:lastRenderedPageBreak/>
        <w:t>TABLE 3 (</w:t>
      </w:r>
      <w:r w:rsidRPr="00304846">
        <w:rPr>
          <w:i/>
          <w:iCs/>
          <w:lang w:val="en-GB"/>
        </w:rPr>
        <w:t>end</w:t>
      </w:r>
      <w:r w:rsidRPr="00304846">
        <w:rPr>
          <w:lang w:val="en-GB"/>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4"/>
        <w:gridCol w:w="2060"/>
        <w:gridCol w:w="2135"/>
      </w:tblGrid>
      <w:tr w:rsidR="00EB28CB" w:rsidRPr="00304846" w:rsidTr="002A6FFA">
        <w:trPr>
          <w:trHeight w:val="195"/>
        </w:trPr>
        <w:tc>
          <w:tcPr>
            <w:tcW w:w="5444"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EB28CB" w:rsidRPr="00304846" w:rsidRDefault="00EB28CB" w:rsidP="002A6FFA">
            <w:pPr>
              <w:pStyle w:val="Tablehead"/>
              <w:rPr>
                <w:lang w:val="en-GB"/>
              </w:rPr>
            </w:pPr>
            <w:r w:rsidRPr="00304846">
              <w:rPr>
                <w:lang w:val="en-GB"/>
              </w:rPr>
              <w:t>Frequency range (GHz)</w:t>
            </w:r>
          </w:p>
        </w:tc>
        <w:tc>
          <w:tcPr>
            <w:tcW w:w="4195" w:type="dxa"/>
            <w:gridSpan w:val="2"/>
            <w:tcBorders>
              <w:top w:val="single" w:sz="4" w:space="0" w:color="auto"/>
              <w:left w:val="single" w:sz="4" w:space="0" w:color="auto"/>
              <w:bottom w:val="single" w:sz="4" w:space="0" w:color="auto"/>
              <w:right w:val="single" w:sz="4" w:space="0" w:color="auto"/>
            </w:tcBorders>
            <w:hideMark/>
          </w:tcPr>
          <w:p w:rsidR="00EB28CB" w:rsidRPr="00304846" w:rsidRDefault="00EB28CB" w:rsidP="005761BF">
            <w:pPr>
              <w:pStyle w:val="Tablehead"/>
              <w:rPr>
                <w:lang w:val="en-GB"/>
              </w:rPr>
            </w:pPr>
            <w:r w:rsidRPr="00304846">
              <w:rPr>
                <w:lang w:val="en-GB"/>
              </w:rPr>
              <w:t>5.925-6.425</w:t>
            </w:r>
          </w:p>
        </w:tc>
      </w:tr>
      <w:tr w:rsidR="00EB28CB" w:rsidRPr="00304846" w:rsidTr="005D2CBD">
        <w:trPr>
          <w:trHeight w:val="195"/>
        </w:trPr>
        <w:tc>
          <w:tcPr>
            <w:tcW w:w="5444" w:type="dxa"/>
            <w:vMerge/>
            <w:tcBorders>
              <w:top w:val="single" w:sz="4" w:space="0" w:color="auto"/>
              <w:left w:val="single" w:sz="4" w:space="0" w:color="auto"/>
              <w:bottom w:val="single" w:sz="4" w:space="0" w:color="auto"/>
              <w:right w:val="single" w:sz="4" w:space="0" w:color="auto"/>
            </w:tcBorders>
            <w:vAlign w:val="center"/>
            <w:hideMark/>
          </w:tcPr>
          <w:p w:rsidR="00EB28CB" w:rsidRPr="00304846" w:rsidRDefault="00EB28CB" w:rsidP="005761BF">
            <w:pPr>
              <w:pStyle w:val="Tablehead"/>
              <w:jc w:val="left"/>
              <w:rPr>
                <w:lang w:val="en-GB"/>
              </w:rPr>
            </w:pPr>
          </w:p>
        </w:tc>
        <w:tc>
          <w:tcPr>
            <w:tcW w:w="2060" w:type="dxa"/>
            <w:tcBorders>
              <w:top w:val="single" w:sz="4" w:space="0" w:color="auto"/>
              <w:left w:val="single" w:sz="4" w:space="0" w:color="auto"/>
              <w:bottom w:val="single" w:sz="4" w:space="0" w:color="auto"/>
              <w:right w:val="single" w:sz="4" w:space="0" w:color="auto"/>
            </w:tcBorders>
            <w:shd w:val="clear" w:color="auto" w:fill="auto"/>
            <w:hideMark/>
          </w:tcPr>
          <w:p w:rsidR="00EB28CB" w:rsidRPr="00304846" w:rsidRDefault="00EB28CB" w:rsidP="005761BF">
            <w:pPr>
              <w:pStyle w:val="Tablehead"/>
              <w:rPr>
                <w:lang w:val="en-GB"/>
              </w:rPr>
            </w:pPr>
            <w:r w:rsidRPr="00304846">
              <w:rPr>
                <w:lang w:val="en-GB"/>
              </w:rPr>
              <w:t>Type 1</w:t>
            </w:r>
          </w:p>
        </w:tc>
        <w:tc>
          <w:tcPr>
            <w:tcW w:w="2135" w:type="dxa"/>
            <w:tcBorders>
              <w:top w:val="single" w:sz="4" w:space="0" w:color="auto"/>
              <w:left w:val="single" w:sz="4" w:space="0" w:color="auto"/>
              <w:bottom w:val="single" w:sz="4" w:space="0" w:color="auto"/>
              <w:right w:val="single" w:sz="4" w:space="0" w:color="auto"/>
            </w:tcBorders>
            <w:shd w:val="clear" w:color="auto" w:fill="auto"/>
            <w:hideMark/>
          </w:tcPr>
          <w:p w:rsidR="00EB28CB" w:rsidRPr="00304846" w:rsidRDefault="00EB28CB" w:rsidP="005761BF">
            <w:pPr>
              <w:pStyle w:val="Tablehead"/>
              <w:rPr>
                <w:lang w:val="en-GB"/>
              </w:rPr>
            </w:pPr>
            <w:r w:rsidRPr="00304846">
              <w:rPr>
                <w:lang w:val="en-GB"/>
              </w:rPr>
              <w:t>Type 2</w:t>
            </w:r>
          </w:p>
        </w:tc>
      </w:tr>
      <w:tr w:rsidR="00AF59A0" w:rsidRPr="00304846" w:rsidTr="005D2CBD">
        <w:tc>
          <w:tcPr>
            <w:tcW w:w="54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rFonts w:eastAsia="Calibri"/>
                <w:lang w:val="en-GB"/>
              </w:rPr>
            </w:pPr>
            <w:r w:rsidRPr="00304846">
              <w:rPr>
                <w:rFonts w:eastAsia="Calibri"/>
                <w:lang w:val="en-GB"/>
              </w:rPr>
              <w:t>e.i.r.p.</w:t>
            </w:r>
            <w:r w:rsidRPr="00304846">
              <w:rPr>
                <w:rFonts w:eastAsia="Calibri"/>
                <w:lang w:val="en-GB" w:eastAsia="ja-JP"/>
              </w:rPr>
              <w:t xml:space="preserve"> </w:t>
            </w:r>
            <w:r w:rsidRPr="00304846">
              <w:rPr>
                <w:rFonts w:eastAsia="Calibri"/>
                <w:lang w:val="en-GB"/>
              </w:rPr>
              <w:t>density range (dBW/MHz)</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rPr>
              <w:t>4.6...21.5</w:t>
            </w:r>
          </w:p>
          <w:p w:rsidR="00AF59A0" w:rsidRPr="00304846" w:rsidRDefault="00AF59A0" w:rsidP="00FA7BDD">
            <w:pPr>
              <w:pStyle w:val="Tabletext"/>
              <w:jc w:val="center"/>
              <w:rPr>
                <w:rFonts w:eastAsia="Calibri"/>
                <w:lang w:val="en-GB" w:eastAsia="ja-JP"/>
              </w:rPr>
            </w:pPr>
            <w:r w:rsidRPr="00304846">
              <w:rPr>
                <w:rFonts w:eastAsia="Calibri"/>
                <w:lang w:val="en-GB" w:eastAsia="ja-JP"/>
              </w:rPr>
              <w:t>(Mode 14.3)</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eastAsia="ja-JP"/>
              </w:rPr>
              <w:t>10.9…31.1</w:t>
            </w:r>
          </w:p>
          <w:p w:rsidR="00AF59A0" w:rsidRPr="00304846" w:rsidRDefault="00AF59A0" w:rsidP="00FA7BDD">
            <w:pPr>
              <w:pStyle w:val="Tabletext"/>
              <w:jc w:val="center"/>
              <w:rPr>
                <w:rFonts w:eastAsia="Calibri"/>
                <w:lang w:val="en-GB" w:eastAsia="ja-JP"/>
              </w:rPr>
            </w:pPr>
            <w:r w:rsidRPr="00304846">
              <w:rPr>
                <w:rFonts w:eastAsia="Calibri"/>
                <w:lang w:val="en-GB" w:eastAsia="ja-JP"/>
              </w:rPr>
              <w:t>(Mode 26.9)</w:t>
            </w:r>
          </w:p>
        </w:tc>
      </w:tr>
      <w:tr w:rsidR="00AF59A0" w:rsidRPr="00304846" w:rsidTr="005D2CBD">
        <w:tc>
          <w:tcPr>
            <w:tcW w:w="54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rFonts w:eastAsia="Calibri"/>
                <w:lang w:val="en-GB"/>
              </w:rPr>
            </w:pPr>
            <w:r w:rsidRPr="00304846">
              <w:rPr>
                <w:rFonts w:eastAsia="Calibri"/>
                <w:lang w:val="en-GB"/>
              </w:rPr>
              <w:t xml:space="preserve">Receiver noise figure typical (dB)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eastAsia="ja-JP"/>
              </w:rPr>
              <w:t>5</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eastAsia="ja-JP"/>
              </w:rPr>
              <w:t>4</w:t>
            </w:r>
          </w:p>
        </w:tc>
      </w:tr>
      <w:tr w:rsidR="00AF59A0" w:rsidRPr="00304846" w:rsidTr="005D2CBD">
        <w:tc>
          <w:tcPr>
            <w:tcW w:w="54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F59A0" w:rsidRPr="00304846" w:rsidRDefault="00AF59A0" w:rsidP="00FA7BDD">
            <w:pPr>
              <w:pStyle w:val="Tabletext"/>
              <w:jc w:val="left"/>
              <w:rPr>
                <w:rFonts w:eastAsia="Calibri"/>
                <w:lang w:val="en-GB"/>
              </w:rPr>
            </w:pPr>
            <w:r w:rsidRPr="00304846">
              <w:rPr>
                <w:lang w:val="en-GB" w:eastAsia="ar-SA"/>
              </w:rPr>
              <w:t>Receiver selectivity masks</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tcPr>
          <w:p w:rsidR="00AF59A0" w:rsidRPr="00304846" w:rsidRDefault="00AF59A0" w:rsidP="00FA7BDD">
            <w:pPr>
              <w:pStyle w:val="Tabletext"/>
              <w:jc w:val="center"/>
              <w:rPr>
                <w:rFonts w:eastAsia="Calibri"/>
                <w:lang w:val="en-GB" w:eastAsia="ja-JP"/>
              </w:rPr>
            </w:pPr>
            <w:r w:rsidRPr="00304846">
              <w:rPr>
                <w:rFonts w:eastAsia="Calibri"/>
                <w:lang w:val="en-GB" w:eastAsia="ja-JP"/>
              </w:rPr>
              <w:t>Table 4, Fig.</w:t>
            </w:r>
            <w:r w:rsidR="004E01CD" w:rsidRPr="00304846">
              <w:rPr>
                <w:rFonts w:eastAsia="Calibri"/>
                <w:lang w:val="en-GB" w:eastAsia="ja-JP"/>
              </w:rPr>
              <w:t xml:space="preserve"> </w:t>
            </w:r>
            <w:r w:rsidRPr="00304846">
              <w:rPr>
                <w:rFonts w:eastAsia="Calibri"/>
                <w:lang w:val="en-GB" w:eastAsia="ja-JP"/>
              </w:rPr>
              <w:t>6</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tcPr>
          <w:p w:rsidR="00AF59A0" w:rsidRPr="00304846" w:rsidRDefault="00AF59A0" w:rsidP="00FA7BDD">
            <w:pPr>
              <w:pStyle w:val="Tabletext"/>
              <w:jc w:val="center"/>
              <w:rPr>
                <w:rFonts w:eastAsia="Calibri"/>
                <w:lang w:val="en-GB" w:eastAsia="ja-JP"/>
              </w:rPr>
            </w:pPr>
            <w:r w:rsidRPr="00304846">
              <w:rPr>
                <w:rFonts w:eastAsia="Calibri"/>
                <w:lang w:val="en-GB" w:eastAsia="ja-JP"/>
              </w:rPr>
              <w:t>Table 4, Fig.</w:t>
            </w:r>
            <w:r w:rsidR="004E01CD" w:rsidRPr="00304846">
              <w:rPr>
                <w:rFonts w:eastAsia="Calibri"/>
                <w:lang w:val="en-GB" w:eastAsia="ja-JP"/>
              </w:rPr>
              <w:t xml:space="preserve"> </w:t>
            </w:r>
            <w:r w:rsidRPr="00304846">
              <w:rPr>
                <w:rFonts w:eastAsia="Calibri"/>
                <w:lang w:val="en-GB" w:eastAsia="ja-JP"/>
              </w:rPr>
              <w:t>5</w:t>
            </w:r>
          </w:p>
        </w:tc>
      </w:tr>
      <w:tr w:rsidR="00AF59A0" w:rsidRPr="00304846" w:rsidTr="005D2CBD">
        <w:tc>
          <w:tcPr>
            <w:tcW w:w="54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rFonts w:eastAsia="Calibri"/>
                <w:lang w:val="en-GB"/>
              </w:rPr>
            </w:pPr>
            <w:r w:rsidRPr="00304846">
              <w:rPr>
                <w:rFonts w:eastAsia="Calibri"/>
                <w:lang w:val="en-GB"/>
              </w:rPr>
              <w:t xml:space="preserve">Receiver noise power density typical </w:t>
            </w:r>
            <w:r w:rsidRPr="00304846">
              <w:rPr>
                <w:rFonts w:eastAsia="Calibri"/>
                <w:lang w:val="en-GB" w:eastAsia="ja-JP"/>
              </w:rPr>
              <w:t>(=</w:t>
            </w:r>
            <w:r w:rsidRPr="00304846">
              <w:rPr>
                <w:rFonts w:eastAsia="Calibri"/>
                <w:i/>
                <w:iCs/>
                <w:lang w:val="en-GB" w:eastAsia="ja-JP"/>
              </w:rPr>
              <w:t>N</w:t>
            </w:r>
            <w:r w:rsidRPr="00304846">
              <w:rPr>
                <w:rFonts w:eastAsia="Calibri"/>
                <w:i/>
                <w:iCs/>
                <w:vertAlign w:val="subscript"/>
                <w:lang w:val="en-GB"/>
              </w:rPr>
              <w:t>RX</w:t>
            </w:r>
            <w:r w:rsidRPr="00304846">
              <w:rPr>
                <w:rFonts w:eastAsia="Calibri"/>
                <w:lang w:val="en-GB" w:eastAsia="ja-JP"/>
              </w:rPr>
              <w:t>)</w:t>
            </w:r>
            <w:r w:rsidRPr="00304846">
              <w:rPr>
                <w:rFonts w:eastAsia="Calibri"/>
                <w:lang w:val="en-GB"/>
              </w:rPr>
              <w:t xml:space="preserve"> (dBW/MHz)</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eastAsia="ja-JP"/>
              </w:rPr>
              <w:t>−139</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eastAsia="ja-JP"/>
              </w:rPr>
              <w:t>−140</w:t>
            </w:r>
          </w:p>
        </w:tc>
      </w:tr>
      <w:tr w:rsidR="00AF59A0" w:rsidRPr="00304846" w:rsidTr="005D2CBD">
        <w:tc>
          <w:tcPr>
            <w:tcW w:w="54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rFonts w:eastAsia="Calibri"/>
                <w:lang w:val="en-GB"/>
              </w:rPr>
            </w:pPr>
            <w:r w:rsidRPr="00304846">
              <w:rPr>
                <w:rFonts w:eastAsia="Calibri"/>
                <w:lang w:val="en-GB"/>
              </w:rPr>
              <w:t>Normalized Rx input level for 1 × 10</w:t>
            </w:r>
            <w:r w:rsidRPr="00304846">
              <w:rPr>
                <w:rFonts w:eastAsia="Calibri"/>
                <w:vertAlign w:val="superscript"/>
                <w:lang w:val="en-GB"/>
              </w:rPr>
              <w:t>−6</w:t>
            </w:r>
            <w:r w:rsidRPr="00304846">
              <w:rPr>
                <w:rFonts w:eastAsia="Calibri"/>
                <w:lang w:val="en-GB"/>
              </w:rPr>
              <w:t xml:space="preserve"> BER </w:t>
            </w:r>
            <w:r w:rsidRPr="00304846">
              <w:rPr>
                <w:rFonts w:eastAsia="Calibri"/>
                <w:lang w:val="en-GB" w:eastAsia="ja-JP"/>
              </w:rPr>
              <w:t>(</w:t>
            </w:r>
            <w:r w:rsidRPr="00304846">
              <w:rPr>
                <w:rFonts w:eastAsia="Calibri"/>
                <w:lang w:val="en-GB"/>
              </w:rPr>
              <w:t xml:space="preserve">dBW/MHz)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eastAsia="ja-JP"/>
              </w:rPr>
              <w:t>−112.5</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eastAsia="ja-JP"/>
              </w:rPr>
              <w:t>−110.5</w:t>
            </w:r>
          </w:p>
        </w:tc>
      </w:tr>
      <w:tr w:rsidR="00AF59A0" w:rsidRPr="00304846" w:rsidTr="005D2CBD">
        <w:tc>
          <w:tcPr>
            <w:tcW w:w="54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rFonts w:eastAsia="Calibri"/>
                <w:lang w:val="en-GB" w:eastAsia="ja-JP"/>
              </w:rPr>
            </w:pPr>
            <w:r w:rsidRPr="00304846">
              <w:rPr>
                <w:rFonts w:eastAsia="Calibri"/>
                <w:lang w:val="en-GB"/>
              </w:rPr>
              <w:t>Nominal long-term interference power density (dBW/MHz)</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eastAsia="ja-JP"/>
              </w:rPr>
              <w:t>−139</w:t>
            </w:r>
            <w:r w:rsidRPr="00304846">
              <w:rPr>
                <w:rFonts w:eastAsia="Calibri"/>
                <w:lang w:val="en-GB"/>
              </w:rPr>
              <w:t xml:space="preserve"> +</w:t>
            </w:r>
            <w:r w:rsidRPr="00304846">
              <w:rPr>
                <w:rFonts w:eastAsia="Calibri"/>
                <w:i/>
                <w:lang w:val="en-GB"/>
              </w:rPr>
              <w:t xml:space="preserve"> I</w:t>
            </w:r>
            <w:r w:rsidRPr="00304846">
              <w:rPr>
                <w:rFonts w:eastAsia="Calibri"/>
                <w:iCs/>
                <w:lang w:val="en-GB"/>
              </w:rPr>
              <w:t>/</w:t>
            </w:r>
            <w:r w:rsidRPr="00304846">
              <w:rPr>
                <w:rFonts w:eastAsia="Calibri"/>
                <w:i/>
                <w:lang w:val="en-GB"/>
              </w:rPr>
              <w:t>N</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eastAsia="ja-JP"/>
              </w:rPr>
              <w:t>−140</w:t>
            </w:r>
            <w:r w:rsidRPr="00304846">
              <w:rPr>
                <w:rFonts w:eastAsia="Calibri"/>
                <w:lang w:val="en-GB"/>
              </w:rPr>
              <w:t xml:space="preserve"> +</w:t>
            </w:r>
            <w:r w:rsidRPr="00304846">
              <w:rPr>
                <w:rFonts w:eastAsia="Calibri"/>
                <w:i/>
                <w:lang w:val="en-GB"/>
              </w:rPr>
              <w:t xml:space="preserve"> I</w:t>
            </w:r>
            <w:r w:rsidRPr="00304846">
              <w:rPr>
                <w:rFonts w:eastAsia="Calibri"/>
                <w:iCs/>
                <w:lang w:val="en-GB"/>
              </w:rPr>
              <w:t>/</w:t>
            </w:r>
            <w:r w:rsidRPr="00304846">
              <w:rPr>
                <w:rFonts w:eastAsia="Calibri"/>
                <w:i/>
                <w:lang w:val="en-GB"/>
              </w:rPr>
              <w:t>N</w:t>
            </w:r>
          </w:p>
        </w:tc>
      </w:tr>
      <w:tr w:rsidR="00AF59A0" w:rsidRPr="00304846" w:rsidTr="005D2CBD">
        <w:trPr>
          <w:trHeight w:val="770"/>
        </w:trPr>
        <w:tc>
          <w:tcPr>
            <w:tcW w:w="5444" w:type="dxa"/>
            <w:tcBorders>
              <w:top w:val="single" w:sz="4" w:space="0" w:color="auto"/>
              <w:left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lang w:val="en-GB"/>
              </w:rPr>
            </w:pPr>
            <w:r w:rsidRPr="00304846">
              <w:rPr>
                <w:lang w:val="en-GB"/>
              </w:rPr>
              <w:t>Protection criteria</w:t>
            </w:r>
          </w:p>
        </w:tc>
        <w:tc>
          <w:tcPr>
            <w:tcW w:w="2060" w:type="dxa"/>
            <w:tcBorders>
              <w:top w:val="single" w:sz="4" w:space="0" w:color="auto"/>
              <w:left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lang w:val="en-GB"/>
              </w:rPr>
            </w:pPr>
            <w:r w:rsidRPr="00304846">
              <w:rPr>
                <w:i/>
                <w:iCs/>
                <w:lang w:val="en-GB"/>
              </w:rPr>
              <w:t>I</w:t>
            </w:r>
            <w:r w:rsidRPr="00304846">
              <w:rPr>
                <w:lang w:val="en-GB"/>
              </w:rPr>
              <w:t>/</w:t>
            </w:r>
            <w:r w:rsidRPr="00304846">
              <w:rPr>
                <w:i/>
                <w:iCs/>
                <w:lang w:val="en-GB"/>
              </w:rPr>
              <w:t>N</w:t>
            </w:r>
            <w:r w:rsidR="004E01CD" w:rsidRPr="00304846">
              <w:rPr>
                <w:lang w:val="en-GB"/>
              </w:rPr>
              <w:t xml:space="preserve"> </w:t>
            </w:r>
            <w:r w:rsidRPr="00304846">
              <w:rPr>
                <w:lang w:val="en-GB"/>
              </w:rPr>
              <w:t>=</w:t>
            </w:r>
            <w:r w:rsidR="004E01CD" w:rsidRPr="00304846">
              <w:rPr>
                <w:lang w:val="en-GB"/>
              </w:rPr>
              <w:t xml:space="preserve"> </w:t>
            </w:r>
            <w:r w:rsidRPr="00304846">
              <w:rPr>
                <w:lang w:val="en-GB"/>
              </w:rPr>
              <w:t>–10</w:t>
            </w:r>
          </w:p>
        </w:tc>
        <w:tc>
          <w:tcPr>
            <w:tcW w:w="2135" w:type="dxa"/>
            <w:tcBorders>
              <w:top w:val="single" w:sz="4" w:space="0" w:color="auto"/>
              <w:left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lang w:val="en-GB"/>
              </w:rPr>
            </w:pPr>
            <w:r w:rsidRPr="00304846">
              <w:rPr>
                <w:i/>
                <w:iCs/>
                <w:lang w:val="en-GB"/>
              </w:rPr>
              <w:t>I</w:t>
            </w:r>
            <w:r w:rsidRPr="00304846">
              <w:rPr>
                <w:lang w:val="en-GB"/>
              </w:rPr>
              <w:t>/</w:t>
            </w:r>
            <w:r w:rsidRPr="00304846">
              <w:rPr>
                <w:i/>
                <w:iCs/>
                <w:lang w:val="en-GB"/>
              </w:rPr>
              <w:t>N</w:t>
            </w:r>
            <w:r w:rsidR="004E01CD" w:rsidRPr="00304846">
              <w:rPr>
                <w:lang w:val="en-GB"/>
              </w:rPr>
              <w:t xml:space="preserve"> </w:t>
            </w:r>
            <w:r w:rsidRPr="00304846">
              <w:rPr>
                <w:lang w:val="en-GB"/>
              </w:rPr>
              <w:t>=</w:t>
            </w:r>
            <w:r w:rsidR="004E01CD" w:rsidRPr="00304846">
              <w:rPr>
                <w:lang w:val="en-GB"/>
              </w:rPr>
              <w:t xml:space="preserve"> </w:t>
            </w:r>
            <w:r w:rsidRPr="00304846">
              <w:rPr>
                <w:lang w:val="en-GB"/>
              </w:rPr>
              <w:t>–10</w:t>
            </w:r>
          </w:p>
        </w:tc>
      </w:tr>
      <w:tr w:rsidR="00AF59A0" w:rsidRPr="00304846" w:rsidTr="005D2CBD">
        <w:tc>
          <w:tcPr>
            <w:tcW w:w="54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rFonts w:eastAsia="Calibri"/>
                <w:lang w:val="en-GB"/>
              </w:rPr>
            </w:pPr>
            <w:r w:rsidRPr="00304846">
              <w:rPr>
                <w:lang w:val="en-GB"/>
              </w:rPr>
              <w:t>Link Length (km)</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rPr>
            </w:pPr>
            <w:r w:rsidRPr="00304846">
              <w:rPr>
                <w:rFonts w:eastAsia="Calibri"/>
                <w:lang w:val="en-GB"/>
              </w:rPr>
              <w:t>10...80</w:t>
            </w:r>
          </w:p>
          <w:p w:rsidR="00AF59A0" w:rsidRPr="00304846" w:rsidRDefault="00AF59A0" w:rsidP="00FA7BDD">
            <w:pPr>
              <w:pStyle w:val="Tabletext"/>
              <w:jc w:val="center"/>
              <w:rPr>
                <w:rFonts w:eastAsia="Calibri"/>
                <w:lang w:val="en-GB"/>
              </w:rPr>
            </w:pPr>
            <w:r w:rsidRPr="00304846">
              <w:rPr>
                <w:rFonts w:eastAsia="Calibri"/>
                <w:lang w:val="en-GB" w:eastAsia="ja-JP"/>
              </w:rPr>
              <w:t>(Mode 40)</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rPr>
            </w:pPr>
            <w:r w:rsidRPr="00304846">
              <w:rPr>
                <w:rFonts w:eastAsia="Calibri"/>
                <w:lang w:val="en-GB"/>
              </w:rPr>
              <w:t>10...80</w:t>
            </w:r>
          </w:p>
          <w:p w:rsidR="00AF59A0" w:rsidRPr="00304846" w:rsidRDefault="00AF59A0" w:rsidP="00FA7BDD">
            <w:pPr>
              <w:pStyle w:val="Tabletext"/>
              <w:jc w:val="center"/>
              <w:rPr>
                <w:rFonts w:eastAsia="Calibri"/>
                <w:lang w:val="en-GB"/>
              </w:rPr>
            </w:pPr>
            <w:r w:rsidRPr="00304846">
              <w:rPr>
                <w:rFonts w:eastAsia="Calibri"/>
                <w:lang w:val="en-GB" w:eastAsia="ja-JP"/>
              </w:rPr>
              <w:t>(Mode 40)</w:t>
            </w:r>
          </w:p>
        </w:tc>
      </w:tr>
    </w:tbl>
    <w:p w:rsidR="00575B8A" w:rsidRPr="00304846" w:rsidRDefault="00575B8A" w:rsidP="00575B8A">
      <w:pPr>
        <w:pStyle w:val="Tablefin"/>
      </w:pPr>
    </w:p>
    <w:p w:rsidR="00AF59A0" w:rsidRPr="00304846" w:rsidRDefault="00AF59A0" w:rsidP="00AF59A0">
      <w:pPr>
        <w:pStyle w:val="FigureNo"/>
        <w:rPr>
          <w:lang w:val="en-GB"/>
        </w:rPr>
      </w:pPr>
      <w:r w:rsidRPr="00304846">
        <w:rPr>
          <w:lang w:val="en-GB"/>
        </w:rPr>
        <w:t>FIGURE 4</w:t>
      </w:r>
    </w:p>
    <w:p w:rsidR="00EB28CB" w:rsidRPr="00304846" w:rsidRDefault="00EB28CB" w:rsidP="00EB28CB">
      <w:pPr>
        <w:pStyle w:val="Figuretitle"/>
        <w:rPr>
          <w:lang w:val="en-GB" w:eastAsia="fr-FR"/>
        </w:rPr>
      </w:pPr>
      <w:r w:rsidRPr="00304846">
        <w:rPr>
          <w:lang w:val="en-GB" w:eastAsia="fr-FR"/>
        </w:rPr>
        <w:t>Antenna radiation pattern point-to-point FS system</w:t>
      </w:r>
    </w:p>
    <w:p w:rsidR="00EB28CB" w:rsidRPr="00304846" w:rsidRDefault="00AF59A0" w:rsidP="00EB28CB">
      <w:pPr>
        <w:pStyle w:val="Figure"/>
        <w:rPr>
          <w:lang w:val="en-GB" w:eastAsia="fr-FR"/>
        </w:rPr>
      </w:pPr>
      <w:r w:rsidRPr="00304846">
        <w:rPr>
          <w:noProof/>
          <w:lang w:val="en-US" w:eastAsia="zh-CN"/>
        </w:rPr>
        <w:drawing>
          <wp:inline distT="0" distB="0" distL="0" distR="0" wp14:anchorId="416D572A" wp14:editId="1AB5C2B9">
            <wp:extent cx="5486400" cy="2047875"/>
            <wp:effectExtent l="0" t="0" r="0" b="9525"/>
            <wp:docPr id="22098"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F59A0" w:rsidRPr="00304846" w:rsidRDefault="00AF59A0" w:rsidP="00AF59A0">
      <w:pPr>
        <w:keepNext/>
        <w:spacing w:after="120"/>
        <w:jc w:val="center"/>
        <w:rPr>
          <w:b/>
          <w:sz w:val="20"/>
          <w:lang w:val="en-GB" w:eastAsia="ja-JP"/>
        </w:rPr>
        <w:sectPr w:rsidR="00AF59A0" w:rsidRPr="00304846" w:rsidSect="0089083E">
          <w:headerReference w:type="even" r:id="rId18"/>
          <w:headerReference w:type="default" r:id="rId19"/>
          <w:footerReference w:type="even" r:id="rId20"/>
          <w:footerReference w:type="default" r:id="rId21"/>
          <w:headerReference w:type="first" r:id="rId22"/>
          <w:footerReference w:type="first" r:id="rId23"/>
          <w:pgSz w:w="11906" w:h="16838" w:code="9"/>
          <w:pgMar w:top="1418" w:right="1134" w:bottom="1418" w:left="1134" w:header="720" w:footer="720" w:gutter="0"/>
          <w:pgNumType w:start="1"/>
          <w:cols w:space="708"/>
          <w:titlePg/>
          <w:docGrid w:linePitch="360"/>
        </w:sectPr>
      </w:pPr>
    </w:p>
    <w:p w:rsidR="00AF59A0" w:rsidRPr="00304846" w:rsidRDefault="00AF59A0" w:rsidP="00AF59A0">
      <w:pPr>
        <w:pStyle w:val="TableNo"/>
        <w:spacing w:before="120"/>
        <w:rPr>
          <w:lang w:val="en-GB" w:eastAsia="ja-JP"/>
        </w:rPr>
      </w:pPr>
      <w:r w:rsidRPr="00304846">
        <w:rPr>
          <w:lang w:val="en-GB"/>
        </w:rPr>
        <w:lastRenderedPageBreak/>
        <w:t xml:space="preserve">TABLE </w:t>
      </w:r>
      <w:r w:rsidRPr="00304846">
        <w:rPr>
          <w:lang w:val="en-GB" w:eastAsia="ja-JP"/>
        </w:rPr>
        <w:t>4</w:t>
      </w:r>
    </w:p>
    <w:p w:rsidR="00AF59A0" w:rsidRPr="00304846" w:rsidRDefault="00AF59A0" w:rsidP="00135300">
      <w:pPr>
        <w:pStyle w:val="Tabletitle"/>
        <w:rPr>
          <w:lang w:val="en-GB" w:eastAsia="ja-JP"/>
        </w:rPr>
      </w:pPr>
      <w:r w:rsidRPr="00304846">
        <w:rPr>
          <w:lang w:val="en-GB" w:eastAsia="ar-SA"/>
        </w:rPr>
        <w:t xml:space="preserve">Receiver selectivity masks PP FS </w:t>
      </w:r>
      <w:r w:rsidR="00135300" w:rsidRPr="00304846">
        <w:rPr>
          <w:lang w:val="en-GB" w:eastAsia="ar-SA"/>
        </w:rPr>
        <w:t>s</w:t>
      </w:r>
      <w:r w:rsidRPr="00304846">
        <w:rPr>
          <w:lang w:val="en-GB" w:eastAsia="ar-SA"/>
        </w:rPr>
        <w:t>ystems</w:t>
      </w:r>
      <w:r w:rsidRPr="00304846">
        <w:rPr>
          <w:rStyle w:val="FootnoteReference"/>
          <w:b w:val="0"/>
          <w:bCs/>
          <w:lang w:val="en-GB"/>
        </w:rPr>
        <w:footnoteReference w:id="2"/>
      </w:r>
    </w:p>
    <w:tbl>
      <w:tblPr>
        <w:tblW w:w="1445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51" w:type="dxa"/>
          <w:right w:w="51" w:type="dxa"/>
        </w:tblCellMar>
        <w:tblLook w:val="04A0" w:firstRow="1" w:lastRow="0" w:firstColumn="1" w:lastColumn="0" w:noHBand="0" w:noVBand="1"/>
      </w:tblPr>
      <w:tblGrid>
        <w:gridCol w:w="1044"/>
        <w:gridCol w:w="928"/>
        <w:gridCol w:w="1307"/>
        <w:gridCol w:w="836"/>
        <w:gridCol w:w="915"/>
        <w:gridCol w:w="915"/>
        <w:gridCol w:w="720"/>
        <w:gridCol w:w="915"/>
        <w:gridCol w:w="915"/>
        <w:gridCol w:w="915"/>
        <w:gridCol w:w="874"/>
        <w:gridCol w:w="874"/>
        <w:gridCol w:w="874"/>
        <w:gridCol w:w="679"/>
        <w:gridCol w:w="874"/>
        <w:gridCol w:w="874"/>
      </w:tblGrid>
      <w:tr w:rsidR="00AF59A0" w:rsidRPr="00FF34AD" w:rsidTr="00973213">
        <w:trPr>
          <w:trHeight w:val="335"/>
          <w:tblHeader/>
          <w:jc w:val="center"/>
        </w:trPr>
        <w:tc>
          <w:tcPr>
            <w:tcW w:w="1044" w:type="dxa"/>
            <w:vAlign w:val="center"/>
            <w:hideMark/>
          </w:tcPr>
          <w:p w:rsidR="00AF59A0" w:rsidRPr="00304846" w:rsidRDefault="00AF59A0" w:rsidP="00D44DAA">
            <w:pPr>
              <w:pStyle w:val="Tablehead"/>
              <w:rPr>
                <w:sz w:val="18"/>
                <w:szCs w:val="18"/>
                <w:lang w:val="en-GB" w:eastAsia="ar-SA"/>
              </w:rPr>
            </w:pPr>
            <w:r w:rsidRPr="00304846">
              <w:rPr>
                <w:sz w:val="18"/>
                <w:szCs w:val="18"/>
                <w:lang w:val="en-GB" w:eastAsia="ar-SA"/>
              </w:rPr>
              <w:t>Band</w:t>
            </w:r>
          </w:p>
        </w:tc>
        <w:tc>
          <w:tcPr>
            <w:tcW w:w="928" w:type="dxa"/>
            <w:vAlign w:val="center"/>
          </w:tcPr>
          <w:p w:rsidR="00AF59A0" w:rsidRPr="00304846" w:rsidRDefault="00AF59A0" w:rsidP="00D44DAA">
            <w:pPr>
              <w:pStyle w:val="Tablehead"/>
              <w:rPr>
                <w:sz w:val="18"/>
                <w:szCs w:val="18"/>
                <w:lang w:val="en-GB" w:eastAsia="ar-SA"/>
              </w:rPr>
            </w:pPr>
            <w:r w:rsidRPr="00304846">
              <w:rPr>
                <w:sz w:val="18"/>
                <w:szCs w:val="18"/>
                <w:lang w:val="en-GB" w:eastAsia="ar-SA"/>
              </w:rPr>
              <w:t>Net</w:t>
            </w:r>
            <w:r w:rsidR="00D44DAA" w:rsidRPr="00304846">
              <w:rPr>
                <w:sz w:val="18"/>
                <w:szCs w:val="18"/>
                <w:lang w:val="en-GB" w:eastAsia="ar-SA"/>
              </w:rPr>
              <w:t xml:space="preserve"> </w:t>
            </w:r>
            <w:r w:rsidRPr="00304846">
              <w:rPr>
                <w:sz w:val="18"/>
                <w:szCs w:val="18"/>
                <w:lang w:val="en-GB" w:eastAsia="ar-SA"/>
              </w:rPr>
              <w:t>to-Bit</w:t>
            </w:r>
            <w:r w:rsidR="00D44DAA" w:rsidRPr="00304846">
              <w:rPr>
                <w:sz w:val="18"/>
                <w:szCs w:val="18"/>
                <w:lang w:val="en-GB" w:eastAsia="ar-SA"/>
              </w:rPr>
              <w:t xml:space="preserve"> </w:t>
            </w:r>
            <w:r w:rsidRPr="00304846">
              <w:rPr>
                <w:sz w:val="18"/>
                <w:szCs w:val="18"/>
                <w:lang w:val="en-GB" w:eastAsia="ar-SA"/>
              </w:rPr>
              <w:t>rate</w:t>
            </w:r>
          </w:p>
        </w:tc>
        <w:tc>
          <w:tcPr>
            <w:tcW w:w="1307" w:type="dxa"/>
            <w:vAlign w:val="center"/>
            <w:hideMark/>
          </w:tcPr>
          <w:p w:rsidR="00AF59A0" w:rsidRPr="00304846" w:rsidRDefault="00AF59A0" w:rsidP="00D44DAA">
            <w:pPr>
              <w:pStyle w:val="Tablehead"/>
              <w:rPr>
                <w:sz w:val="18"/>
                <w:szCs w:val="18"/>
                <w:lang w:val="en-GB" w:eastAsia="ar-SA"/>
              </w:rPr>
            </w:pPr>
            <w:r w:rsidRPr="00304846">
              <w:rPr>
                <w:sz w:val="18"/>
                <w:szCs w:val="18"/>
                <w:lang w:val="en-GB" w:eastAsia="ar-SA"/>
              </w:rPr>
              <w:t>Channel</w:t>
            </w:r>
            <w:r w:rsidR="00D44DAA" w:rsidRPr="00304846">
              <w:rPr>
                <w:sz w:val="18"/>
                <w:szCs w:val="18"/>
                <w:lang w:val="en-GB" w:eastAsia="ar-SA"/>
              </w:rPr>
              <w:br/>
              <w:t>s</w:t>
            </w:r>
            <w:r w:rsidRPr="00304846">
              <w:rPr>
                <w:sz w:val="18"/>
                <w:szCs w:val="18"/>
                <w:lang w:val="en-GB" w:eastAsia="ar-SA"/>
              </w:rPr>
              <w:t>eparation</w:t>
            </w:r>
          </w:p>
        </w:tc>
        <w:tc>
          <w:tcPr>
            <w:tcW w:w="11180" w:type="dxa"/>
            <w:gridSpan w:val="13"/>
            <w:vMerge w:val="restart"/>
            <w:vAlign w:val="center"/>
          </w:tcPr>
          <w:p w:rsidR="00AF59A0" w:rsidRPr="00304846" w:rsidRDefault="00AF59A0" w:rsidP="00135300">
            <w:pPr>
              <w:pStyle w:val="Tablehead"/>
              <w:rPr>
                <w:i/>
                <w:sz w:val="18"/>
                <w:szCs w:val="18"/>
                <w:lang w:val="en-GB" w:eastAsia="ar-SA"/>
              </w:rPr>
            </w:pPr>
            <w:r w:rsidRPr="00304846">
              <w:rPr>
                <w:sz w:val="18"/>
                <w:szCs w:val="18"/>
                <w:lang w:val="en-GB" w:eastAsia="ar-SA"/>
              </w:rPr>
              <w:t xml:space="preserve">Receiver selectivity masks PP FS </w:t>
            </w:r>
            <w:r w:rsidR="00135300" w:rsidRPr="00304846">
              <w:rPr>
                <w:sz w:val="18"/>
                <w:szCs w:val="18"/>
                <w:lang w:val="en-GB" w:eastAsia="ar-SA"/>
              </w:rPr>
              <w:t>s</w:t>
            </w:r>
            <w:r w:rsidRPr="00304846">
              <w:rPr>
                <w:sz w:val="18"/>
                <w:szCs w:val="18"/>
                <w:lang w:val="en-GB" w:eastAsia="ar-SA"/>
              </w:rPr>
              <w:t>ystem</w:t>
            </w:r>
          </w:p>
        </w:tc>
      </w:tr>
      <w:tr w:rsidR="00AF59A0" w:rsidRPr="00304846" w:rsidTr="00973213">
        <w:trPr>
          <w:tblHeader/>
          <w:jc w:val="center"/>
        </w:trPr>
        <w:tc>
          <w:tcPr>
            <w:tcW w:w="1044" w:type="dxa"/>
            <w:vAlign w:val="center"/>
            <w:hideMark/>
          </w:tcPr>
          <w:p w:rsidR="00AF59A0" w:rsidRPr="00304846" w:rsidRDefault="00AF59A0" w:rsidP="00D44DAA">
            <w:pPr>
              <w:pStyle w:val="Tablehead"/>
              <w:rPr>
                <w:sz w:val="18"/>
                <w:szCs w:val="18"/>
                <w:lang w:val="en-GB" w:eastAsia="ar-SA"/>
              </w:rPr>
            </w:pPr>
            <w:r w:rsidRPr="00304846">
              <w:rPr>
                <w:sz w:val="18"/>
                <w:szCs w:val="18"/>
                <w:lang w:val="en-GB" w:eastAsia="ar-SA"/>
              </w:rPr>
              <w:t>MHz</w:t>
            </w:r>
          </w:p>
        </w:tc>
        <w:tc>
          <w:tcPr>
            <w:tcW w:w="928" w:type="dxa"/>
            <w:vAlign w:val="center"/>
          </w:tcPr>
          <w:p w:rsidR="00AF59A0" w:rsidRPr="00304846" w:rsidRDefault="00AF59A0" w:rsidP="00D44DAA">
            <w:pPr>
              <w:pStyle w:val="Tablehead"/>
              <w:rPr>
                <w:sz w:val="18"/>
                <w:szCs w:val="18"/>
                <w:lang w:val="en-GB" w:eastAsia="ar-SA"/>
              </w:rPr>
            </w:pPr>
            <w:r w:rsidRPr="00304846">
              <w:rPr>
                <w:sz w:val="18"/>
                <w:szCs w:val="18"/>
                <w:lang w:val="en-GB" w:eastAsia="ar-SA"/>
              </w:rPr>
              <w:t>Mbit/s</w:t>
            </w:r>
          </w:p>
        </w:tc>
        <w:tc>
          <w:tcPr>
            <w:tcW w:w="1307" w:type="dxa"/>
            <w:tcBorders>
              <w:bottom w:val="single" w:sz="12" w:space="0" w:color="000000"/>
            </w:tcBorders>
            <w:vAlign w:val="center"/>
            <w:hideMark/>
          </w:tcPr>
          <w:p w:rsidR="00AF59A0" w:rsidRPr="00304846" w:rsidRDefault="00AF59A0" w:rsidP="00D44DAA">
            <w:pPr>
              <w:pStyle w:val="Tablehead"/>
              <w:rPr>
                <w:sz w:val="18"/>
                <w:szCs w:val="18"/>
                <w:lang w:val="en-GB" w:eastAsia="ar-SA"/>
              </w:rPr>
            </w:pPr>
            <w:r w:rsidRPr="00304846">
              <w:rPr>
                <w:sz w:val="18"/>
                <w:szCs w:val="18"/>
                <w:lang w:val="en-GB" w:eastAsia="ar-SA"/>
              </w:rPr>
              <w:t>MHz</w:t>
            </w:r>
          </w:p>
        </w:tc>
        <w:tc>
          <w:tcPr>
            <w:tcW w:w="11180" w:type="dxa"/>
            <w:gridSpan w:val="13"/>
            <w:vMerge/>
            <w:vAlign w:val="center"/>
          </w:tcPr>
          <w:p w:rsidR="00AF59A0" w:rsidRPr="00304846" w:rsidRDefault="00AF59A0" w:rsidP="00D44DAA">
            <w:pPr>
              <w:pStyle w:val="Tablehead"/>
              <w:rPr>
                <w:sz w:val="18"/>
                <w:szCs w:val="18"/>
                <w:lang w:val="en-GB" w:eastAsia="ar-SA"/>
              </w:rPr>
            </w:pPr>
          </w:p>
        </w:tc>
      </w:tr>
      <w:tr w:rsidR="00D44DAA" w:rsidRPr="00304846" w:rsidTr="00973213">
        <w:trPr>
          <w:trHeight w:val="289"/>
          <w:jc w:val="center"/>
        </w:trPr>
        <w:tc>
          <w:tcPr>
            <w:tcW w:w="1044" w:type="dxa"/>
            <w:vMerge w:val="restart"/>
            <w:shd w:val="clear" w:color="auto" w:fill="auto"/>
            <w:vAlign w:val="center"/>
            <w:hideMark/>
          </w:tcPr>
          <w:p w:rsidR="00D44DAA" w:rsidRPr="00304846" w:rsidRDefault="00D44DAA" w:rsidP="00D44DAA">
            <w:pPr>
              <w:pStyle w:val="Tabletext"/>
              <w:jc w:val="center"/>
              <w:rPr>
                <w:sz w:val="18"/>
                <w:szCs w:val="18"/>
                <w:lang w:val="en-GB" w:eastAsia="ar-SA"/>
              </w:rPr>
            </w:pPr>
            <w:r w:rsidRPr="00304846">
              <w:rPr>
                <w:sz w:val="18"/>
                <w:szCs w:val="18"/>
                <w:lang w:val="en-GB" w:eastAsia="ar-SA"/>
              </w:rPr>
              <w:t>5 925-6 425</w:t>
            </w:r>
          </w:p>
        </w:tc>
        <w:tc>
          <w:tcPr>
            <w:tcW w:w="928" w:type="dxa"/>
            <w:vMerge w:val="restart"/>
            <w:tcBorders>
              <w:right w:val="single" w:sz="12" w:space="0" w:color="000000"/>
            </w:tcBorders>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155</w:t>
            </w:r>
          </w:p>
        </w:tc>
        <w:tc>
          <w:tcPr>
            <w:tcW w:w="1307" w:type="dxa"/>
            <w:vMerge w:val="restart"/>
            <w:tcBorders>
              <w:top w:val="single" w:sz="12" w:space="0" w:color="000000"/>
              <w:left w:val="single" w:sz="12" w:space="0" w:color="000000"/>
              <w:right w:val="single" w:sz="12" w:space="0" w:color="000000"/>
            </w:tcBorders>
            <w:shd w:val="clear" w:color="auto" w:fill="auto"/>
            <w:vAlign w:val="center"/>
            <w:hideMark/>
          </w:tcPr>
          <w:p w:rsidR="00D44DAA" w:rsidRPr="00304846" w:rsidRDefault="00D44DAA" w:rsidP="00D44DAA">
            <w:pPr>
              <w:pStyle w:val="Tabletext"/>
              <w:jc w:val="center"/>
              <w:rPr>
                <w:color w:val="000000"/>
                <w:sz w:val="18"/>
                <w:szCs w:val="18"/>
                <w:lang w:val="en-GB" w:eastAsia="ar-SA"/>
              </w:rPr>
            </w:pPr>
            <w:r w:rsidRPr="00304846">
              <w:rPr>
                <w:sz w:val="18"/>
                <w:szCs w:val="18"/>
                <w:lang w:val="en-GB" w:eastAsia="ar-SA"/>
              </w:rPr>
              <w:t xml:space="preserve">28.0 ... </w:t>
            </w:r>
            <w:r w:rsidRPr="00304846">
              <w:rPr>
                <w:color w:val="000000"/>
                <w:sz w:val="18"/>
                <w:szCs w:val="18"/>
                <w:lang w:val="en-GB" w:eastAsia="ar-SA"/>
              </w:rPr>
              <w:t>30.0</w:t>
            </w:r>
          </w:p>
        </w:tc>
        <w:tc>
          <w:tcPr>
            <w:tcW w:w="836" w:type="dxa"/>
            <w:tcBorders>
              <w:left w:val="single" w:sz="12" w:space="0" w:color="000000"/>
            </w:tcBorders>
            <w:shd w:val="clear" w:color="auto" w:fill="auto"/>
            <w:vAlign w:val="center"/>
          </w:tcPr>
          <w:p w:rsidR="00D44DAA" w:rsidRPr="00304846" w:rsidRDefault="00D44DAA" w:rsidP="00D44DAA">
            <w:pPr>
              <w:pStyle w:val="Tabletext"/>
              <w:jc w:val="center"/>
              <w:rPr>
                <w:sz w:val="18"/>
                <w:szCs w:val="18"/>
                <w:lang w:val="en-GB" w:eastAsia="ar-SA"/>
              </w:rPr>
            </w:pPr>
            <w:r w:rsidRPr="00304846">
              <w:rPr>
                <w:rFonts w:ascii="Symbol" w:hAnsi="Symbol"/>
                <w:iCs/>
                <w:color w:val="000000"/>
                <w:sz w:val="18"/>
                <w:szCs w:val="18"/>
                <w:lang w:val="en-GB" w:eastAsia="ar-SA"/>
              </w:rPr>
              <w:t></w:t>
            </w:r>
            <w:r w:rsidRPr="00304846">
              <w:rPr>
                <w:i/>
                <w:color w:val="000000"/>
                <w:sz w:val="18"/>
                <w:szCs w:val="18"/>
                <w:lang w:val="en-GB" w:eastAsia="ar-SA"/>
              </w:rPr>
              <w:t>f</w:t>
            </w:r>
            <w:r w:rsidRPr="00304846">
              <w:rPr>
                <w:color w:val="000000"/>
                <w:sz w:val="18"/>
                <w:szCs w:val="18"/>
                <w:vertAlign w:val="subscript"/>
                <w:lang w:val="en-GB" w:eastAsia="ar-SA"/>
              </w:rPr>
              <w:t>i</w:t>
            </w:r>
            <w:r w:rsidRPr="00304846">
              <w:rPr>
                <w:color w:val="000000"/>
                <w:sz w:val="18"/>
                <w:szCs w:val="18"/>
                <w:lang w:val="en-GB" w:eastAsia="ar-SA"/>
              </w:rPr>
              <w:t xml:space="preserve"> (MHz)</w:t>
            </w:r>
          </w:p>
        </w:tc>
        <w:tc>
          <w:tcPr>
            <w:tcW w:w="915" w:type="dxa"/>
            <w:shd w:val="clear" w:color="auto" w:fill="auto"/>
            <w:vAlign w:val="center"/>
          </w:tcPr>
          <w:p w:rsidR="00D44DAA" w:rsidRPr="00304846" w:rsidRDefault="00973213" w:rsidP="00D44DAA">
            <w:pPr>
              <w:pStyle w:val="Tabletext"/>
              <w:jc w:val="center"/>
              <w:rPr>
                <w:sz w:val="18"/>
                <w:szCs w:val="18"/>
                <w:lang w:val="en-GB" w:eastAsia="ar-SA"/>
              </w:rPr>
            </w:pPr>
            <w:r w:rsidRPr="00304846">
              <w:rPr>
                <w:sz w:val="18"/>
                <w:szCs w:val="18"/>
                <w:lang w:val="en-GB" w:eastAsia="ar-SA"/>
              </w:rPr>
              <w:t>−</w:t>
            </w:r>
            <w:r w:rsidR="00D44DAA" w:rsidRPr="00304846">
              <w:rPr>
                <w:sz w:val="18"/>
                <w:szCs w:val="18"/>
                <w:lang w:val="en-GB" w:eastAsia="ar-SA"/>
              </w:rPr>
              <w:t>26.45833</w:t>
            </w:r>
          </w:p>
        </w:tc>
        <w:tc>
          <w:tcPr>
            <w:tcW w:w="915" w:type="dxa"/>
            <w:shd w:val="clear" w:color="auto" w:fill="auto"/>
            <w:vAlign w:val="center"/>
          </w:tcPr>
          <w:p w:rsidR="00D44DAA" w:rsidRPr="00304846" w:rsidRDefault="00973213" w:rsidP="00D44DAA">
            <w:pPr>
              <w:pStyle w:val="Tabletext"/>
              <w:jc w:val="center"/>
              <w:rPr>
                <w:sz w:val="18"/>
                <w:szCs w:val="18"/>
                <w:lang w:val="en-GB" w:eastAsia="ar-SA"/>
              </w:rPr>
            </w:pPr>
            <w:r w:rsidRPr="00304846">
              <w:rPr>
                <w:sz w:val="18"/>
                <w:szCs w:val="18"/>
                <w:lang w:val="en-GB" w:eastAsia="ar-SA"/>
              </w:rPr>
              <w:t>−</w:t>
            </w:r>
            <w:r w:rsidR="00D44DAA" w:rsidRPr="00304846">
              <w:rPr>
                <w:sz w:val="18"/>
                <w:szCs w:val="18"/>
                <w:lang w:val="en-GB" w:eastAsia="ar-SA"/>
              </w:rPr>
              <w:t>14.76264</w:t>
            </w:r>
          </w:p>
        </w:tc>
        <w:tc>
          <w:tcPr>
            <w:tcW w:w="720" w:type="dxa"/>
            <w:shd w:val="clear" w:color="auto" w:fill="auto"/>
            <w:vAlign w:val="center"/>
          </w:tcPr>
          <w:p w:rsidR="00D44DAA" w:rsidRPr="00304846" w:rsidRDefault="00973213" w:rsidP="00D44DAA">
            <w:pPr>
              <w:pStyle w:val="Tabletext"/>
              <w:jc w:val="center"/>
              <w:rPr>
                <w:sz w:val="18"/>
                <w:szCs w:val="18"/>
                <w:lang w:val="en-GB" w:eastAsia="ar-SA"/>
              </w:rPr>
            </w:pPr>
            <w:r w:rsidRPr="00304846">
              <w:rPr>
                <w:sz w:val="18"/>
                <w:szCs w:val="18"/>
                <w:lang w:val="en-GB" w:eastAsia="ar-SA"/>
              </w:rPr>
              <w:t>−</w:t>
            </w:r>
            <w:r w:rsidR="00D44DAA" w:rsidRPr="00304846">
              <w:rPr>
                <w:sz w:val="18"/>
                <w:szCs w:val="18"/>
                <w:lang w:val="en-GB" w:eastAsia="ar-SA"/>
              </w:rPr>
              <w:t>14.632</w:t>
            </w:r>
          </w:p>
        </w:tc>
        <w:tc>
          <w:tcPr>
            <w:tcW w:w="915" w:type="dxa"/>
            <w:shd w:val="clear" w:color="auto" w:fill="auto"/>
            <w:vAlign w:val="center"/>
          </w:tcPr>
          <w:p w:rsidR="00D44DAA" w:rsidRPr="00304846" w:rsidRDefault="00973213" w:rsidP="00D44DAA">
            <w:pPr>
              <w:pStyle w:val="Tabletext"/>
              <w:jc w:val="center"/>
              <w:rPr>
                <w:sz w:val="18"/>
                <w:szCs w:val="18"/>
                <w:lang w:val="en-GB" w:eastAsia="ar-SA"/>
              </w:rPr>
            </w:pPr>
            <w:r w:rsidRPr="00304846">
              <w:rPr>
                <w:sz w:val="18"/>
                <w:szCs w:val="18"/>
                <w:lang w:val="en-GB" w:eastAsia="ar-SA"/>
              </w:rPr>
              <w:t>−</w:t>
            </w:r>
            <w:r w:rsidR="00D44DAA" w:rsidRPr="00304846">
              <w:rPr>
                <w:sz w:val="18"/>
                <w:szCs w:val="18"/>
                <w:lang w:val="en-GB" w:eastAsia="ar-SA"/>
              </w:rPr>
              <w:t>14.10943</w:t>
            </w:r>
          </w:p>
        </w:tc>
        <w:tc>
          <w:tcPr>
            <w:tcW w:w="915" w:type="dxa"/>
            <w:shd w:val="clear" w:color="auto" w:fill="auto"/>
            <w:vAlign w:val="center"/>
          </w:tcPr>
          <w:p w:rsidR="00D44DAA" w:rsidRPr="00304846" w:rsidRDefault="00973213" w:rsidP="00D44DAA">
            <w:pPr>
              <w:pStyle w:val="Tabletext"/>
              <w:jc w:val="center"/>
              <w:rPr>
                <w:sz w:val="18"/>
                <w:szCs w:val="18"/>
                <w:lang w:val="en-GB" w:eastAsia="ar-SA"/>
              </w:rPr>
            </w:pPr>
            <w:r w:rsidRPr="00304846">
              <w:rPr>
                <w:sz w:val="18"/>
                <w:szCs w:val="18"/>
                <w:lang w:val="en-GB" w:eastAsia="ar-SA"/>
              </w:rPr>
              <w:t>−</w:t>
            </w:r>
            <w:r w:rsidR="00D44DAA" w:rsidRPr="00304846">
              <w:rPr>
                <w:sz w:val="18"/>
                <w:szCs w:val="18"/>
                <w:lang w:val="en-GB" w:eastAsia="ar-SA"/>
              </w:rPr>
              <w:t>13.06429</w:t>
            </w:r>
          </w:p>
        </w:tc>
        <w:tc>
          <w:tcPr>
            <w:tcW w:w="915" w:type="dxa"/>
            <w:shd w:val="clear" w:color="auto" w:fill="auto"/>
            <w:vAlign w:val="center"/>
          </w:tcPr>
          <w:p w:rsidR="00D44DAA" w:rsidRPr="00304846" w:rsidRDefault="00973213" w:rsidP="00D44DAA">
            <w:pPr>
              <w:pStyle w:val="Tabletext"/>
              <w:jc w:val="center"/>
              <w:rPr>
                <w:sz w:val="18"/>
                <w:szCs w:val="18"/>
                <w:lang w:val="en-GB" w:eastAsia="ar-SA"/>
              </w:rPr>
            </w:pPr>
            <w:r w:rsidRPr="00304846">
              <w:rPr>
                <w:sz w:val="18"/>
                <w:szCs w:val="18"/>
                <w:lang w:val="en-GB" w:eastAsia="ar-SA"/>
              </w:rPr>
              <w:t>−</w:t>
            </w:r>
            <w:r w:rsidR="00D44DAA" w:rsidRPr="00304846">
              <w:rPr>
                <w:sz w:val="18"/>
                <w:szCs w:val="18"/>
                <w:lang w:val="en-GB" w:eastAsia="ar-SA"/>
              </w:rPr>
              <w:t>11.36593</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11.36593</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13.06429</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14.10943</w:t>
            </w:r>
          </w:p>
        </w:tc>
        <w:tc>
          <w:tcPr>
            <w:tcW w:w="679"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14.632</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14.76264</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26.45833</w:t>
            </w:r>
          </w:p>
        </w:tc>
      </w:tr>
      <w:tr w:rsidR="00D44DAA" w:rsidRPr="00304846" w:rsidTr="00973213">
        <w:trPr>
          <w:trHeight w:val="289"/>
          <w:jc w:val="center"/>
        </w:trPr>
        <w:tc>
          <w:tcPr>
            <w:tcW w:w="1044" w:type="dxa"/>
            <w:vMerge/>
            <w:shd w:val="clear" w:color="auto" w:fill="auto"/>
            <w:vAlign w:val="center"/>
          </w:tcPr>
          <w:p w:rsidR="00D44DAA" w:rsidRPr="00304846" w:rsidRDefault="00D44DAA" w:rsidP="00D44DAA">
            <w:pPr>
              <w:pStyle w:val="Tabletext"/>
              <w:jc w:val="center"/>
              <w:rPr>
                <w:sz w:val="18"/>
                <w:szCs w:val="18"/>
                <w:lang w:val="en-GB" w:eastAsia="ar-SA"/>
              </w:rPr>
            </w:pPr>
          </w:p>
        </w:tc>
        <w:tc>
          <w:tcPr>
            <w:tcW w:w="928" w:type="dxa"/>
            <w:vMerge/>
            <w:tcBorders>
              <w:right w:val="single" w:sz="12" w:space="0" w:color="000000"/>
            </w:tcBorders>
            <w:shd w:val="clear" w:color="auto" w:fill="auto"/>
            <w:vAlign w:val="center"/>
          </w:tcPr>
          <w:p w:rsidR="00D44DAA" w:rsidRPr="00304846" w:rsidRDefault="00D44DAA" w:rsidP="00D44DAA">
            <w:pPr>
              <w:pStyle w:val="Tabletext"/>
              <w:jc w:val="center"/>
              <w:rPr>
                <w:sz w:val="18"/>
                <w:szCs w:val="18"/>
                <w:lang w:val="en-GB" w:eastAsia="ar-SA"/>
              </w:rPr>
            </w:pPr>
          </w:p>
        </w:tc>
        <w:tc>
          <w:tcPr>
            <w:tcW w:w="1307" w:type="dxa"/>
            <w:vMerge/>
            <w:tcBorders>
              <w:left w:val="single" w:sz="12" w:space="0" w:color="000000"/>
              <w:bottom w:val="single" w:sz="12" w:space="0" w:color="000000"/>
              <w:right w:val="single" w:sz="12" w:space="0" w:color="000000"/>
            </w:tcBorders>
            <w:shd w:val="clear" w:color="auto" w:fill="auto"/>
            <w:vAlign w:val="center"/>
          </w:tcPr>
          <w:p w:rsidR="00D44DAA" w:rsidRPr="00304846" w:rsidRDefault="00D44DAA" w:rsidP="00D44DAA">
            <w:pPr>
              <w:pStyle w:val="Tabletext"/>
              <w:jc w:val="center"/>
              <w:rPr>
                <w:color w:val="000000"/>
                <w:sz w:val="18"/>
                <w:szCs w:val="18"/>
                <w:lang w:val="en-GB" w:eastAsia="ar-SA"/>
              </w:rPr>
            </w:pPr>
          </w:p>
        </w:tc>
        <w:tc>
          <w:tcPr>
            <w:tcW w:w="836" w:type="dxa"/>
            <w:tcBorders>
              <w:left w:val="single" w:sz="12" w:space="0" w:color="000000"/>
            </w:tcBorders>
            <w:shd w:val="clear" w:color="auto" w:fill="auto"/>
            <w:vAlign w:val="center"/>
          </w:tcPr>
          <w:p w:rsidR="00D44DAA" w:rsidRPr="00304846" w:rsidRDefault="00D44DAA" w:rsidP="00D44DAA">
            <w:pPr>
              <w:pStyle w:val="Tabletext"/>
              <w:jc w:val="center"/>
              <w:rPr>
                <w:sz w:val="18"/>
                <w:szCs w:val="18"/>
                <w:lang w:val="en-GB" w:eastAsia="ar-SA"/>
              </w:rPr>
            </w:pPr>
            <w:r w:rsidRPr="00304846">
              <w:rPr>
                <w:color w:val="000000"/>
                <w:sz w:val="18"/>
                <w:szCs w:val="18"/>
                <w:lang w:val="en-GB" w:eastAsia="ar-SA"/>
              </w:rPr>
              <w:t>a</w:t>
            </w:r>
            <w:r w:rsidRPr="00304846">
              <w:rPr>
                <w:color w:val="000000"/>
                <w:sz w:val="18"/>
                <w:szCs w:val="18"/>
                <w:vertAlign w:val="subscript"/>
                <w:lang w:val="en-GB" w:eastAsia="ar-SA"/>
              </w:rPr>
              <w:t>i</w:t>
            </w:r>
            <w:r w:rsidRPr="00304846">
              <w:rPr>
                <w:color w:val="000000"/>
                <w:sz w:val="18"/>
                <w:szCs w:val="18"/>
                <w:lang w:val="en-GB" w:eastAsia="ar-SA"/>
              </w:rPr>
              <w:t xml:space="preserve"> (dB)</w:t>
            </w:r>
          </w:p>
        </w:tc>
        <w:tc>
          <w:tcPr>
            <w:tcW w:w="915"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67</w:t>
            </w:r>
          </w:p>
        </w:tc>
        <w:tc>
          <w:tcPr>
            <w:tcW w:w="915"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47</w:t>
            </w:r>
          </w:p>
        </w:tc>
        <w:tc>
          <w:tcPr>
            <w:tcW w:w="720"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23.4</w:t>
            </w:r>
          </w:p>
        </w:tc>
        <w:tc>
          <w:tcPr>
            <w:tcW w:w="915"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10.5</w:t>
            </w:r>
          </w:p>
        </w:tc>
        <w:tc>
          <w:tcPr>
            <w:tcW w:w="915"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2</w:t>
            </w:r>
          </w:p>
        </w:tc>
        <w:tc>
          <w:tcPr>
            <w:tcW w:w="915"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0</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0</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2</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10.5</w:t>
            </w:r>
          </w:p>
        </w:tc>
        <w:tc>
          <w:tcPr>
            <w:tcW w:w="679"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23.4</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47</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67</w:t>
            </w:r>
          </w:p>
        </w:tc>
      </w:tr>
      <w:tr w:rsidR="00D44DAA" w:rsidRPr="00304846" w:rsidTr="00973213">
        <w:trPr>
          <w:trHeight w:val="289"/>
          <w:jc w:val="center"/>
        </w:trPr>
        <w:tc>
          <w:tcPr>
            <w:tcW w:w="1044" w:type="dxa"/>
            <w:vMerge/>
            <w:shd w:val="clear" w:color="auto" w:fill="auto"/>
            <w:vAlign w:val="center"/>
          </w:tcPr>
          <w:p w:rsidR="00D44DAA" w:rsidRPr="00304846" w:rsidRDefault="00D44DAA" w:rsidP="00D44DAA">
            <w:pPr>
              <w:pStyle w:val="Tabletext"/>
              <w:jc w:val="center"/>
              <w:rPr>
                <w:sz w:val="18"/>
                <w:szCs w:val="18"/>
                <w:lang w:val="en-GB" w:eastAsia="ar-SA"/>
              </w:rPr>
            </w:pPr>
          </w:p>
        </w:tc>
        <w:tc>
          <w:tcPr>
            <w:tcW w:w="928" w:type="dxa"/>
            <w:vMerge/>
            <w:tcBorders>
              <w:right w:val="single" w:sz="12" w:space="0" w:color="000000"/>
            </w:tcBorders>
            <w:shd w:val="clear" w:color="auto" w:fill="auto"/>
            <w:vAlign w:val="center"/>
          </w:tcPr>
          <w:p w:rsidR="00D44DAA" w:rsidRPr="00304846" w:rsidRDefault="00D44DAA" w:rsidP="00D44DAA">
            <w:pPr>
              <w:pStyle w:val="Tabletext"/>
              <w:jc w:val="center"/>
              <w:rPr>
                <w:sz w:val="18"/>
                <w:szCs w:val="18"/>
                <w:lang w:val="en-GB" w:eastAsia="ar-SA"/>
              </w:rPr>
            </w:pPr>
          </w:p>
        </w:tc>
        <w:tc>
          <w:tcPr>
            <w:tcW w:w="1307" w:type="dxa"/>
            <w:vMerge w:val="restart"/>
            <w:tcBorders>
              <w:top w:val="single" w:sz="12" w:space="0" w:color="000000"/>
              <w:left w:val="single" w:sz="12" w:space="0" w:color="000000"/>
              <w:right w:val="single" w:sz="12" w:space="0" w:color="000000"/>
            </w:tcBorders>
            <w:shd w:val="clear" w:color="auto" w:fill="auto"/>
            <w:vAlign w:val="center"/>
          </w:tcPr>
          <w:p w:rsidR="00D44DAA" w:rsidRPr="00304846" w:rsidRDefault="00D44DAA" w:rsidP="00D44DAA">
            <w:pPr>
              <w:pStyle w:val="Tabletext"/>
              <w:jc w:val="center"/>
              <w:rPr>
                <w:color w:val="000000"/>
                <w:sz w:val="18"/>
                <w:szCs w:val="18"/>
                <w:lang w:val="en-GB" w:eastAsia="ar-SA"/>
              </w:rPr>
            </w:pPr>
            <w:r w:rsidRPr="00304846">
              <w:rPr>
                <w:sz w:val="18"/>
                <w:szCs w:val="18"/>
                <w:lang w:val="en-GB" w:eastAsia="ar-SA"/>
              </w:rPr>
              <w:t>40.0</w:t>
            </w:r>
          </w:p>
        </w:tc>
        <w:tc>
          <w:tcPr>
            <w:tcW w:w="836" w:type="dxa"/>
            <w:tcBorders>
              <w:left w:val="single" w:sz="12" w:space="0" w:color="000000"/>
            </w:tcBorders>
            <w:shd w:val="clear" w:color="auto" w:fill="auto"/>
            <w:vAlign w:val="center"/>
          </w:tcPr>
          <w:p w:rsidR="00D44DAA" w:rsidRPr="00304846" w:rsidRDefault="00D44DAA" w:rsidP="00D44DAA">
            <w:pPr>
              <w:pStyle w:val="Tabletext"/>
              <w:jc w:val="center"/>
              <w:rPr>
                <w:sz w:val="18"/>
                <w:szCs w:val="18"/>
                <w:lang w:val="en-GB" w:eastAsia="ar-SA"/>
              </w:rPr>
            </w:pPr>
            <w:r w:rsidRPr="00304846">
              <w:rPr>
                <w:rFonts w:ascii="Symbol" w:hAnsi="Symbol"/>
                <w:iCs/>
                <w:color w:val="000000"/>
                <w:sz w:val="18"/>
                <w:szCs w:val="18"/>
                <w:lang w:val="en-GB" w:eastAsia="ar-SA"/>
              </w:rPr>
              <w:t></w:t>
            </w:r>
            <w:r w:rsidRPr="00304846">
              <w:rPr>
                <w:i/>
                <w:color w:val="000000"/>
                <w:sz w:val="18"/>
                <w:szCs w:val="18"/>
                <w:lang w:val="en-GB" w:eastAsia="ar-SA"/>
              </w:rPr>
              <w:t>f</w:t>
            </w:r>
            <w:r w:rsidRPr="00304846">
              <w:rPr>
                <w:color w:val="000000"/>
                <w:sz w:val="18"/>
                <w:szCs w:val="18"/>
                <w:vertAlign w:val="subscript"/>
                <w:lang w:val="en-GB" w:eastAsia="ar-SA"/>
              </w:rPr>
              <w:t>i</w:t>
            </w:r>
            <w:r w:rsidRPr="00304846">
              <w:rPr>
                <w:color w:val="000000"/>
                <w:sz w:val="18"/>
                <w:szCs w:val="18"/>
                <w:lang w:val="en-GB" w:eastAsia="ar-SA"/>
              </w:rPr>
              <w:t xml:space="preserve"> (MHz)</w:t>
            </w:r>
          </w:p>
        </w:tc>
        <w:tc>
          <w:tcPr>
            <w:tcW w:w="915" w:type="dxa"/>
            <w:shd w:val="clear" w:color="auto" w:fill="auto"/>
            <w:vAlign w:val="center"/>
          </w:tcPr>
          <w:p w:rsidR="00D44DAA" w:rsidRPr="00304846" w:rsidRDefault="00973213" w:rsidP="00D44DAA">
            <w:pPr>
              <w:pStyle w:val="Tabletext"/>
              <w:jc w:val="center"/>
              <w:rPr>
                <w:sz w:val="18"/>
                <w:szCs w:val="18"/>
                <w:lang w:val="en-GB" w:eastAsia="ar-SA"/>
              </w:rPr>
            </w:pPr>
            <w:r w:rsidRPr="00304846">
              <w:rPr>
                <w:sz w:val="18"/>
                <w:szCs w:val="18"/>
                <w:lang w:val="en-GB" w:eastAsia="ar-SA"/>
              </w:rPr>
              <w:t>−</w:t>
            </w:r>
            <w:r w:rsidR="00D44DAA" w:rsidRPr="00304846">
              <w:rPr>
                <w:sz w:val="18"/>
                <w:szCs w:val="18"/>
                <w:lang w:val="en-GB" w:eastAsia="ar-SA"/>
              </w:rPr>
              <w:t>31.31818</w:t>
            </w:r>
          </w:p>
        </w:tc>
        <w:tc>
          <w:tcPr>
            <w:tcW w:w="915" w:type="dxa"/>
            <w:shd w:val="clear" w:color="auto" w:fill="auto"/>
            <w:vAlign w:val="center"/>
          </w:tcPr>
          <w:p w:rsidR="00D44DAA" w:rsidRPr="00304846" w:rsidRDefault="00973213" w:rsidP="00D44DAA">
            <w:pPr>
              <w:pStyle w:val="Tabletext"/>
              <w:jc w:val="center"/>
              <w:rPr>
                <w:sz w:val="18"/>
                <w:szCs w:val="18"/>
                <w:lang w:val="en-GB" w:eastAsia="ar-SA"/>
              </w:rPr>
            </w:pPr>
            <w:r w:rsidRPr="00304846">
              <w:rPr>
                <w:sz w:val="18"/>
                <w:szCs w:val="18"/>
                <w:lang w:val="en-GB" w:eastAsia="ar-SA"/>
              </w:rPr>
              <w:t>−</w:t>
            </w:r>
            <w:r w:rsidR="00D44DAA" w:rsidRPr="00304846">
              <w:rPr>
                <w:sz w:val="18"/>
                <w:szCs w:val="18"/>
                <w:lang w:val="en-GB" w:eastAsia="ar-SA"/>
              </w:rPr>
              <w:t>21.85500</w:t>
            </w:r>
          </w:p>
        </w:tc>
        <w:tc>
          <w:tcPr>
            <w:tcW w:w="720" w:type="dxa"/>
            <w:shd w:val="clear" w:color="auto" w:fill="auto"/>
            <w:vAlign w:val="center"/>
          </w:tcPr>
          <w:p w:rsidR="00D44DAA" w:rsidRPr="00304846" w:rsidRDefault="00973213" w:rsidP="00D44DAA">
            <w:pPr>
              <w:pStyle w:val="Tabletext"/>
              <w:jc w:val="center"/>
              <w:rPr>
                <w:sz w:val="18"/>
                <w:szCs w:val="18"/>
                <w:lang w:val="en-GB" w:eastAsia="ar-SA"/>
              </w:rPr>
            </w:pPr>
            <w:r w:rsidRPr="00304846">
              <w:rPr>
                <w:sz w:val="18"/>
                <w:szCs w:val="18"/>
                <w:lang w:val="en-GB" w:eastAsia="ar-SA"/>
              </w:rPr>
              <w:t>−</w:t>
            </w:r>
            <w:r w:rsidR="00D44DAA" w:rsidRPr="00304846">
              <w:rPr>
                <w:sz w:val="18"/>
                <w:szCs w:val="18"/>
                <w:lang w:val="en-GB" w:eastAsia="ar-SA"/>
              </w:rPr>
              <w:t>20.925</w:t>
            </w:r>
          </w:p>
        </w:tc>
        <w:tc>
          <w:tcPr>
            <w:tcW w:w="915" w:type="dxa"/>
            <w:shd w:val="clear" w:color="auto" w:fill="auto"/>
            <w:vAlign w:val="center"/>
          </w:tcPr>
          <w:p w:rsidR="00D44DAA" w:rsidRPr="00304846" w:rsidRDefault="00973213" w:rsidP="00D44DAA">
            <w:pPr>
              <w:pStyle w:val="Tabletext"/>
              <w:jc w:val="center"/>
              <w:rPr>
                <w:sz w:val="18"/>
                <w:szCs w:val="18"/>
                <w:lang w:val="en-GB" w:eastAsia="ar-SA"/>
              </w:rPr>
            </w:pPr>
            <w:r w:rsidRPr="00304846">
              <w:rPr>
                <w:sz w:val="18"/>
                <w:szCs w:val="18"/>
                <w:lang w:val="en-GB" w:eastAsia="ar-SA"/>
              </w:rPr>
              <w:t>−</w:t>
            </w:r>
            <w:r w:rsidR="00D44DAA" w:rsidRPr="00304846">
              <w:rPr>
                <w:sz w:val="18"/>
                <w:szCs w:val="18"/>
                <w:lang w:val="en-GB" w:eastAsia="ar-SA"/>
              </w:rPr>
              <w:t>19.22000</w:t>
            </w:r>
          </w:p>
        </w:tc>
        <w:tc>
          <w:tcPr>
            <w:tcW w:w="915" w:type="dxa"/>
            <w:shd w:val="clear" w:color="auto" w:fill="auto"/>
            <w:vAlign w:val="center"/>
          </w:tcPr>
          <w:p w:rsidR="00D44DAA" w:rsidRPr="00304846" w:rsidRDefault="00973213" w:rsidP="00D44DAA">
            <w:pPr>
              <w:pStyle w:val="Tabletext"/>
              <w:jc w:val="center"/>
              <w:rPr>
                <w:sz w:val="18"/>
                <w:szCs w:val="18"/>
                <w:lang w:val="en-GB" w:eastAsia="ar-SA"/>
              </w:rPr>
            </w:pPr>
            <w:r w:rsidRPr="00304846">
              <w:rPr>
                <w:sz w:val="18"/>
                <w:szCs w:val="18"/>
                <w:lang w:val="en-GB" w:eastAsia="ar-SA"/>
              </w:rPr>
              <w:t>−</w:t>
            </w:r>
            <w:r w:rsidR="00D44DAA" w:rsidRPr="00304846">
              <w:rPr>
                <w:sz w:val="18"/>
                <w:szCs w:val="18"/>
                <w:lang w:val="en-GB" w:eastAsia="ar-SA"/>
              </w:rPr>
              <w:t>15.50000</w:t>
            </w:r>
          </w:p>
        </w:tc>
        <w:tc>
          <w:tcPr>
            <w:tcW w:w="915" w:type="dxa"/>
            <w:shd w:val="clear" w:color="auto" w:fill="auto"/>
            <w:vAlign w:val="center"/>
          </w:tcPr>
          <w:p w:rsidR="00D44DAA" w:rsidRPr="00304846" w:rsidRDefault="00973213" w:rsidP="00D44DAA">
            <w:pPr>
              <w:pStyle w:val="Tabletext"/>
              <w:jc w:val="center"/>
              <w:rPr>
                <w:sz w:val="18"/>
                <w:szCs w:val="18"/>
                <w:lang w:val="en-GB" w:eastAsia="ar-SA"/>
              </w:rPr>
            </w:pPr>
            <w:r w:rsidRPr="00304846">
              <w:rPr>
                <w:sz w:val="18"/>
                <w:szCs w:val="18"/>
                <w:lang w:val="en-GB" w:eastAsia="ar-SA"/>
              </w:rPr>
              <w:t>−</w:t>
            </w:r>
            <w:r w:rsidR="00D44DAA" w:rsidRPr="00304846">
              <w:rPr>
                <w:sz w:val="18"/>
                <w:szCs w:val="18"/>
                <w:lang w:val="en-GB" w:eastAsia="ar-SA"/>
              </w:rPr>
              <w:t>9.14500</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9.14500</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15.50000</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19.22000</w:t>
            </w:r>
          </w:p>
        </w:tc>
        <w:tc>
          <w:tcPr>
            <w:tcW w:w="679"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20.925</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21.85500</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31.31818</w:t>
            </w:r>
          </w:p>
        </w:tc>
      </w:tr>
      <w:tr w:rsidR="00D44DAA" w:rsidRPr="00304846" w:rsidTr="00973213">
        <w:trPr>
          <w:trHeight w:val="289"/>
          <w:jc w:val="center"/>
        </w:trPr>
        <w:tc>
          <w:tcPr>
            <w:tcW w:w="1044" w:type="dxa"/>
            <w:vMerge/>
            <w:shd w:val="clear" w:color="auto" w:fill="auto"/>
            <w:vAlign w:val="center"/>
          </w:tcPr>
          <w:p w:rsidR="00D44DAA" w:rsidRPr="00304846" w:rsidRDefault="00D44DAA" w:rsidP="00D44DAA">
            <w:pPr>
              <w:pStyle w:val="Tabletext"/>
              <w:rPr>
                <w:sz w:val="18"/>
                <w:szCs w:val="18"/>
                <w:lang w:val="en-GB" w:eastAsia="ar-SA"/>
              </w:rPr>
            </w:pPr>
          </w:p>
        </w:tc>
        <w:tc>
          <w:tcPr>
            <w:tcW w:w="928" w:type="dxa"/>
            <w:vMerge/>
            <w:tcBorders>
              <w:right w:val="single" w:sz="12" w:space="0" w:color="000000"/>
            </w:tcBorders>
            <w:shd w:val="clear" w:color="auto" w:fill="auto"/>
            <w:vAlign w:val="center"/>
          </w:tcPr>
          <w:p w:rsidR="00D44DAA" w:rsidRPr="00304846" w:rsidRDefault="00D44DAA" w:rsidP="00D44DAA">
            <w:pPr>
              <w:pStyle w:val="Tabletext"/>
              <w:rPr>
                <w:sz w:val="18"/>
                <w:szCs w:val="18"/>
                <w:lang w:val="en-GB" w:eastAsia="ar-SA"/>
              </w:rPr>
            </w:pPr>
          </w:p>
        </w:tc>
        <w:tc>
          <w:tcPr>
            <w:tcW w:w="1307" w:type="dxa"/>
            <w:vMerge/>
            <w:tcBorders>
              <w:left w:val="single" w:sz="12" w:space="0" w:color="000000"/>
              <w:bottom w:val="single" w:sz="12" w:space="0" w:color="000000"/>
              <w:right w:val="single" w:sz="12" w:space="0" w:color="000000"/>
            </w:tcBorders>
            <w:shd w:val="clear" w:color="auto" w:fill="auto"/>
            <w:vAlign w:val="center"/>
          </w:tcPr>
          <w:p w:rsidR="00D44DAA" w:rsidRPr="00304846" w:rsidRDefault="00D44DAA" w:rsidP="00D44DAA">
            <w:pPr>
              <w:pStyle w:val="Tabletext"/>
              <w:rPr>
                <w:color w:val="000000"/>
                <w:sz w:val="18"/>
                <w:szCs w:val="18"/>
                <w:lang w:val="en-GB" w:eastAsia="ar-SA"/>
              </w:rPr>
            </w:pPr>
          </w:p>
        </w:tc>
        <w:tc>
          <w:tcPr>
            <w:tcW w:w="836" w:type="dxa"/>
            <w:tcBorders>
              <w:left w:val="single" w:sz="12" w:space="0" w:color="000000"/>
            </w:tcBorders>
            <w:shd w:val="clear" w:color="auto" w:fill="auto"/>
            <w:vAlign w:val="center"/>
          </w:tcPr>
          <w:p w:rsidR="00D44DAA" w:rsidRPr="00304846" w:rsidRDefault="00D44DAA" w:rsidP="00D44DAA">
            <w:pPr>
              <w:pStyle w:val="Tabletext"/>
              <w:jc w:val="center"/>
              <w:rPr>
                <w:sz w:val="18"/>
                <w:szCs w:val="18"/>
                <w:lang w:val="en-GB" w:eastAsia="ar-SA"/>
              </w:rPr>
            </w:pPr>
            <w:r w:rsidRPr="00304846">
              <w:rPr>
                <w:color w:val="000000"/>
                <w:sz w:val="18"/>
                <w:szCs w:val="18"/>
                <w:lang w:val="en-GB" w:eastAsia="ar-SA"/>
              </w:rPr>
              <w:t>a</w:t>
            </w:r>
            <w:r w:rsidRPr="00304846">
              <w:rPr>
                <w:color w:val="000000"/>
                <w:sz w:val="18"/>
                <w:szCs w:val="18"/>
                <w:vertAlign w:val="subscript"/>
                <w:lang w:val="en-GB" w:eastAsia="ar-SA"/>
              </w:rPr>
              <w:t>i</w:t>
            </w:r>
            <w:r w:rsidRPr="00304846">
              <w:rPr>
                <w:color w:val="000000"/>
                <w:sz w:val="18"/>
                <w:szCs w:val="18"/>
                <w:lang w:val="en-GB" w:eastAsia="ar-SA"/>
              </w:rPr>
              <w:t xml:space="preserve"> (dB)</w:t>
            </w:r>
          </w:p>
        </w:tc>
        <w:tc>
          <w:tcPr>
            <w:tcW w:w="915"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63</w:t>
            </w:r>
          </w:p>
        </w:tc>
        <w:tc>
          <w:tcPr>
            <w:tcW w:w="915"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46</w:t>
            </w:r>
          </w:p>
        </w:tc>
        <w:tc>
          <w:tcPr>
            <w:tcW w:w="720"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17.8</w:t>
            </w:r>
          </w:p>
        </w:tc>
        <w:tc>
          <w:tcPr>
            <w:tcW w:w="915"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9.9</w:t>
            </w:r>
          </w:p>
        </w:tc>
        <w:tc>
          <w:tcPr>
            <w:tcW w:w="915"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2</w:t>
            </w:r>
          </w:p>
        </w:tc>
        <w:tc>
          <w:tcPr>
            <w:tcW w:w="915"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0</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0</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2</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9.9</w:t>
            </w:r>
          </w:p>
        </w:tc>
        <w:tc>
          <w:tcPr>
            <w:tcW w:w="679"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17.8</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46</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63</w:t>
            </w:r>
          </w:p>
        </w:tc>
      </w:tr>
    </w:tbl>
    <w:p w:rsidR="00AF59A0" w:rsidRPr="00304846" w:rsidRDefault="00AF59A0" w:rsidP="00AF59A0">
      <w:pPr>
        <w:suppressAutoHyphens/>
        <w:rPr>
          <w:sz w:val="18"/>
          <w:szCs w:val="18"/>
          <w:lang w:val="en-GB" w:eastAsia="ar-SA"/>
        </w:rPr>
      </w:pPr>
    </w:p>
    <w:p w:rsidR="00AF59A0" w:rsidRPr="00304846" w:rsidRDefault="00AF59A0" w:rsidP="00AF59A0">
      <w:pPr>
        <w:rPr>
          <w:lang w:val="en-GB"/>
        </w:rPr>
      </w:pPr>
    </w:p>
    <w:p w:rsidR="00AF59A0" w:rsidRPr="00304846" w:rsidRDefault="00AF59A0" w:rsidP="00AF59A0">
      <w:pPr>
        <w:rPr>
          <w:lang w:val="en-GB"/>
        </w:rPr>
        <w:sectPr w:rsidR="00AF59A0" w:rsidRPr="00304846" w:rsidSect="005761BF">
          <w:headerReference w:type="even" r:id="rId24"/>
          <w:headerReference w:type="default" r:id="rId25"/>
          <w:footerReference w:type="default" r:id="rId26"/>
          <w:pgSz w:w="16838" w:h="11906" w:orient="landscape" w:code="9"/>
          <w:pgMar w:top="1418" w:right="1134" w:bottom="1418" w:left="1134" w:header="720" w:footer="720" w:gutter="0"/>
          <w:cols w:space="708"/>
          <w:docGrid w:linePitch="360"/>
        </w:sectPr>
      </w:pPr>
    </w:p>
    <w:p w:rsidR="00AF59A0" w:rsidRPr="00304846" w:rsidRDefault="00AF59A0" w:rsidP="00135300">
      <w:pPr>
        <w:pStyle w:val="FigureNo"/>
        <w:rPr>
          <w:lang w:val="en-GB"/>
        </w:rPr>
      </w:pPr>
      <w:r w:rsidRPr="00304846">
        <w:rPr>
          <w:lang w:val="en-GB"/>
        </w:rPr>
        <w:lastRenderedPageBreak/>
        <w:t>FIGURE 5</w:t>
      </w:r>
    </w:p>
    <w:p w:rsidR="00AF59A0" w:rsidRPr="00304846" w:rsidRDefault="00AF59A0" w:rsidP="00135300">
      <w:pPr>
        <w:pStyle w:val="Figuretitle"/>
        <w:rPr>
          <w:rFonts w:asciiTheme="majorBidi" w:hAnsiTheme="majorBidi" w:cstheme="majorBidi"/>
          <w:szCs w:val="18"/>
          <w:lang w:val="en-GB" w:eastAsia="ar-SA"/>
        </w:rPr>
      </w:pPr>
      <w:r w:rsidRPr="00304846">
        <w:rPr>
          <w:rFonts w:asciiTheme="majorBidi" w:hAnsiTheme="majorBidi" w:cstheme="majorBidi"/>
          <w:szCs w:val="18"/>
          <w:lang w:val="en-GB"/>
        </w:rPr>
        <w:t xml:space="preserve">Receiver selectivity masks PP FS </w:t>
      </w:r>
      <w:r w:rsidR="00135300" w:rsidRPr="00304846">
        <w:rPr>
          <w:rFonts w:asciiTheme="majorBidi" w:hAnsiTheme="majorBidi" w:cstheme="majorBidi"/>
          <w:szCs w:val="18"/>
          <w:lang w:val="en-GB"/>
        </w:rPr>
        <w:t>s</w:t>
      </w:r>
      <w:r w:rsidRPr="00304846">
        <w:rPr>
          <w:rFonts w:asciiTheme="majorBidi" w:hAnsiTheme="majorBidi" w:cstheme="majorBidi"/>
          <w:szCs w:val="18"/>
          <w:lang w:val="en-GB"/>
        </w:rPr>
        <w:t>ystems (</w:t>
      </w:r>
      <w:r w:rsidR="00135300" w:rsidRPr="00304846">
        <w:rPr>
          <w:rFonts w:asciiTheme="majorBidi" w:hAnsiTheme="majorBidi" w:cstheme="majorBidi"/>
          <w:szCs w:val="18"/>
          <w:lang w:val="en-GB" w:eastAsia="ar-SA"/>
        </w:rPr>
        <w:t>Channel s</w:t>
      </w:r>
      <w:r w:rsidRPr="00304846">
        <w:rPr>
          <w:rFonts w:asciiTheme="majorBidi" w:hAnsiTheme="majorBidi" w:cstheme="majorBidi"/>
          <w:szCs w:val="18"/>
          <w:lang w:val="en-GB" w:eastAsia="ar-SA"/>
        </w:rPr>
        <w:t>eparation 29.65 MHz)</w:t>
      </w:r>
    </w:p>
    <w:p w:rsidR="00AF59A0" w:rsidRPr="00304846" w:rsidRDefault="00AF59A0" w:rsidP="00135300">
      <w:pPr>
        <w:pStyle w:val="Figure"/>
        <w:rPr>
          <w:rFonts w:ascii="Arial" w:hAnsi="Arial" w:cs="Arial"/>
          <w:color w:val="000000"/>
          <w:sz w:val="16"/>
          <w:szCs w:val="16"/>
          <w:lang w:val="en-GB" w:eastAsia="ar-SA"/>
        </w:rPr>
      </w:pPr>
      <w:r w:rsidRPr="00304846">
        <w:rPr>
          <w:noProof/>
          <w:lang w:val="en-US" w:eastAsia="zh-CN"/>
        </w:rPr>
        <w:drawing>
          <wp:inline distT="0" distB="0" distL="0" distR="0" wp14:anchorId="49FBEC3A" wp14:editId="60A24FAD">
            <wp:extent cx="5495925" cy="2514600"/>
            <wp:effectExtent l="0" t="0" r="9525" b="0"/>
            <wp:docPr id="2209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F59A0" w:rsidRPr="00304846" w:rsidRDefault="00AF59A0" w:rsidP="00135300">
      <w:pPr>
        <w:pStyle w:val="FigureNo"/>
        <w:rPr>
          <w:lang w:val="en-GB"/>
        </w:rPr>
      </w:pPr>
      <w:r w:rsidRPr="00304846">
        <w:rPr>
          <w:lang w:val="en-GB"/>
        </w:rPr>
        <w:t>FIGURE 6</w:t>
      </w:r>
    </w:p>
    <w:p w:rsidR="00AF59A0" w:rsidRPr="00304846" w:rsidRDefault="00AF59A0" w:rsidP="00135300">
      <w:pPr>
        <w:pStyle w:val="Figuretitle"/>
        <w:rPr>
          <w:rFonts w:asciiTheme="majorBidi" w:hAnsiTheme="majorBidi" w:cstheme="majorBidi"/>
          <w:szCs w:val="18"/>
          <w:lang w:val="en-GB"/>
        </w:rPr>
      </w:pPr>
      <w:r w:rsidRPr="00304846">
        <w:rPr>
          <w:rFonts w:asciiTheme="majorBidi" w:hAnsiTheme="majorBidi" w:cstheme="majorBidi"/>
          <w:szCs w:val="18"/>
          <w:lang w:val="en-GB"/>
        </w:rPr>
        <w:t xml:space="preserve">Receiver selectivity masks PP FS </w:t>
      </w:r>
      <w:r w:rsidR="00135300" w:rsidRPr="00304846">
        <w:rPr>
          <w:rFonts w:asciiTheme="majorBidi" w:hAnsiTheme="majorBidi" w:cstheme="majorBidi"/>
          <w:szCs w:val="18"/>
          <w:lang w:val="en-GB"/>
        </w:rPr>
        <w:t>s</w:t>
      </w:r>
      <w:r w:rsidRPr="00304846">
        <w:rPr>
          <w:rFonts w:asciiTheme="majorBidi" w:hAnsiTheme="majorBidi" w:cstheme="majorBidi"/>
          <w:szCs w:val="18"/>
          <w:lang w:val="en-GB"/>
        </w:rPr>
        <w:t xml:space="preserve">ystems (Channel </w:t>
      </w:r>
      <w:r w:rsidR="00135300" w:rsidRPr="00304846">
        <w:rPr>
          <w:rFonts w:asciiTheme="majorBidi" w:hAnsiTheme="majorBidi" w:cstheme="majorBidi"/>
          <w:szCs w:val="18"/>
          <w:lang w:val="en-GB"/>
        </w:rPr>
        <w:t>s</w:t>
      </w:r>
      <w:r w:rsidRPr="00304846">
        <w:rPr>
          <w:rFonts w:asciiTheme="majorBidi" w:hAnsiTheme="majorBidi" w:cstheme="majorBidi"/>
          <w:szCs w:val="18"/>
          <w:lang w:val="en-GB"/>
        </w:rPr>
        <w:t>eparation 40 MHz)</w:t>
      </w:r>
    </w:p>
    <w:p w:rsidR="00AF59A0" w:rsidRPr="00304846" w:rsidRDefault="00AF59A0" w:rsidP="00135300">
      <w:pPr>
        <w:pStyle w:val="Figure"/>
        <w:rPr>
          <w:rFonts w:ascii="Arial" w:hAnsi="Arial" w:cs="Arial"/>
          <w:b/>
          <w:sz w:val="16"/>
          <w:szCs w:val="16"/>
          <w:lang w:val="en-GB" w:eastAsia="ar-SA"/>
        </w:rPr>
      </w:pPr>
      <w:r w:rsidRPr="00304846">
        <w:rPr>
          <w:noProof/>
          <w:lang w:val="en-US" w:eastAsia="zh-CN"/>
        </w:rPr>
        <w:drawing>
          <wp:inline distT="0" distB="0" distL="0" distR="0" wp14:anchorId="4DD77B2F" wp14:editId="5E9DA405">
            <wp:extent cx="5562600" cy="2867025"/>
            <wp:effectExtent l="0" t="0" r="0" b="9525"/>
            <wp:docPr id="2210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F59A0" w:rsidRPr="00304846" w:rsidRDefault="00135300" w:rsidP="00135300">
      <w:pPr>
        <w:rPr>
          <w:lang w:val="en-GB"/>
        </w:rPr>
      </w:pPr>
      <w:r w:rsidRPr="00304846">
        <w:rPr>
          <w:rFonts w:eastAsia="Calibri"/>
          <w:color w:val="000000"/>
          <w:lang w:val="en-GB"/>
        </w:rPr>
        <w:t xml:space="preserve">For a </w:t>
      </w:r>
      <w:r w:rsidR="00AF59A0" w:rsidRPr="00304846">
        <w:rPr>
          <w:rFonts w:eastAsia="Calibri"/>
          <w:color w:val="000000"/>
          <w:lang w:val="en-GB"/>
        </w:rPr>
        <w:t xml:space="preserve">29.65 MHz </w:t>
      </w:r>
      <w:r w:rsidR="00AF59A0" w:rsidRPr="00304846">
        <w:rPr>
          <w:lang w:val="en-GB"/>
        </w:rPr>
        <w:t>radio-frequency co-channel arrangement for fixed wireless systems operating in the 6 GHz band</w:t>
      </w:r>
      <w:r w:rsidRPr="00304846">
        <w:rPr>
          <w:rStyle w:val="FootnoteReference"/>
          <w:lang w:val="en-GB"/>
        </w:rPr>
        <w:footnoteReference w:id="3"/>
      </w:r>
      <w:r w:rsidRPr="00304846">
        <w:rPr>
          <w:lang w:val="en-GB"/>
        </w:rPr>
        <w:t>:</w:t>
      </w:r>
    </w:p>
    <w:p w:rsidR="00AF59A0" w:rsidRPr="00304846" w:rsidRDefault="00AF59A0" w:rsidP="00AF59A0">
      <w:pPr>
        <w:rPr>
          <w:lang w:val="en-GB"/>
        </w:rPr>
      </w:pPr>
      <w:r w:rsidRPr="00304846">
        <w:rPr>
          <w:lang w:val="en-GB"/>
        </w:rPr>
        <w:t>Let</w:t>
      </w:r>
      <w:r w:rsidR="00FE3568" w:rsidRPr="00304846">
        <w:rPr>
          <w:lang w:val="en-GB"/>
        </w:rPr>
        <w:t>:</w:t>
      </w:r>
    </w:p>
    <w:p w:rsidR="00AF59A0" w:rsidRPr="00304846" w:rsidRDefault="00AF59A0" w:rsidP="00FE3568">
      <w:pPr>
        <w:pStyle w:val="Equationlegend"/>
        <w:rPr>
          <w:sz w:val="22"/>
          <w:lang w:val="en-GB"/>
        </w:rPr>
      </w:pPr>
      <w:r w:rsidRPr="00304846">
        <w:rPr>
          <w:lang w:val="en-GB"/>
        </w:rPr>
        <w:tab/>
      </w:r>
      <w:r w:rsidRPr="00304846">
        <w:rPr>
          <w:i/>
          <w:lang w:val="en-GB"/>
        </w:rPr>
        <w:t>f</w:t>
      </w:r>
      <w:r w:rsidRPr="00304846">
        <w:rPr>
          <w:position w:val="-4"/>
          <w:sz w:val="20"/>
          <w:lang w:val="en-GB"/>
        </w:rPr>
        <w:t>0</w:t>
      </w:r>
      <w:r w:rsidR="00FE3568" w:rsidRPr="00304846">
        <w:rPr>
          <w:lang w:val="en-GB"/>
        </w:rPr>
        <w:t>:</w:t>
      </w:r>
      <w:r w:rsidRPr="00304846">
        <w:rPr>
          <w:lang w:val="en-GB"/>
        </w:rPr>
        <w:tab/>
        <w:t xml:space="preserve">be the frequency (MHz) of the centre of the band of frequencies occupied, </w:t>
      </w:r>
      <w:r w:rsidRPr="00304846">
        <w:rPr>
          <w:i/>
          <w:lang w:val="en-GB"/>
        </w:rPr>
        <w:t>f</w:t>
      </w:r>
      <w:r w:rsidRPr="00304846">
        <w:rPr>
          <w:position w:val="-4"/>
          <w:sz w:val="20"/>
          <w:lang w:val="en-GB"/>
        </w:rPr>
        <w:t>0</w:t>
      </w:r>
      <w:r w:rsidR="00FE3568" w:rsidRPr="00304846">
        <w:rPr>
          <w:lang w:val="en-GB"/>
        </w:rPr>
        <w:t> = 6</w:t>
      </w:r>
      <w:r w:rsidR="003B414E" w:rsidRPr="00304846">
        <w:rPr>
          <w:lang w:val="en-GB"/>
        </w:rPr>
        <w:t> </w:t>
      </w:r>
      <w:r w:rsidR="00FE3568" w:rsidRPr="00304846">
        <w:rPr>
          <w:lang w:val="en-GB"/>
        </w:rPr>
        <w:t>175</w:t>
      </w:r>
    </w:p>
    <w:p w:rsidR="00AF59A0" w:rsidRPr="00304846" w:rsidRDefault="00AF59A0" w:rsidP="00AF59A0">
      <w:pPr>
        <w:pStyle w:val="Equationlegend"/>
        <w:rPr>
          <w:lang w:val="en-GB"/>
        </w:rPr>
      </w:pPr>
      <w:r w:rsidRPr="00304846">
        <w:rPr>
          <w:lang w:val="en-GB"/>
        </w:rPr>
        <w:tab/>
      </w:r>
      <w:r w:rsidRPr="00304846">
        <w:rPr>
          <w:i/>
          <w:lang w:val="en-GB"/>
        </w:rPr>
        <w:t>f</w:t>
      </w:r>
      <w:r w:rsidRPr="00304846">
        <w:rPr>
          <w:i/>
          <w:position w:val="-4"/>
          <w:sz w:val="20"/>
          <w:lang w:val="en-GB"/>
        </w:rPr>
        <w:t>n</w:t>
      </w:r>
      <w:r w:rsidR="00FE3568" w:rsidRPr="00304846">
        <w:rPr>
          <w:lang w:val="en-GB"/>
        </w:rPr>
        <w:t>:</w:t>
      </w:r>
      <w:r w:rsidRPr="00304846">
        <w:rPr>
          <w:lang w:val="en-GB"/>
        </w:rPr>
        <w:tab/>
      </w:r>
      <w:r w:rsidRPr="00304846">
        <w:rPr>
          <w:spacing w:val="-2"/>
          <w:lang w:val="en-GB"/>
        </w:rPr>
        <w:t xml:space="preserve">be the centre frequency (MHz) of one </w:t>
      </w:r>
      <w:r w:rsidRPr="00304846">
        <w:rPr>
          <w:lang w:val="en-GB"/>
        </w:rPr>
        <w:t>RF</w:t>
      </w:r>
      <w:r w:rsidRPr="00304846">
        <w:rPr>
          <w:spacing w:val="-2"/>
          <w:lang w:val="en-GB"/>
        </w:rPr>
        <w:t xml:space="preserve"> channel in the lower half of the band</w:t>
      </w:r>
    </w:p>
    <w:p w:rsidR="00AF59A0" w:rsidRPr="00304846" w:rsidRDefault="00AF59A0" w:rsidP="00FE3568">
      <w:pPr>
        <w:pStyle w:val="Equationlegend"/>
        <w:rPr>
          <w:lang w:val="en-GB"/>
        </w:rPr>
      </w:pPr>
      <w:r w:rsidRPr="00304846">
        <w:rPr>
          <w:lang w:val="en-GB"/>
        </w:rPr>
        <w:tab/>
      </w:r>
      <w:r w:rsidRPr="00304846">
        <w:rPr>
          <w:position w:val="-12"/>
          <w:lang w:val="en-GB"/>
        </w:rPr>
        <w:object w:dxaOrig="300" w:dyaOrig="360">
          <v:shape id="_x0000_i1026" type="#_x0000_t75" style="width:15.05pt;height:18.25pt" o:ole="">
            <v:imagedata r:id="rId29" o:title=""/>
          </v:shape>
          <o:OLEObject Type="Embed" ProgID="Equation.3" ShapeID="_x0000_i1026" DrawAspect="Content" ObjectID="_1486385365" r:id="rId30"/>
        </w:object>
      </w:r>
      <w:r w:rsidR="00FE3568" w:rsidRPr="00304846">
        <w:rPr>
          <w:lang w:val="en-GB"/>
        </w:rPr>
        <w:t>:</w:t>
      </w:r>
      <w:r w:rsidRPr="00304846">
        <w:rPr>
          <w:lang w:val="en-GB"/>
        </w:rPr>
        <w:tab/>
      </w:r>
      <w:r w:rsidRPr="00304846">
        <w:rPr>
          <w:spacing w:val="-2"/>
          <w:lang w:val="en-GB"/>
        </w:rPr>
        <w:t xml:space="preserve">be the centre frequency (MHz) of one </w:t>
      </w:r>
      <w:r w:rsidRPr="00304846">
        <w:rPr>
          <w:lang w:val="en-GB"/>
        </w:rPr>
        <w:t>RF</w:t>
      </w:r>
      <w:r w:rsidRPr="00304846">
        <w:rPr>
          <w:spacing w:val="-2"/>
          <w:lang w:val="en-GB"/>
        </w:rPr>
        <w:t xml:space="preserve"> channel in the upper half of the band</w:t>
      </w:r>
      <w:r w:rsidR="00FE3568" w:rsidRPr="00304846">
        <w:rPr>
          <w:spacing w:val="-2"/>
          <w:lang w:val="en-GB"/>
        </w:rPr>
        <w:t>;</w:t>
      </w:r>
    </w:p>
    <w:p w:rsidR="00AF59A0" w:rsidRPr="00304846" w:rsidRDefault="00AF59A0" w:rsidP="00AF59A0">
      <w:pPr>
        <w:keepNext/>
        <w:keepLines/>
        <w:rPr>
          <w:szCs w:val="24"/>
          <w:lang w:val="en-GB"/>
        </w:rPr>
      </w:pPr>
      <w:r w:rsidRPr="00304846">
        <w:rPr>
          <w:szCs w:val="24"/>
          <w:lang w:val="en-GB"/>
        </w:rPr>
        <w:lastRenderedPageBreak/>
        <w:t>then the frequencies of individual channels are expressed by the following relationships:</w:t>
      </w:r>
    </w:p>
    <w:p w:rsidR="00AF59A0" w:rsidRPr="00304846" w:rsidRDefault="00AF59A0" w:rsidP="003B414E">
      <w:pPr>
        <w:tabs>
          <w:tab w:val="left" w:pos="3544"/>
          <w:tab w:val="left" w:pos="3827"/>
          <w:tab w:val="left" w:pos="4111"/>
        </w:tabs>
        <w:spacing w:before="80"/>
        <w:ind w:left="794" w:hanging="794"/>
        <w:rPr>
          <w:rFonts w:asciiTheme="majorBidi" w:eastAsia="Calibri" w:hAnsiTheme="majorBidi" w:cstheme="majorBidi"/>
          <w:color w:val="000000"/>
          <w:szCs w:val="24"/>
          <w:lang w:val="en-GB"/>
        </w:rPr>
      </w:pPr>
      <w:r w:rsidRPr="00304846">
        <w:rPr>
          <w:rFonts w:asciiTheme="majorBidi" w:eastAsia="Calibri" w:hAnsiTheme="majorBidi" w:cstheme="majorBidi"/>
          <w:color w:val="000000"/>
          <w:szCs w:val="24"/>
          <w:lang w:val="en-GB"/>
        </w:rPr>
        <w:tab/>
      </w:r>
      <w:r w:rsidRPr="00304846">
        <w:rPr>
          <w:rFonts w:asciiTheme="majorBidi" w:eastAsia="Batang" w:hAnsiTheme="majorBidi" w:cstheme="majorBidi"/>
          <w:color w:val="000000"/>
          <w:szCs w:val="24"/>
          <w:lang w:val="en-GB"/>
        </w:rPr>
        <w:t>lower half of the band:</w:t>
      </w:r>
      <w:r w:rsidRPr="00304846">
        <w:rPr>
          <w:rFonts w:asciiTheme="majorBidi" w:eastAsia="Calibri" w:hAnsiTheme="majorBidi" w:cstheme="majorBidi"/>
          <w:color w:val="000000"/>
          <w:szCs w:val="24"/>
          <w:lang w:val="en-GB"/>
        </w:rPr>
        <w:tab/>
      </w:r>
      <w:r w:rsidRPr="00304846">
        <w:rPr>
          <w:rFonts w:asciiTheme="majorBidi" w:eastAsia="Calibri" w:hAnsiTheme="majorBidi" w:cstheme="majorBidi"/>
          <w:i/>
          <w:color w:val="000000"/>
          <w:szCs w:val="24"/>
          <w:lang w:val="en-GB"/>
        </w:rPr>
        <w:t>f</w:t>
      </w:r>
      <w:r w:rsidRPr="00304846">
        <w:rPr>
          <w:rFonts w:asciiTheme="majorBidi" w:eastAsia="Calibri" w:hAnsiTheme="majorBidi" w:cstheme="majorBidi"/>
          <w:i/>
          <w:color w:val="000000"/>
          <w:position w:val="-4"/>
          <w:szCs w:val="24"/>
          <w:lang w:val="en-GB"/>
        </w:rPr>
        <w:t>n</w:t>
      </w:r>
      <w:r w:rsidRPr="00304846">
        <w:rPr>
          <w:rFonts w:asciiTheme="majorBidi" w:eastAsia="Calibri" w:hAnsiTheme="majorBidi" w:cstheme="majorBidi"/>
          <w:color w:val="000000"/>
          <w:szCs w:val="24"/>
          <w:lang w:val="en-GB"/>
        </w:rPr>
        <w:tab/>
        <w:t>=</w:t>
      </w:r>
      <w:r w:rsidRPr="00304846">
        <w:rPr>
          <w:rFonts w:asciiTheme="majorBidi" w:eastAsia="Calibri" w:hAnsiTheme="majorBidi" w:cstheme="majorBidi"/>
          <w:color w:val="000000"/>
          <w:szCs w:val="24"/>
          <w:lang w:val="en-GB"/>
        </w:rPr>
        <w:tab/>
      </w:r>
      <w:r w:rsidRPr="00304846">
        <w:rPr>
          <w:rFonts w:asciiTheme="majorBidi" w:eastAsia="Calibri" w:hAnsiTheme="majorBidi" w:cstheme="majorBidi"/>
          <w:i/>
          <w:color w:val="000000"/>
          <w:szCs w:val="24"/>
          <w:lang w:val="en-GB"/>
        </w:rPr>
        <w:t>f</w:t>
      </w:r>
      <w:r w:rsidR="003B414E" w:rsidRPr="00304846">
        <w:rPr>
          <w:rFonts w:asciiTheme="majorBidi" w:eastAsia="Calibri" w:hAnsiTheme="majorBidi" w:cstheme="majorBidi"/>
          <w:iCs/>
          <w:color w:val="000000"/>
          <w:szCs w:val="24"/>
          <w:vertAlign w:val="subscript"/>
          <w:lang w:val="en-GB"/>
        </w:rPr>
        <w:t>0</w:t>
      </w:r>
      <w:r w:rsidRPr="00304846">
        <w:rPr>
          <w:rFonts w:asciiTheme="majorBidi" w:eastAsia="Calibri" w:hAnsiTheme="majorBidi" w:cstheme="majorBidi"/>
          <w:color w:val="000000"/>
          <w:szCs w:val="24"/>
          <w:lang w:val="en-GB"/>
        </w:rPr>
        <w:t xml:space="preserve">  –  259.45  +  29.65</w:t>
      </w:r>
      <w:r w:rsidRPr="00304846">
        <w:rPr>
          <w:rFonts w:asciiTheme="majorBidi" w:eastAsia="Calibri" w:hAnsiTheme="majorBidi" w:cstheme="majorBidi"/>
          <w:i/>
          <w:color w:val="000000"/>
          <w:szCs w:val="24"/>
          <w:lang w:val="en-GB"/>
        </w:rPr>
        <w:t xml:space="preserve"> n</w:t>
      </w:r>
      <w:r w:rsidRPr="00304846">
        <w:rPr>
          <w:rFonts w:asciiTheme="majorBidi" w:eastAsia="Calibri" w:hAnsiTheme="majorBidi" w:cstheme="majorBidi"/>
          <w:color w:val="000000"/>
          <w:szCs w:val="24"/>
          <w:lang w:val="en-GB"/>
        </w:rPr>
        <w:tab/>
      </w:r>
      <w:r w:rsidRPr="00304846">
        <w:rPr>
          <w:rFonts w:asciiTheme="majorBidi" w:eastAsia="Calibri" w:hAnsiTheme="majorBidi" w:cstheme="majorBidi"/>
          <w:color w:val="000000"/>
          <w:szCs w:val="24"/>
          <w:lang w:val="en-GB"/>
        </w:rPr>
        <w:tab/>
        <w:t>MHz</w:t>
      </w:r>
    </w:p>
    <w:p w:rsidR="00AF59A0" w:rsidRPr="00304846" w:rsidRDefault="00AF59A0" w:rsidP="003B414E">
      <w:pPr>
        <w:tabs>
          <w:tab w:val="left" w:pos="3416"/>
          <w:tab w:val="left" w:pos="3828"/>
          <w:tab w:val="left" w:pos="4111"/>
        </w:tabs>
        <w:spacing w:before="80"/>
        <w:ind w:left="794" w:hanging="794"/>
        <w:rPr>
          <w:rFonts w:asciiTheme="majorBidi" w:eastAsia="Calibri" w:hAnsiTheme="majorBidi" w:cstheme="majorBidi"/>
          <w:color w:val="000000"/>
          <w:szCs w:val="24"/>
          <w:lang w:val="en-GB"/>
        </w:rPr>
      </w:pPr>
      <w:r w:rsidRPr="00304846">
        <w:rPr>
          <w:rFonts w:asciiTheme="majorBidi" w:eastAsia="Calibri" w:hAnsiTheme="majorBidi" w:cstheme="majorBidi"/>
          <w:color w:val="000000"/>
          <w:szCs w:val="24"/>
          <w:lang w:val="en-GB"/>
        </w:rPr>
        <w:tab/>
        <w:t>upper half of the band:</w:t>
      </w:r>
      <w:r w:rsidRPr="00304846">
        <w:rPr>
          <w:rFonts w:asciiTheme="majorBidi" w:eastAsia="Calibri" w:hAnsiTheme="majorBidi" w:cstheme="majorBidi"/>
          <w:color w:val="000000"/>
          <w:szCs w:val="24"/>
          <w:lang w:val="en-GB"/>
        </w:rPr>
        <w:tab/>
      </w:r>
      <w:r w:rsidRPr="00304846">
        <w:rPr>
          <w:rFonts w:asciiTheme="majorBidi" w:hAnsiTheme="majorBidi" w:cstheme="majorBidi"/>
          <w:color w:val="000000"/>
          <w:position w:val="-12"/>
          <w:szCs w:val="24"/>
          <w:lang w:val="en-GB"/>
        </w:rPr>
        <w:object w:dxaOrig="300" w:dyaOrig="360">
          <v:shape id="_x0000_i1027" type="#_x0000_t75" style="width:15.05pt;height:18.25pt" o:ole="">
            <v:imagedata r:id="rId29" o:title=""/>
          </v:shape>
          <o:OLEObject Type="Embed" ProgID="Equation.3" ShapeID="_x0000_i1027" DrawAspect="Content" ObjectID="_1486385366" r:id="rId31"/>
        </w:object>
      </w:r>
      <w:r w:rsidRPr="00304846">
        <w:rPr>
          <w:rFonts w:asciiTheme="majorBidi" w:eastAsia="Calibri" w:hAnsiTheme="majorBidi" w:cstheme="majorBidi"/>
          <w:color w:val="000000"/>
          <w:szCs w:val="24"/>
          <w:lang w:val="en-GB"/>
        </w:rPr>
        <w:tab/>
        <w:t>=</w:t>
      </w:r>
      <w:r w:rsidRPr="00304846">
        <w:rPr>
          <w:rFonts w:asciiTheme="majorBidi" w:eastAsia="Calibri" w:hAnsiTheme="majorBidi" w:cstheme="majorBidi"/>
          <w:color w:val="000000"/>
          <w:szCs w:val="24"/>
          <w:lang w:val="en-GB"/>
        </w:rPr>
        <w:tab/>
      </w:r>
      <w:r w:rsidRPr="00304846">
        <w:rPr>
          <w:rFonts w:asciiTheme="majorBidi" w:eastAsia="Calibri" w:hAnsiTheme="majorBidi" w:cstheme="majorBidi"/>
          <w:i/>
          <w:color w:val="000000"/>
          <w:szCs w:val="24"/>
          <w:lang w:val="en-GB"/>
        </w:rPr>
        <w:t>f</w:t>
      </w:r>
      <w:r w:rsidR="003B414E" w:rsidRPr="00304846">
        <w:rPr>
          <w:rFonts w:asciiTheme="majorBidi" w:eastAsia="Calibri" w:hAnsiTheme="majorBidi" w:cstheme="majorBidi"/>
          <w:iCs/>
          <w:color w:val="000000"/>
          <w:szCs w:val="24"/>
          <w:vertAlign w:val="subscript"/>
          <w:lang w:val="en-GB"/>
        </w:rPr>
        <w:t>0</w:t>
      </w:r>
      <w:r w:rsidRPr="00304846">
        <w:rPr>
          <w:rFonts w:asciiTheme="majorBidi" w:eastAsia="Calibri" w:hAnsiTheme="majorBidi" w:cstheme="majorBidi"/>
          <w:color w:val="000000"/>
          <w:szCs w:val="24"/>
          <w:lang w:val="en-GB"/>
        </w:rPr>
        <w:t xml:space="preserve">  –  7.41  +  29.65</w:t>
      </w:r>
      <w:r w:rsidRPr="00304846">
        <w:rPr>
          <w:rFonts w:asciiTheme="majorBidi" w:eastAsia="Calibri" w:hAnsiTheme="majorBidi" w:cstheme="majorBidi"/>
          <w:i/>
          <w:color w:val="000000"/>
          <w:szCs w:val="24"/>
          <w:lang w:val="en-GB"/>
        </w:rPr>
        <w:t xml:space="preserve"> n</w:t>
      </w:r>
      <w:r w:rsidRPr="00304846">
        <w:rPr>
          <w:rFonts w:asciiTheme="majorBidi" w:eastAsia="Calibri" w:hAnsiTheme="majorBidi" w:cstheme="majorBidi"/>
          <w:color w:val="000000"/>
          <w:szCs w:val="24"/>
          <w:lang w:val="en-GB"/>
        </w:rPr>
        <w:t xml:space="preserve"> </w:t>
      </w:r>
      <w:r w:rsidRPr="00304846">
        <w:rPr>
          <w:rFonts w:asciiTheme="majorBidi" w:eastAsia="Calibri" w:hAnsiTheme="majorBidi" w:cstheme="majorBidi"/>
          <w:color w:val="000000"/>
          <w:szCs w:val="24"/>
          <w:lang w:val="en-GB"/>
        </w:rPr>
        <w:tab/>
      </w:r>
      <w:r w:rsidRPr="00304846">
        <w:rPr>
          <w:rFonts w:asciiTheme="majorBidi" w:eastAsia="Calibri" w:hAnsiTheme="majorBidi" w:cstheme="majorBidi"/>
          <w:color w:val="000000"/>
          <w:szCs w:val="24"/>
          <w:lang w:val="en-GB"/>
        </w:rPr>
        <w:tab/>
        <w:t>MHz</w:t>
      </w:r>
    </w:p>
    <w:p w:rsidR="00AF59A0" w:rsidRPr="00304846" w:rsidRDefault="00AF59A0" w:rsidP="00AF59A0">
      <w:pPr>
        <w:rPr>
          <w:szCs w:val="24"/>
          <w:lang w:val="en-GB"/>
        </w:rPr>
      </w:pPr>
      <w:r w:rsidRPr="00304846">
        <w:rPr>
          <w:szCs w:val="24"/>
          <w:lang w:val="en-GB"/>
        </w:rPr>
        <w:t>where:</w:t>
      </w:r>
    </w:p>
    <w:p w:rsidR="00AF59A0" w:rsidRPr="00304846" w:rsidRDefault="00AF59A0" w:rsidP="00AF59A0">
      <w:pPr>
        <w:pStyle w:val="Equationlegend"/>
        <w:rPr>
          <w:rFonts w:eastAsia="Calibri"/>
          <w:lang w:val="en-GB"/>
        </w:rPr>
      </w:pPr>
      <w:r w:rsidRPr="00304846">
        <w:rPr>
          <w:rFonts w:eastAsia="Calibri"/>
          <w:lang w:val="en-GB"/>
        </w:rPr>
        <w:tab/>
      </w:r>
      <w:r w:rsidRPr="00304846">
        <w:rPr>
          <w:rFonts w:eastAsia="Calibri"/>
          <w:i/>
          <w:lang w:val="en-GB"/>
        </w:rPr>
        <w:t>n</w:t>
      </w:r>
      <w:r w:rsidRPr="00304846">
        <w:rPr>
          <w:rFonts w:eastAsia="Calibri"/>
          <w:lang w:val="en-GB"/>
        </w:rPr>
        <w:t xml:space="preserve">  =  </w:t>
      </w:r>
      <w:r w:rsidRPr="00304846">
        <w:rPr>
          <w:rFonts w:eastAsia="Calibri"/>
          <w:lang w:val="en-GB"/>
        </w:rPr>
        <w:tab/>
        <w:t>1, 2, 3, 4, 5, 6, 7 or 8;</w:t>
      </w:r>
    </w:p>
    <w:p w:rsidR="00AF59A0" w:rsidRPr="00304846" w:rsidRDefault="00AF59A0" w:rsidP="00AF59A0">
      <w:pPr>
        <w:pStyle w:val="FigureNo"/>
        <w:rPr>
          <w:lang w:val="en-GB"/>
        </w:rPr>
      </w:pPr>
      <w:r w:rsidRPr="00304846">
        <w:rPr>
          <w:lang w:val="en-GB"/>
        </w:rPr>
        <w:t>FIGURE 7</w:t>
      </w:r>
    </w:p>
    <w:p w:rsidR="00AF59A0" w:rsidRPr="00304846" w:rsidRDefault="00AF59A0" w:rsidP="00AF59A0">
      <w:pPr>
        <w:pStyle w:val="Figuretitle"/>
        <w:spacing w:after="240"/>
        <w:rPr>
          <w:lang w:val="en-GB"/>
        </w:rPr>
      </w:pPr>
      <w:r w:rsidRPr="00304846">
        <w:rPr>
          <w:rFonts w:eastAsia="Calibri"/>
          <w:color w:val="000000"/>
          <w:lang w:val="en-GB"/>
        </w:rPr>
        <w:t xml:space="preserve">29.65 MHz </w:t>
      </w:r>
      <w:r w:rsidRPr="00304846">
        <w:rPr>
          <w:lang w:val="en-GB"/>
        </w:rPr>
        <w:t>radio-frequency co-channel arrangement for fixed wireless systems</w:t>
      </w:r>
      <w:r w:rsidRPr="00304846">
        <w:rPr>
          <w:lang w:val="en-GB"/>
        </w:rPr>
        <w:br/>
        <w:t>operating in the 6 GHz band for use in international connections</w:t>
      </w:r>
    </w:p>
    <w:p w:rsidR="00AF59A0" w:rsidRPr="00304846" w:rsidRDefault="00AF59A0" w:rsidP="003B414E">
      <w:pPr>
        <w:pStyle w:val="Figuretitle"/>
        <w:spacing w:after="0"/>
        <w:rPr>
          <w:lang w:val="en-GB"/>
        </w:rPr>
      </w:pPr>
      <w:r w:rsidRPr="00304846">
        <w:rPr>
          <w:caps/>
          <w:lang w:val="en-GB"/>
        </w:rPr>
        <w:t>(A</w:t>
      </w:r>
      <w:r w:rsidRPr="00304846">
        <w:rPr>
          <w:lang w:val="en-GB"/>
        </w:rPr>
        <w:t xml:space="preserve">ll frequencies in </w:t>
      </w:r>
      <w:r w:rsidRPr="00304846">
        <w:rPr>
          <w:caps/>
          <w:lang w:val="en-GB"/>
        </w:rPr>
        <w:t>MH</w:t>
      </w:r>
      <w:r w:rsidRPr="00304846">
        <w:rPr>
          <w:lang w:val="en-GB"/>
        </w:rPr>
        <w:t>z</w:t>
      </w:r>
      <w:r w:rsidRPr="00304846">
        <w:rPr>
          <w:caps/>
          <w:lang w:val="en-GB"/>
        </w:rPr>
        <w:t>)</w:t>
      </w:r>
    </w:p>
    <w:p w:rsidR="00AF59A0" w:rsidRPr="00304846" w:rsidRDefault="00AF59A0" w:rsidP="003B414E">
      <w:pPr>
        <w:pStyle w:val="Figure"/>
        <w:rPr>
          <w:lang w:val="en-GB"/>
        </w:rPr>
      </w:pPr>
      <w:r w:rsidRPr="00304846">
        <w:rPr>
          <w:lang w:val="en-GB"/>
        </w:rPr>
        <w:object w:dxaOrig="6495" w:dyaOrig="2460">
          <v:shape id="_x0000_i1028" type="#_x0000_t75" style="width:324.55pt;height:123.05pt" o:ole="">
            <v:imagedata r:id="rId32" o:title=""/>
          </v:shape>
          <o:OLEObject Type="Embed" ProgID="CorelDRAW.Graphic.14" ShapeID="_x0000_i1028" DrawAspect="Content" ObjectID="_1486385367" r:id="rId33"/>
        </w:object>
      </w:r>
    </w:p>
    <w:p w:rsidR="00AF59A0" w:rsidRPr="00304846" w:rsidRDefault="003B414E" w:rsidP="00D73F85">
      <w:pPr>
        <w:spacing w:before="240"/>
        <w:rPr>
          <w:lang w:val="en-GB" w:eastAsia="ja-JP"/>
        </w:rPr>
      </w:pPr>
      <w:r w:rsidRPr="00304846">
        <w:rPr>
          <w:lang w:val="en-GB" w:eastAsia="ja-JP"/>
        </w:rPr>
        <w:t xml:space="preserve">For a </w:t>
      </w:r>
      <w:r w:rsidR="00AF59A0" w:rsidRPr="00304846">
        <w:rPr>
          <w:lang w:val="en-GB" w:eastAsia="ja-JP"/>
        </w:rPr>
        <w:t xml:space="preserve">40 MHz radio-frequency channel arrangement for radio-relay systems operating </w:t>
      </w:r>
      <w:r w:rsidR="00D73F85" w:rsidRPr="00304846">
        <w:rPr>
          <w:lang w:val="en-GB" w:eastAsia="ja-JP"/>
        </w:rPr>
        <w:t>in the lower 6 </w:t>
      </w:r>
      <w:r w:rsidR="00AF59A0" w:rsidRPr="00304846">
        <w:rPr>
          <w:lang w:val="en-GB" w:eastAsia="ja-JP"/>
        </w:rPr>
        <w:t>GHz band</w:t>
      </w:r>
      <w:r w:rsidRPr="00304846">
        <w:rPr>
          <w:rStyle w:val="FootnoteReference"/>
          <w:lang w:val="en-GB" w:eastAsia="ja-JP"/>
        </w:rPr>
        <w:footnoteReference w:id="4"/>
      </w:r>
      <w:r w:rsidR="00D73F85" w:rsidRPr="00304846">
        <w:rPr>
          <w:lang w:val="en-GB" w:eastAsia="ja-JP"/>
        </w:rPr>
        <w:t>.</w:t>
      </w:r>
    </w:p>
    <w:p w:rsidR="00AF59A0" w:rsidRPr="00304846" w:rsidRDefault="00AF59A0" w:rsidP="00AF59A0">
      <w:pPr>
        <w:tabs>
          <w:tab w:val="left" w:pos="658"/>
        </w:tabs>
        <w:rPr>
          <w:rFonts w:asciiTheme="majorBidi" w:hAnsiTheme="majorBidi" w:cstheme="majorBidi"/>
          <w:lang w:val="en-GB"/>
        </w:rPr>
      </w:pPr>
      <w:r w:rsidRPr="00304846">
        <w:rPr>
          <w:rFonts w:asciiTheme="majorBidi" w:hAnsiTheme="majorBidi" w:cstheme="majorBidi"/>
          <w:lang w:val="en-GB"/>
        </w:rPr>
        <w:t>Let</w:t>
      </w:r>
      <w:r w:rsidR="003B414E" w:rsidRPr="00304846">
        <w:rPr>
          <w:rFonts w:asciiTheme="majorBidi" w:hAnsiTheme="majorBidi" w:cstheme="majorBidi"/>
          <w:lang w:val="en-GB"/>
        </w:rPr>
        <w:t>:</w:t>
      </w:r>
    </w:p>
    <w:p w:rsidR="00AF59A0" w:rsidRPr="00304846" w:rsidRDefault="00AF59A0" w:rsidP="00AF59A0">
      <w:pPr>
        <w:pStyle w:val="Equationlegend"/>
        <w:rPr>
          <w:lang w:val="en-GB"/>
        </w:rPr>
      </w:pPr>
      <w:r w:rsidRPr="00304846">
        <w:rPr>
          <w:lang w:val="en-GB"/>
        </w:rPr>
        <w:tab/>
      </w:r>
      <w:r w:rsidRPr="00304846">
        <w:rPr>
          <w:i/>
          <w:lang w:val="en-GB"/>
        </w:rPr>
        <w:t>f</w:t>
      </w:r>
      <w:r w:rsidRPr="00304846">
        <w:rPr>
          <w:position w:val="-4"/>
          <w:sz w:val="20"/>
          <w:lang w:val="en-GB"/>
        </w:rPr>
        <w:t>0</w:t>
      </w:r>
      <w:r w:rsidR="003B414E" w:rsidRPr="00304846">
        <w:rPr>
          <w:lang w:val="en-GB"/>
        </w:rPr>
        <w:t>:</w:t>
      </w:r>
      <w:r w:rsidRPr="00304846">
        <w:rPr>
          <w:lang w:val="en-GB"/>
        </w:rPr>
        <w:tab/>
        <w:t xml:space="preserve">be the frequency (MHz) of the centre of the band of frequencies occupied, </w:t>
      </w:r>
      <w:r w:rsidRPr="00304846">
        <w:rPr>
          <w:i/>
          <w:lang w:val="en-GB"/>
        </w:rPr>
        <w:t>f</w:t>
      </w:r>
      <w:r w:rsidRPr="00304846">
        <w:rPr>
          <w:position w:val="-4"/>
          <w:sz w:val="20"/>
          <w:lang w:val="en-GB"/>
        </w:rPr>
        <w:t>0</w:t>
      </w:r>
      <w:r w:rsidR="003B414E" w:rsidRPr="00304846">
        <w:rPr>
          <w:lang w:val="en-GB"/>
        </w:rPr>
        <w:t> = 6 175</w:t>
      </w:r>
    </w:p>
    <w:p w:rsidR="00AF59A0" w:rsidRPr="00304846" w:rsidRDefault="00AF59A0" w:rsidP="00AF59A0">
      <w:pPr>
        <w:pStyle w:val="Equationlegend"/>
        <w:rPr>
          <w:rFonts w:eastAsia="Calibri"/>
          <w:color w:val="000000"/>
          <w:lang w:val="en-GB"/>
        </w:rPr>
      </w:pPr>
      <w:r w:rsidRPr="00304846">
        <w:rPr>
          <w:rFonts w:eastAsia="Calibri"/>
          <w:color w:val="000000"/>
          <w:lang w:val="en-GB"/>
        </w:rPr>
        <w:tab/>
      </w:r>
      <w:r w:rsidRPr="00304846">
        <w:rPr>
          <w:rFonts w:eastAsia="Calibri"/>
          <w:i/>
          <w:color w:val="000000"/>
          <w:lang w:val="en-GB"/>
        </w:rPr>
        <w:t>f</w:t>
      </w:r>
      <w:r w:rsidRPr="00304846">
        <w:rPr>
          <w:rFonts w:eastAsia="Calibri"/>
          <w:i/>
          <w:color w:val="000000"/>
          <w:position w:val="-4"/>
          <w:sz w:val="20"/>
          <w:lang w:val="en-GB"/>
        </w:rPr>
        <w:t>n</w:t>
      </w:r>
      <w:r w:rsidR="003B414E" w:rsidRPr="00304846">
        <w:rPr>
          <w:lang w:val="en-GB"/>
        </w:rPr>
        <w:t>:</w:t>
      </w:r>
      <w:r w:rsidRPr="00304846">
        <w:rPr>
          <w:rFonts w:eastAsia="Calibri"/>
          <w:color w:val="000000"/>
          <w:lang w:val="en-GB"/>
        </w:rPr>
        <w:tab/>
        <w:t>be the centre frequency (MHz) of one RF channel in the lower half of the</w:t>
      </w:r>
      <w:r w:rsidR="003B414E" w:rsidRPr="00304846">
        <w:rPr>
          <w:rFonts w:eastAsia="Calibri"/>
          <w:color w:val="000000"/>
          <w:lang w:val="en-GB"/>
        </w:rPr>
        <w:t xml:space="preserve"> band</w:t>
      </w:r>
    </w:p>
    <w:p w:rsidR="00AF59A0" w:rsidRPr="00304846" w:rsidRDefault="00AF59A0" w:rsidP="00AF59A0">
      <w:pPr>
        <w:pStyle w:val="Equationlegend"/>
        <w:rPr>
          <w:rFonts w:eastAsia="Calibri"/>
          <w:color w:val="000000"/>
          <w:lang w:val="en-GB"/>
        </w:rPr>
      </w:pPr>
      <w:r w:rsidRPr="00304846">
        <w:rPr>
          <w:rFonts w:eastAsia="Calibri"/>
          <w:color w:val="000000"/>
          <w:lang w:val="en-GB"/>
        </w:rPr>
        <w:tab/>
      </w:r>
      <w:r w:rsidRPr="00304846">
        <w:rPr>
          <w:color w:val="000000"/>
          <w:position w:val="-12"/>
          <w:lang w:val="en-GB"/>
        </w:rPr>
        <w:object w:dxaOrig="330" w:dyaOrig="360">
          <v:shape id="_x0000_i1029" type="#_x0000_t75" style="width:16.1pt;height:18.25pt" o:ole="">
            <v:imagedata r:id="rId29" o:title=""/>
          </v:shape>
          <o:OLEObject Type="Embed" ProgID="Equation.3" ShapeID="_x0000_i1029" DrawAspect="Content" ObjectID="_1486385368" r:id="rId34"/>
        </w:object>
      </w:r>
      <w:r w:rsidR="003B414E" w:rsidRPr="00304846">
        <w:rPr>
          <w:lang w:val="en-GB"/>
        </w:rPr>
        <w:t>:</w:t>
      </w:r>
      <w:r w:rsidRPr="00304846">
        <w:rPr>
          <w:rFonts w:eastAsia="Calibri"/>
          <w:color w:val="000000"/>
          <w:lang w:val="en-GB"/>
        </w:rPr>
        <w:tab/>
        <w:t>be the centre frequency (MHz) of one RF channel in the upper half of the band;</w:t>
      </w:r>
    </w:p>
    <w:p w:rsidR="00AF59A0" w:rsidRPr="00304846" w:rsidRDefault="00AF59A0" w:rsidP="00AF59A0">
      <w:pPr>
        <w:rPr>
          <w:rFonts w:asciiTheme="majorBidi" w:hAnsiTheme="majorBidi" w:cstheme="majorBidi"/>
          <w:lang w:val="en-GB" w:eastAsia="ja-JP"/>
        </w:rPr>
      </w:pPr>
      <w:r w:rsidRPr="00304846">
        <w:rPr>
          <w:rFonts w:asciiTheme="majorBidi" w:hAnsiTheme="majorBidi" w:cstheme="majorBidi"/>
          <w:lang w:val="en-GB"/>
        </w:rPr>
        <w:t>then the frequencies of individual channels are expressed by the following relationships:</w:t>
      </w:r>
    </w:p>
    <w:p w:rsidR="00AF59A0" w:rsidRPr="00304846" w:rsidRDefault="00AF59A0" w:rsidP="00AF59A0">
      <w:pPr>
        <w:tabs>
          <w:tab w:val="left" w:pos="709"/>
          <w:tab w:val="left" w:pos="1276"/>
          <w:tab w:val="left" w:pos="3544"/>
          <w:tab w:val="left" w:pos="3827"/>
          <w:tab w:val="left" w:pos="4111"/>
        </w:tabs>
        <w:spacing w:before="80"/>
        <w:ind w:left="794" w:hanging="794"/>
        <w:rPr>
          <w:rFonts w:asciiTheme="majorBidi" w:eastAsia="Calibri" w:hAnsiTheme="majorBidi" w:cstheme="majorBidi"/>
          <w:color w:val="000000"/>
          <w:lang w:val="en-GB"/>
        </w:rPr>
      </w:pPr>
      <w:r w:rsidRPr="00304846">
        <w:rPr>
          <w:rFonts w:asciiTheme="majorBidi" w:eastAsia="Calibri" w:hAnsiTheme="majorBidi" w:cstheme="majorBidi"/>
          <w:color w:val="000000"/>
          <w:lang w:val="en-GB"/>
        </w:rPr>
        <w:tab/>
        <w:t>lower half of the band:</w:t>
      </w:r>
      <w:r w:rsidRPr="00304846">
        <w:rPr>
          <w:rFonts w:asciiTheme="majorBidi" w:eastAsia="Calibri" w:hAnsiTheme="majorBidi" w:cstheme="majorBidi"/>
          <w:color w:val="000000"/>
          <w:lang w:val="en-GB"/>
        </w:rPr>
        <w:tab/>
      </w:r>
      <w:r w:rsidRPr="00304846">
        <w:rPr>
          <w:rFonts w:asciiTheme="majorBidi" w:eastAsia="Calibri" w:hAnsiTheme="majorBidi" w:cstheme="majorBidi"/>
          <w:i/>
          <w:color w:val="000000"/>
          <w:lang w:val="en-GB"/>
        </w:rPr>
        <w:t>f</w:t>
      </w:r>
      <w:r w:rsidRPr="00304846">
        <w:rPr>
          <w:rFonts w:asciiTheme="majorBidi" w:eastAsia="Calibri" w:hAnsiTheme="majorBidi" w:cstheme="majorBidi"/>
          <w:i/>
          <w:color w:val="000000"/>
          <w:position w:val="-4"/>
          <w:sz w:val="20"/>
          <w:lang w:val="en-GB"/>
        </w:rPr>
        <w:t>n</w:t>
      </w:r>
      <w:r w:rsidRPr="00304846">
        <w:rPr>
          <w:rFonts w:asciiTheme="majorBidi" w:eastAsia="Calibri" w:hAnsiTheme="majorBidi" w:cstheme="majorBidi"/>
          <w:i/>
          <w:color w:val="000000"/>
          <w:position w:val="-4"/>
          <w:sz w:val="16"/>
          <w:lang w:val="en-GB"/>
        </w:rPr>
        <w:tab/>
      </w:r>
      <w:r w:rsidRPr="00304846">
        <w:rPr>
          <w:rFonts w:asciiTheme="majorBidi" w:eastAsia="Calibri" w:hAnsiTheme="majorBidi" w:cstheme="majorBidi"/>
          <w:color w:val="000000"/>
          <w:lang w:val="en-GB"/>
        </w:rPr>
        <w:t>=</w:t>
      </w:r>
      <w:r w:rsidRPr="00304846">
        <w:rPr>
          <w:rFonts w:asciiTheme="majorBidi" w:eastAsia="Calibri" w:hAnsiTheme="majorBidi" w:cstheme="majorBidi"/>
          <w:color w:val="000000"/>
          <w:lang w:val="en-GB"/>
        </w:rPr>
        <w:tab/>
      </w:r>
      <w:r w:rsidRPr="00304846">
        <w:rPr>
          <w:rFonts w:asciiTheme="majorBidi" w:eastAsia="Calibri" w:hAnsiTheme="majorBidi" w:cstheme="majorBidi"/>
          <w:i/>
          <w:color w:val="000000"/>
          <w:lang w:val="en-GB"/>
        </w:rPr>
        <w:t>f</w:t>
      </w:r>
      <w:r w:rsidRPr="00304846">
        <w:rPr>
          <w:rFonts w:asciiTheme="majorBidi" w:eastAsia="Calibri" w:hAnsiTheme="majorBidi" w:cstheme="majorBidi"/>
          <w:color w:val="000000"/>
          <w:position w:val="-4"/>
          <w:sz w:val="20"/>
          <w:lang w:val="en-GB"/>
        </w:rPr>
        <w:t>0</w:t>
      </w:r>
      <w:r w:rsidRPr="00304846">
        <w:rPr>
          <w:rFonts w:asciiTheme="majorBidi" w:eastAsia="Calibri" w:hAnsiTheme="majorBidi" w:cstheme="majorBidi"/>
          <w:color w:val="000000"/>
          <w:lang w:val="en-GB"/>
        </w:rPr>
        <w:t> – 260 + 40 </w:t>
      </w:r>
      <w:r w:rsidRPr="00304846">
        <w:rPr>
          <w:rFonts w:asciiTheme="majorBidi" w:eastAsia="Calibri" w:hAnsiTheme="majorBidi" w:cstheme="majorBidi"/>
          <w:i/>
          <w:color w:val="000000"/>
          <w:lang w:val="en-GB"/>
        </w:rPr>
        <w:t>n</w:t>
      </w:r>
      <w:r w:rsidRPr="00304846">
        <w:rPr>
          <w:rFonts w:asciiTheme="majorBidi" w:eastAsia="Calibri" w:hAnsiTheme="majorBidi" w:cstheme="majorBidi"/>
          <w:color w:val="000000"/>
          <w:lang w:val="en-GB"/>
        </w:rPr>
        <w:tab/>
      </w:r>
      <w:r w:rsidRPr="00304846">
        <w:rPr>
          <w:rFonts w:asciiTheme="majorBidi" w:eastAsia="Calibri" w:hAnsiTheme="majorBidi" w:cstheme="majorBidi"/>
          <w:color w:val="000000"/>
          <w:lang w:val="en-GB"/>
        </w:rPr>
        <w:tab/>
        <w:t>MHz</w:t>
      </w:r>
    </w:p>
    <w:p w:rsidR="00AF59A0" w:rsidRPr="00304846" w:rsidRDefault="00AF59A0" w:rsidP="00AF59A0">
      <w:pPr>
        <w:tabs>
          <w:tab w:val="left" w:pos="709"/>
          <w:tab w:val="left" w:pos="1276"/>
          <w:tab w:val="left" w:pos="3416"/>
          <w:tab w:val="left" w:pos="3827"/>
          <w:tab w:val="left" w:pos="4111"/>
        </w:tabs>
        <w:spacing w:before="80"/>
        <w:ind w:left="794" w:hanging="794"/>
        <w:rPr>
          <w:rFonts w:asciiTheme="majorBidi" w:eastAsia="Calibri" w:hAnsiTheme="majorBidi" w:cstheme="majorBidi"/>
          <w:color w:val="000000"/>
          <w:lang w:val="en-GB"/>
        </w:rPr>
      </w:pPr>
      <w:r w:rsidRPr="00304846">
        <w:rPr>
          <w:rFonts w:asciiTheme="majorBidi" w:eastAsia="Calibri" w:hAnsiTheme="majorBidi" w:cstheme="majorBidi"/>
          <w:color w:val="000000"/>
          <w:lang w:val="en-GB"/>
        </w:rPr>
        <w:tab/>
        <w:t>upper half of the band:</w:t>
      </w:r>
      <w:r w:rsidRPr="00304846">
        <w:rPr>
          <w:rFonts w:asciiTheme="majorBidi" w:eastAsia="Calibri" w:hAnsiTheme="majorBidi" w:cstheme="majorBidi"/>
          <w:color w:val="000000"/>
          <w:lang w:val="en-GB"/>
        </w:rPr>
        <w:tab/>
      </w:r>
      <w:r w:rsidRPr="00304846">
        <w:rPr>
          <w:rFonts w:asciiTheme="majorBidi" w:hAnsiTheme="majorBidi" w:cstheme="majorBidi"/>
          <w:color w:val="000000"/>
          <w:position w:val="-12"/>
          <w:lang w:val="en-GB"/>
        </w:rPr>
        <w:object w:dxaOrig="330" w:dyaOrig="360">
          <v:shape id="_x0000_i1030" type="#_x0000_t75" style="width:16.1pt;height:18.25pt" o:ole="">
            <v:imagedata r:id="rId29" o:title=""/>
          </v:shape>
          <o:OLEObject Type="Embed" ProgID="Equation.3" ShapeID="_x0000_i1030" DrawAspect="Content" ObjectID="_1486385369" r:id="rId35"/>
        </w:object>
      </w:r>
      <w:r w:rsidRPr="00304846">
        <w:rPr>
          <w:rFonts w:asciiTheme="majorBidi" w:eastAsia="Calibri" w:hAnsiTheme="majorBidi" w:cstheme="majorBidi"/>
          <w:color w:val="000000"/>
          <w:lang w:val="en-GB"/>
        </w:rPr>
        <w:tab/>
        <w:t>=</w:t>
      </w:r>
      <w:r w:rsidRPr="00304846">
        <w:rPr>
          <w:rFonts w:asciiTheme="majorBidi" w:eastAsia="Calibri" w:hAnsiTheme="majorBidi" w:cstheme="majorBidi"/>
          <w:color w:val="000000"/>
          <w:lang w:val="en-GB"/>
        </w:rPr>
        <w:tab/>
      </w:r>
      <w:r w:rsidRPr="00304846">
        <w:rPr>
          <w:rFonts w:asciiTheme="majorBidi" w:eastAsia="Calibri" w:hAnsiTheme="majorBidi" w:cstheme="majorBidi"/>
          <w:i/>
          <w:color w:val="000000"/>
          <w:lang w:val="en-GB"/>
        </w:rPr>
        <w:t>f</w:t>
      </w:r>
      <w:r w:rsidRPr="00304846">
        <w:rPr>
          <w:rFonts w:asciiTheme="majorBidi" w:eastAsia="Calibri" w:hAnsiTheme="majorBidi" w:cstheme="majorBidi"/>
          <w:color w:val="000000"/>
          <w:position w:val="-4"/>
          <w:sz w:val="20"/>
          <w:lang w:val="en-GB"/>
        </w:rPr>
        <w:t>0</w:t>
      </w:r>
      <w:r w:rsidRPr="00304846">
        <w:rPr>
          <w:rFonts w:asciiTheme="majorBidi" w:eastAsia="Calibri" w:hAnsiTheme="majorBidi" w:cstheme="majorBidi"/>
          <w:color w:val="000000"/>
          <w:lang w:val="en-GB"/>
        </w:rPr>
        <w:t> – 20 + 40 </w:t>
      </w:r>
      <w:r w:rsidRPr="00304846">
        <w:rPr>
          <w:rFonts w:asciiTheme="majorBidi" w:eastAsia="Calibri" w:hAnsiTheme="majorBidi" w:cstheme="majorBidi"/>
          <w:i/>
          <w:color w:val="000000"/>
          <w:lang w:val="en-GB"/>
        </w:rPr>
        <w:t>n</w:t>
      </w:r>
      <w:r w:rsidRPr="00304846">
        <w:rPr>
          <w:rFonts w:asciiTheme="majorBidi" w:eastAsia="Calibri" w:hAnsiTheme="majorBidi" w:cstheme="majorBidi"/>
          <w:color w:val="000000"/>
          <w:lang w:val="en-GB"/>
        </w:rPr>
        <w:t xml:space="preserve"> </w:t>
      </w:r>
      <w:r w:rsidRPr="00304846">
        <w:rPr>
          <w:rFonts w:asciiTheme="majorBidi" w:eastAsia="Calibri" w:hAnsiTheme="majorBidi" w:cstheme="majorBidi"/>
          <w:color w:val="000000"/>
          <w:lang w:val="en-GB"/>
        </w:rPr>
        <w:tab/>
      </w:r>
      <w:r w:rsidRPr="00304846">
        <w:rPr>
          <w:rFonts w:asciiTheme="majorBidi" w:eastAsia="Calibri" w:hAnsiTheme="majorBidi" w:cstheme="majorBidi"/>
          <w:color w:val="000000"/>
          <w:lang w:val="en-GB"/>
        </w:rPr>
        <w:tab/>
        <w:t>MHz</w:t>
      </w:r>
    </w:p>
    <w:p w:rsidR="00AF59A0" w:rsidRPr="00304846" w:rsidRDefault="00AF59A0" w:rsidP="00AF59A0">
      <w:pPr>
        <w:rPr>
          <w:rFonts w:asciiTheme="majorBidi" w:hAnsiTheme="majorBidi" w:cstheme="majorBidi"/>
          <w:lang w:val="en-GB"/>
        </w:rPr>
      </w:pPr>
      <w:r w:rsidRPr="00304846">
        <w:rPr>
          <w:rFonts w:asciiTheme="majorBidi" w:hAnsiTheme="majorBidi" w:cstheme="majorBidi"/>
          <w:lang w:val="en-GB"/>
        </w:rPr>
        <w:t>where:</w:t>
      </w:r>
    </w:p>
    <w:p w:rsidR="00AF59A0" w:rsidRPr="00304846" w:rsidRDefault="00AF59A0" w:rsidP="00AF59A0">
      <w:pPr>
        <w:pStyle w:val="Equationlegend"/>
        <w:rPr>
          <w:rFonts w:eastAsia="Calibri"/>
          <w:lang w:val="en-GB"/>
        </w:rPr>
      </w:pPr>
      <w:r w:rsidRPr="00304846">
        <w:rPr>
          <w:rFonts w:eastAsia="Calibri"/>
          <w:lang w:val="en-GB"/>
        </w:rPr>
        <w:tab/>
      </w:r>
      <w:r w:rsidRPr="00304846">
        <w:rPr>
          <w:rFonts w:eastAsia="Calibri"/>
          <w:i/>
          <w:lang w:val="en-GB"/>
        </w:rPr>
        <w:t>n</w:t>
      </w:r>
      <w:r w:rsidRPr="00304846">
        <w:rPr>
          <w:rFonts w:eastAsia="Calibri"/>
          <w:lang w:val="en-GB"/>
        </w:rPr>
        <w:t> = </w:t>
      </w:r>
      <w:r w:rsidRPr="00304846">
        <w:rPr>
          <w:rFonts w:eastAsia="Calibri"/>
          <w:lang w:val="en-GB"/>
        </w:rPr>
        <w:tab/>
        <w:t>1, 2, 3, 4, 5, or 6.</w:t>
      </w:r>
    </w:p>
    <w:p w:rsidR="00AF59A0" w:rsidRPr="00304846" w:rsidRDefault="00AF59A0" w:rsidP="00AF59A0">
      <w:pPr>
        <w:pStyle w:val="FigureNo"/>
        <w:rPr>
          <w:lang w:val="en-GB" w:eastAsia="ja-JP"/>
        </w:rPr>
      </w:pPr>
      <w:r w:rsidRPr="00304846">
        <w:rPr>
          <w:lang w:val="en-GB" w:eastAsia="ja-JP"/>
        </w:rPr>
        <w:lastRenderedPageBreak/>
        <w:t>fIGURE 8</w:t>
      </w:r>
    </w:p>
    <w:p w:rsidR="00AF59A0" w:rsidRPr="00304846" w:rsidRDefault="00AF59A0" w:rsidP="00897639">
      <w:pPr>
        <w:pStyle w:val="Figuretitle"/>
        <w:rPr>
          <w:lang w:val="en-GB" w:eastAsia="ja-JP"/>
        </w:rPr>
      </w:pPr>
      <w:r w:rsidRPr="00304846">
        <w:rPr>
          <w:lang w:val="en-GB" w:eastAsia="ja-JP"/>
        </w:rPr>
        <w:t xml:space="preserve">40 MHz radio-frequency channel arrangement for radio-relay systems </w:t>
      </w:r>
      <w:r w:rsidRPr="00304846">
        <w:rPr>
          <w:lang w:val="en-GB" w:eastAsia="ja-JP"/>
        </w:rPr>
        <w:br/>
        <w:t>operating in the lower 6 GHz band</w:t>
      </w:r>
    </w:p>
    <w:p w:rsidR="00AF59A0" w:rsidRPr="00304846" w:rsidRDefault="00AF59A0" w:rsidP="00897639">
      <w:pPr>
        <w:pStyle w:val="Figuretitle"/>
        <w:rPr>
          <w:lang w:val="en-GB"/>
        </w:rPr>
      </w:pPr>
      <w:r w:rsidRPr="00304846">
        <w:rPr>
          <w:caps/>
          <w:lang w:val="en-GB"/>
        </w:rPr>
        <w:t>(A</w:t>
      </w:r>
      <w:r w:rsidRPr="00304846">
        <w:rPr>
          <w:lang w:val="en-GB"/>
        </w:rPr>
        <w:t xml:space="preserve">ll frequencies in </w:t>
      </w:r>
      <w:r w:rsidRPr="00304846">
        <w:rPr>
          <w:caps/>
          <w:lang w:val="en-GB"/>
        </w:rPr>
        <w:t>MH</w:t>
      </w:r>
      <w:r w:rsidRPr="00304846">
        <w:rPr>
          <w:lang w:val="en-GB"/>
        </w:rPr>
        <w:t>z</w:t>
      </w:r>
      <w:r w:rsidRPr="00304846">
        <w:rPr>
          <w:caps/>
          <w:lang w:val="en-GB"/>
        </w:rPr>
        <w:t>)</w:t>
      </w:r>
    </w:p>
    <w:p w:rsidR="00AF59A0" w:rsidRPr="00304846" w:rsidRDefault="00AF59A0" w:rsidP="003B414E">
      <w:pPr>
        <w:pStyle w:val="Figure"/>
        <w:rPr>
          <w:lang w:val="en-GB"/>
        </w:rPr>
      </w:pPr>
      <w:r w:rsidRPr="00304846">
        <w:rPr>
          <w:lang w:val="en-GB"/>
        </w:rPr>
        <w:object w:dxaOrig="7215" w:dyaOrig="3510">
          <v:shape id="_x0000_i1031" type="#_x0000_t75" style="width:360.55pt;height:175.15pt" o:ole="">
            <v:imagedata r:id="rId36" o:title=""/>
          </v:shape>
          <o:OLEObject Type="Embed" ProgID="CorelDRAW.Graphic.14" ShapeID="_x0000_i1031" DrawAspect="Content" ObjectID="_1486385370" r:id="rId37"/>
        </w:object>
      </w:r>
    </w:p>
    <w:p w:rsidR="00AF59A0" w:rsidRPr="00304846" w:rsidRDefault="00AF59A0" w:rsidP="003B414E">
      <w:pPr>
        <w:pStyle w:val="Heading1"/>
        <w:rPr>
          <w:lang w:val="en-GB"/>
        </w:rPr>
      </w:pPr>
      <w:r w:rsidRPr="00304846">
        <w:rPr>
          <w:lang w:val="en-GB"/>
        </w:rPr>
        <w:t>4</w:t>
      </w:r>
      <w:r w:rsidRPr="00304846">
        <w:rPr>
          <w:lang w:val="en-GB"/>
        </w:rPr>
        <w:tab/>
        <w:t>Analysis</w:t>
      </w:r>
    </w:p>
    <w:p w:rsidR="00AF59A0" w:rsidRPr="00304846" w:rsidRDefault="00AF59A0" w:rsidP="003B414E">
      <w:pPr>
        <w:pStyle w:val="Heading2"/>
        <w:rPr>
          <w:lang w:val="en-GB"/>
        </w:rPr>
      </w:pPr>
      <w:r w:rsidRPr="00304846">
        <w:rPr>
          <w:lang w:val="en-GB"/>
        </w:rPr>
        <w:t>4.1</w:t>
      </w:r>
      <w:r w:rsidRPr="00304846">
        <w:rPr>
          <w:lang w:val="en-GB"/>
        </w:rPr>
        <w:tab/>
        <w:t>Assumptions</w:t>
      </w:r>
    </w:p>
    <w:p w:rsidR="00AF59A0" w:rsidRPr="00304846" w:rsidRDefault="00AF59A0" w:rsidP="003B414E">
      <w:pPr>
        <w:rPr>
          <w:lang w:val="en-GB"/>
        </w:rPr>
      </w:pPr>
      <w:r w:rsidRPr="00304846">
        <w:rPr>
          <w:lang w:val="en-GB"/>
        </w:rPr>
        <w:t>The studies and calculations are proposed to be performed for IMT urban environment scenario. However the IMT base stations may be deployed only indoor and located at different building floors. point-to-point FS antennas are generally mounted on the masts with heights exceeding the level of surrounding urban area. For this scenario, alongside with indoor-to-outdoor penetration losses of interference from IMT base station transmitters to point-to-point FS receivers and main lobe orientation of point-to-point FS station antenna in respect to IMT base station locations, additional diffraction interference losses are possible due to clutter from local obstacles surrounding IMT base station transmitters.</w:t>
      </w:r>
    </w:p>
    <w:p w:rsidR="00AF59A0" w:rsidRPr="00304846" w:rsidRDefault="00AF59A0" w:rsidP="006255DA">
      <w:pPr>
        <w:rPr>
          <w:lang w:val="en-GB"/>
        </w:rPr>
      </w:pPr>
      <w:r w:rsidRPr="00304846">
        <w:rPr>
          <w:lang w:val="en-GB"/>
        </w:rPr>
        <w:t>The option of deployment for point-to-point FS stations and IMT stations under the above scenario is shown in Fig. 9.</w:t>
      </w:r>
    </w:p>
    <w:p w:rsidR="00AF59A0" w:rsidRPr="00304846" w:rsidRDefault="00AF59A0" w:rsidP="006255DA">
      <w:pPr>
        <w:pStyle w:val="FigureNo"/>
        <w:rPr>
          <w:lang w:val="en-GB"/>
        </w:rPr>
      </w:pPr>
      <w:r w:rsidRPr="00304846">
        <w:rPr>
          <w:lang w:val="en-GB"/>
        </w:rPr>
        <w:lastRenderedPageBreak/>
        <w:t>FIGURE 9</w:t>
      </w:r>
    </w:p>
    <w:p w:rsidR="00AF59A0" w:rsidRPr="00304846" w:rsidRDefault="00AF59A0" w:rsidP="006255DA">
      <w:pPr>
        <w:pStyle w:val="Figuretitle"/>
        <w:rPr>
          <w:lang w:val="en-GB"/>
        </w:rPr>
      </w:pPr>
      <w:r w:rsidRPr="00304846">
        <w:rPr>
          <w:lang w:val="en-GB"/>
        </w:rPr>
        <w:t>Urban interference scenario</w:t>
      </w:r>
    </w:p>
    <w:p w:rsidR="00AF59A0" w:rsidRPr="00304846" w:rsidRDefault="00AF59A0" w:rsidP="006255DA">
      <w:pPr>
        <w:pStyle w:val="Figure"/>
        <w:rPr>
          <w:b/>
          <w:sz w:val="20"/>
          <w:lang w:val="en-GB" w:eastAsia="ja-JP"/>
        </w:rPr>
      </w:pPr>
      <w:r w:rsidRPr="00304846">
        <w:rPr>
          <w:lang w:val="en-GB"/>
        </w:rPr>
        <w:object w:dxaOrig="6977" w:dyaOrig="4844">
          <v:shape id="_x0000_i1032" type="#_x0000_t75" style="width:348.7pt;height:242.35pt" o:ole="" o:bordertopcolor="this" o:borderleftcolor="this" o:borderbottomcolor="this" o:borderrightcolor="this">
            <v:imagedata r:id="rId38" o:title=""/>
            <w10:bordertop type="single" width="12"/>
            <w10:borderleft type="single" width="12"/>
            <w10:borderbottom type="single" width="12"/>
            <w10:borderright type="single" width="12"/>
          </v:shape>
          <o:OLEObject Type="Embed" ProgID="CorelDraw.Graphic.16" ShapeID="_x0000_i1032" DrawAspect="Content" ObjectID="_1486385371" r:id="rId39"/>
        </w:object>
      </w:r>
    </w:p>
    <w:p w:rsidR="00AF59A0" w:rsidRPr="00304846" w:rsidRDefault="00AF59A0" w:rsidP="006255DA">
      <w:pPr>
        <w:pStyle w:val="Heading2"/>
        <w:rPr>
          <w:lang w:val="en-GB"/>
        </w:rPr>
      </w:pPr>
      <w:r w:rsidRPr="00304846">
        <w:rPr>
          <w:lang w:val="en-GB"/>
        </w:rPr>
        <w:t>4.2</w:t>
      </w:r>
      <w:r w:rsidRPr="00304846">
        <w:rPr>
          <w:lang w:val="en-GB"/>
        </w:rPr>
        <w:tab/>
        <w:t>Methodology</w:t>
      </w:r>
    </w:p>
    <w:p w:rsidR="00AF59A0" w:rsidRPr="00304846" w:rsidRDefault="00AF59A0" w:rsidP="006255DA">
      <w:pPr>
        <w:pStyle w:val="Heading3"/>
        <w:rPr>
          <w:lang w:val="en-GB" w:eastAsia="zh-CN"/>
        </w:rPr>
      </w:pPr>
      <w:r w:rsidRPr="00304846">
        <w:rPr>
          <w:lang w:val="en-GB" w:eastAsia="zh-CN"/>
        </w:rPr>
        <w:t>4.2.1</w:t>
      </w:r>
      <w:r w:rsidRPr="00304846">
        <w:rPr>
          <w:lang w:val="en-GB"/>
        </w:rPr>
        <w:tab/>
        <w:t>Propagation models</w:t>
      </w:r>
    </w:p>
    <w:p w:rsidR="00AF59A0" w:rsidRPr="00304846" w:rsidRDefault="00AF59A0" w:rsidP="006255DA">
      <w:pPr>
        <w:rPr>
          <w:lang w:val="en-GB"/>
        </w:rPr>
      </w:pPr>
      <w:r w:rsidRPr="00304846">
        <w:rPr>
          <w:lang w:val="en-GB"/>
        </w:rPr>
        <w:t>The propagation model is from Recommendation ITU-R P.452-14</w:t>
      </w:r>
      <w:r w:rsidRPr="00304846">
        <w:rPr>
          <w:lang w:val="en-GB" w:eastAsia="zh-CN"/>
        </w:rPr>
        <w:t>.</w:t>
      </w:r>
    </w:p>
    <w:p w:rsidR="00AF59A0" w:rsidRPr="00304846" w:rsidRDefault="00AF59A0" w:rsidP="006255DA">
      <w:pPr>
        <w:rPr>
          <w:lang w:val="en-GB"/>
        </w:rPr>
      </w:pPr>
      <w:r w:rsidRPr="00304846">
        <w:rPr>
          <w:lang w:val="en-GB"/>
        </w:rPr>
        <w:t>Basic transmission loss</w:t>
      </w:r>
      <w:r w:rsidRPr="00304846">
        <w:rPr>
          <w:lang w:val="en-GB" w:eastAsia="zh-CN"/>
        </w:rPr>
        <w:t xml:space="preserve"> is from</w:t>
      </w:r>
      <w:r w:rsidRPr="00304846">
        <w:rPr>
          <w:lang w:val="en-GB"/>
        </w:rPr>
        <w:t xml:space="preserve"> Recommendation</w:t>
      </w:r>
      <w:r w:rsidRPr="00304846">
        <w:rPr>
          <w:lang w:val="en-GB" w:eastAsia="zh-CN"/>
        </w:rPr>
        <w:t xml:space="preserve"> </w:t>
      </w:r>
      <w:r w:rsidRPr="00304846">
        <w:rPr>
          <w:lang w:val="en-GB"/>
        </w:rPr>
        <w:t>ITU-R P.452-14</w:t>
      </w:r>
      <w:r w:rsidRPr="00304846">
        <w:rPr>
          <w:lang w:val="en-GB" w:eastAsia="zh-CN"/>
        </w:rPr>
        <w:t xml:space="preserve"> as follows</w:t>
      </w:r>
      <w:r w:rsidRPr="00304846">
        <w:rPr>
          <w:lang w:val="en-GB"/>
        </w:rPr>
        <w:t>:</w:t>
      </w:r>
    </w:p>
    <w:p w:rsidR="00AF59A0" w:rsidRPr="00304846" w:rsidRDefault="006255DA" w:rsidP="006B3194">
      <w:pPr>
        <w:pStyle w:val="Equation"/>
        <w:tabs>
          <w:tab w:val="left" w:pos="8505"/>
        </w:tabs>
        <w:rPr>
          <w:lang w:val="en-GB"/>
        </w:rPr>
      </w:pPr>
      <w:r w:rsidRPr="00304846">
        <w:rPr>
          <w:lang w:val="en-GB"/>
        </w:rPr>
        <w:tab/>
      </w:r>
      <w:r w:rsidRPr="00304846">
        <w:rPr>
          <w:lang w:val="en-GB"/>
        </w:rPr>
        <w:tab/>
      </w:r>
      <w:r w:rsidR="00AF59A0" w:rsidRPr="00304846">
        <w:rPr>
          <w:i/>
          <w:iCs/>
          <w:lang w:val="en-GB"/>
        </w:rPr>
        <w:t>L</w:t>
      </w:r>
      <w:r w:rsidR="00AF59A0" w:rsidRPr="00304846">
        <w:rPr>
          <w:rFonts w:asciiTheme="minorHAnsi" w:hAnsiTheme="minorHAnsi" w:cstheme="minorHAnsi"/>
          <w:i/>
          <w:iCs/>
          <w:vertAlign w:val="subscript"/>
          <w:lang w:val="en-GB" w:eastAsia="fr-FR"/>
        </w:rPr>
        <w:t>prop</w:t>
      </w:r>
      <w:r w:rsidR="00AF59A0" w:rsidRPr="00304846">
        <w:rPr>
          <w:lang w:val="en-GB"/>
        </w:rPr>
        <w:t xml:space="preserve"> (</w:t>
      </w:r>
      <w:r w:rsidR="00AF59A0" w:rsidRPr="00304846">
        <w:rPr>
          <w:i/>
          <w:iCs/>
          <w:lang w:val="en-GB"/>
        </w:rPr>
        <w:t>d</w:t>
      </w:r>
      <w:r w:rsidR="00AF59A0" w:rsidRPr="00304846">
        <w:rPr>
          <w:lang w:val="en-GB"/>
        </w:rPr>
        <w:t xml:space="preserve">) = 92.5 + 20 log </w:t>
      </w:r>
      <w:r w:rsidR="00AF59A0" w:rsidRPr="00304846">
        <w:rPr>
          <w:i/>
          <w:lang w:val="en-GB"/>
        </w:rPr>
        <w:t>f</w:t>
      </w:r>
      <w:r w:rsidR="00AF59A0" w:rsidRPr="00304846">
        <w:rPr>
          <w:lang w:val="en-GB"/>
        </w:rPr>
        <w:t xml:space="preserve"> + 20 log </w:t>
      </w:r>
      <w:r w:rsidR="00AF59A0" w:rsidRPr="00304846">
        <w:rPr>
          <w:i/>
          <w:iCs/>
          <w:lang w:val="en-GB"/>
        </w:rPr>
        <w:t>d</w:t>
      </w:r>
      <w:r w:rsidR="00AF59A0" w:rsidRPr="00304846">
        <w:rPr>
          <w:lang w:val="en-GB"/>
        </w:rPr>
        <w:t xml:space="preserve"> + </w:t>
      </w:r>
      <w:r w:rsidR="00AF59A0" w:rsidRPr="00304846">
        <w:rPr>
          <w:i/>
          <w:iCs/>
          <w:lang w:val="en-GB"/>
        </w:rPr>
        <w:t>L</w:t>
      </w:r>
      <w:r w:rsidR="00AF59A0" w:rsidRPr="00304846">
        <w:rPr>
          <w:i/>
          <w:iCs/>
          <w:vertAlign w:val="subscript"/>
          <w:lang w:val="en-GB"/>
        </w:rPr>
        <w:t>d</w:t>
      </w:r>
      <w:r w:rsidR="00AF59A0" w:rsidRPr="00304846">
        <w:rPr>
          <w:iCs/>
          <w:vertAlign w:val="subscript"/>
          <w:lang w:val="en-GB"/>
        </w:rPr>
        <w:t>50</w:t>
      </w:r>
      <w:r w:rsidR="00AF59A0" w:rsidRPr="00304846">
        <w:rPr>
          <w:lang w:val="en-GB"/>
        </w:rPr>
        <w:t xml:space="preserve"> + </w:t>
      </w:r>
      <w:r w:rsidR="00AF59A0" w:rsidRPr="00304846">
        <w:rPr>
          <w:i/>
          <w:iCs/>
          <w:lang w:val="en-GB"/>
        </w:rPr>
        <w:t>A</w:t>
      </w:r>
      <w:r w:rsidR="00AF59A0" w:rsidRPr="00304846">
        <w:rPr>
          <w:i/>
          <w:iCs/>
          <w:vertAlign w:val="subscript"/>
          <w:lang w:val="en-GB"/>
        </w:rPr>
        <w:t>hTx</w:t>
      </w:r>
      <w:r w:rsidR="00AF59A0" w:rsidRPr="00304846">
        <w:rPr>
          <w:lang w:val="en-GB"/>
        </w:rPr>
        <w:t xml:space="preserve"> + </w:t>
      </w:r>
      <w:r w:rsidR="00AF59A0" w:rsidRPr="00304846">
        <w:rPr>
          <w:i/>
          <w:iCs/>
          <w:lang w:val="en-GB"/>
        </w:rPr>
        <w:t>A</w:t>
      </w:r>
      <w:r w:rsidR="00AF59A0" w:rsidRPr="00304846">
        <w:rPr>
          <w:i/>
          <w:iCs/>
          <w:vertAlign w:val="subscript"/>
          <w:lang w:val="en-GB"/>
        </w:rPr>
        <w:t>hRx</w:t>
      </w:r>
      <w:r w:rsidR="00452441" w:rsidRPr="00304846">
        <w:rPr>
          <w:lang w:val="en-GB"/>
        </w:rPr>
        <w:t>             </w:t>
      </w:r>
      <w:r w:rsidR="00AF59A0" w:rsidRPr="00304846">
        <w:rPr>
          <w:lang w:val="en-GB"/>
        </w:rPr>
        <w:t>dB</w:t>
      </w:r>
    </w:p>
    <w:p w:rsidR="00AF59A0" w:rsidRPr="00304846" w:rsidRDefault="00AF59A0" w:rsidP="00AF59A0">
      <w:pPr>
        <w:spacing w:before="0"/>
        <w:rPr>
          <w:lang w:val="en-GB" w:eastAsia="zh-CN"/>
        </w:rPr>
      </w:pPr>
      <w:r w:rsidRPr="00304846">
        <w:rPr>
          <w:lang w:val="en-GB"/>
        </w:rPr>
        <w:t>where:</w:t>
      </w:r>
    </w:p>
    <w:p w:rsidR="00AF59A0" w:rsidRPr="00304846" w:rsidRDefault="00AF59A0" w:rsidP="00AF59A0">
      <w:pPr>
        <w:pStyle w:val="Equationlegend"/>
        <w:rPr>
          <w:lang w:val="en-GB" w:eastAsia="zh-CN"/>
        </w:rPr>
      </w:pPr>
      <w:r w:rsidRPr="00304846">
        <w:rPr>
          <w:lang w:val="en-GB" w:eastAsia="zh-CN"/>
        </w:rPr>
        <w:tab/>
      </w:r>
      <w:r w:rsidRPr="00304846">
        <w:rPr>
          <w:i/>
          <w:iCs/>
          <w:lang w:val="en-GB"/>
        </w:rPr>
        <w:t>f</w:t>
      </w:r>
      <w:r w:rsidRPr="00304846">
        <w:rPr>
          <w:lang w:val="en-GB"/>
        </w:rPr>
        <w:t xml:space="preserve"> </w:t>
      </w:r>
      <w:r w:rsidRPr="00304846">
        <w:rPr>
          <w:iCs/>
          <w:lang w:val="en-GB"/>
        </w:rPr>
        <w:t>:</w:t>
      </w:r>
      <w:r w:rsidR="006255DA" w:rsidRPr="00304846">
        <w:rPr>
          <w:lang w:val="en-GB"/>
        </w:rPr>
        <w:tab/>
        <w:t>frequency (GHz)</w:t>
      </w:r>
    </w:p>
    <w:p w:rsidR="00AF59A0" w:rsidRPr="00304846" w:rsidRDefault="00AF59A0" w:rsidP="00AF59A0">
      <w:pPr>
        <w:pStyle w:val="Equationlegend"/>
        <w:rPr>
          <w:lang w:val="en-GB" w:eastAsia="zh-CN"/>
        </w:rPr>
      </w:pPr>
      <w:r w:rsidRPr="00304846">
        <w:rPr>
          <w:lang w:val="en-GB" w:eastAsia="zh-CN"/>
        </w:rPr>
        <w:tab/>
      </w:r>
      <w:r w:rsidRPr="00304846">
        <w:rPr>
          <w:i/>
          <w:iCs/>
          <w:lang w:val="en-GB"/>
        </w:rPr>
        <w:t>d</w:t>
      </w:r>
      <w:r w:rsidRPr="00304846">
        <w:rPr>
          <w:lang w:val="en-GB"/>
        </w:rPr>
        <w:t xml:space="preserve"> </w:t>
      </w:r>
      <w:r w:rsidRPr="00304846">
        <w:rPr>
          <w:iCs/>
          <w:lang w:val="en-GB"/>
        </w:rPr>
        <w:t>:</w:t>
      </w:r>
      <w:r w:rsidR="006255DA" w:rsidRPr="00304846">
        <w:rPr>
          <w:lang w:val="en-GB"/>
        </w:rPr>
        <w:tab/>
        <w:t>path length (km)</w:t>
      </w:r>
    </w:p>
    <w:p w:rsidR="00AF59A0" w:rsidRPr="00304846" w:rsidRDefault="00AF59A0" w:rsidP="00AF59A0">
      <w:pPr>
        <w:pStyle w:val="Equationlegend"/>
        <w:rPr>
          <w:lang w:val="en-GB" w:eastAsia="zh-CN"/>
        </w:rPr>
      </w:pPr>
      <w:r w:rsidRPr="00304846">
        <w:rPr>
          <w:lang w:val="en-GB" w:eastAsia="zh-CN"/>
        </w:rPr>
        <w:tab/>
      </w:r>
      <w:r w:rsidRPr="00304846">
        <w:rPr>
          <w:i/>
          <w:iCs/>
          <w:lang w:val="en-GB"/>
        </w:rPr>
        <w:t>L</w:t>
      </w:r>
      <w:r w:rsidRPr="00304846">
        <w:rPr>
          <w:i/>
          <w:iCs/>
          <w:vertAlign w:val="subscript"/>
          <w:lang w:val="en-GB"/>
        </w:rPr>
        <w:t>d</w:t>
      </w:r>
      <w:r w:rsidRPr="00304846">
        <w:rPr>
          <w:iCs/>
          <w:vertAlign w:val="subscript"/>
          <w:lang w:val="en-GB"/>
        </w:rPr>
        <w:t>50</w:t>
      </w:r>
      <w:r w:rsidRPr="00304846">
        <w:rPr>
          <w:lang w:val="en-GB"/>
        </w:rPr>
        <w:t>:</w:t>
      </w:r>
      <w:r w:rsidRPr="00304846">
        <w:rPr>
          <w:lang w:val="en-GB"/>
        </w:rPr>
        <w:tab/>
        <w:t>the median diffraction loss (dB):</w:t>
      </w:r>
    </w:p>
    <w:p w:rsidR="00AF59A0" w:rsidRPr="00304846" w:rsidRDefault="00AF59A0" w:rsidP="006255DA">
      <w:pPr>
        <w:pStyle w:val="Equation"/>
        <w:rPr>
          <w:lang w:val="en-GB" w:eastAsia="zh-CN"/>
        </w:rPr>
      </w:pPr>
      <w:r w:rsidRPr="00304846">
        <w:rPr>
          <w:lang w:val="en-GB" w:eastAsia="zh-CN"/>
        </w:rPr>
        <w:tab/>
      </w:r>
      <w:r w:rsidR="006255DA" w:rsidRPr="00304846">
        <w:rPr>
          <w:lang w:val="en-GB" w:eastAsia="zh-CN"/>
        </w:rPr>
        <w:tab/>
      </w:r>
      <w:r w:rsidRPr="00304846">
        <w:rPr>
          <w:lang w:val="en-GB"/>
        </w:rPr>
        <w:object w:dxaOrig="6940" w:dyaOrig="1280">
          <v:shape id="_x0000_i1033" type="#_x0000_t75" style="width:347.65pt;height:63.95pt" o:ole="">
            <v:imagedata r:id="rId40" o:title=""/>
          </v:shape>
          <o:OLEObject Type="Embed" ProgID="Equation.3" ShapeID="_x0000_i1033" DrawAspect="Content" ObjectID="_1486385372" r:id="rId41"/>
        </w:object>
      </w:r>
    </w:p>
    <w:p w:rsidR="00AF59A0" w:rsidRPr="00304846" w:rsidRDefault="00AF59A0" w:rsidP="00AF59A0">
      <w:pPr>
        <w:tabs>
          <w:tab w:val="center" w:pos="4820"/>
          <w:tab w:val="right" w:pos="9639"/>
        </w:tabs>
        <w:spacing w:before="0"/>
        <w:rPr>
          <w:lang w:val="en-GB"/>
        </w:rPr>
      </w:pPr>
      <w:r w:rsidRPr="00304846">
        <w:rPr>
          <w:lang w:val="en-GB"/>
        </w:rPr>
        <w:t>where:</w:t>
      </w:r>
    </w:p>
    <w:p w:rsidR="00AF59A0" w:rsidRPr="00304846" w:rsidRDefault="00AF59A0" w:rsidP="006255DA">
      <w:pPr>
        <w:pStyle w:val="Equationlegend"/>
        <w:rPr>
          <w:iCs/>
          <w:lang w:val="en-GB" w:eastAsia="zh-CN"/>
        </w:rPr>
      </w:pPr>
      <w:r w:rsidRPr="00304846">
        <w:rPr>
          <w:lang w:val="en-GB" w:eastAsia="zh-CN"/>
        </w:rPr>
        <w:tab/>
      </w:r>
      <w:r w:rsidRPr="00304846">
        <w:rPr>
          <w:i/>
          <w:iCs/>
          <w:lang w:val="en-GB"/>
        </w:rPr>
        <w:t>L</w:t>
      </w:r>
      <w:r w:rsidRPr="00304846">
        <w:rPr>
          <w:i/>
          <w:iCs/>
          <w:vertAlign w:val="subscript"/>
          <w:lang w:val="en-GB"/>
        </w:rPr>
        <w:t>m</w:t>
      </w:r>
      <w:r w:rsidRPr="00304846">
        <w:rPr>
          <w:iCs/>
          <w:vertAlign w:val="subscript"/>
          <w:lang w:val="en-GB"/>
        </w:rPr>
        <w:t>50</w:t>
      </w:r>
      <w:r w:rsidRPr="00304846">
        <w:rPr>
          <w:lang w:val="en-GB"/>
        </w:rPr>
        <w:t>:</w:t>
      </w:r>
      <w:r w:rsidRPr="00304846">
        <w:rPr>
          <w:lang w:val="en-GB"/>
        </w:rPr>
        <w:tab/>
        <w:t>median knife-edge diffraction loss for the main edge</w:t>
      </w:r>
      <w:r w:rsidRPr="00304846">
        <w:rPr>
          <w:lang w:val="en-GB" w:eastAsia="zh-CN"/>
        </w:rPr>
        <w:t xml:space="preserve"> </w:t>
      </w:r>
      <w:r w:rsidRPr="00304846">
        <w:rPr>
          <w:iCs/>
          <w:lang w:val="en-GB" w:eastAsia="zh-CN"/>
        </w:rPr>
        <w:t>(</w:t>
      </w:r>
      <w:r w:rsidRPr="00304846">
        <w:rPr>
          <w:lang w:val="en-GB"/>
        </w:rPr>
        <w:t>dB</w:t>
      </w:r>
      <w:r w:rsidR="006255DA" w:rsidRPr="00304846">
        <w:rPr>
          <w:iCs/>
          <w:lang w:val="en-GB" w:eastAsia="zh-CN"/>
        </w:rPr>
        <w:t>)</w:t>
      </w:r>
    </w:p>
    <w:p w:rsidR="00AF59A0" w:rsidRPr="00304846" w:rsidRDefault="00AF59A0" w:rsidP="006255DA">
      <w:pPr>
        <w:pStyle w:val="Equationlegend"/>
        <w:rPr>
          <w:iCs/>
          <w:lang w:val="en-GB" w:eastAsia="zh-CN"/>
        </w:rPr>
      </w:pPr>
      <w:r w:rsidRPr="00304846">
        <w:rPr>
          <w:lang w:val="en-GB" w:eastAsia="zh-CN"/>
        </w:rPr>
        <w:tab/>
      </w:r>
      <w:r w:rsidRPr="00304846">
        <w:rPr>
          <w:i/>
          <w:iCs/>
          <w:lang w:val="en-GB"/>
        </w:rPr>
        <w:t>L</w:t>
      </w:r>
      <w:r w:rsidRPr="00304846">
        <w:rPr>
          <w:i/>
          <w:iCs/>
          <w:vertAlign w:val="subscript"/>
          <w:lang w:val="en-GB"/>
        </w:rPr>
        <w:t>t</w:t>
      </w:r>
      <w:r w:rsidRPr="00304846">
        <w:rPr>
          <w:iCs/>
          <w:vertAlign w:val="subscript"/>
          <w:lang w:val="en-GB"/>
        </w:rPr>
        <w:t>50</w:t>
      </w:r>
      <w:r w:rsidRPr="00304846">
        <w:rPr>
          <w:lang w:val="en-GB"/>
        </w:rPr>
        <w:t>:</w:t>
      </w:r>
      <w:r w:rsidRPr="00304846">
        <w:rPr>
          <w:lang w:val="en-GB"/>
        </w:rPr>
        <w:tab/>
        <w:t>median knife-edge diffraction loss for the transmitter-side secondary edge</w:t>
      </w:r>
      <w:r w:rsidRPr="00304846">
        <w:rPr>
          <w:lang w:val="en-GB" w:eastAsia="zh-CN"/>
        </w:rPr>
        <w:t xml:space="preserve"> </w:t>
      </w:r>
      <w:r w:rsidRPr="00304846">
        <w:rPr>
          <w:iCs/>
          <w:lang w:val="en-GB" w:eastAsia="zh-CN"/>
        </w:rPr>
        <w:t>(</w:t>
      </w:r>
      <w:r w:rsidRPr="00304846">
        <w:rPr>
          <w:lang w:val="en-GB"/>
        </w:rPr>
        <w:t>dB</w:t>
      </w:r>
      <w:r w:rsidR="006255DA" w:rsidRPr="00304846">
        <w:rPr>
          <w:iCs/>
          <w:lang w:val="en-GB" w:eastAsia="zh-CN"/>
        </w:rPr>
        <w:t>)</w:t>
      </w:r>
    </w:p>
    <w:p w:rsidR="00AF59A0" w:rsidRPr="00304846" w:rsidRDefault="00AF59A0" w:rsidP="006255DA">
      <w:pPr>
        <w:pStyle w:val="Equationlegend"/>
        <w:rPr>
          <w:lang w:val="en-GB" w:eastAsia="zh-CN"/>
        </w:rPr>
      </w:pPr>
      <w:r w:rsidRPr="00304846">
        <w:rPr>
          <w:lang w:val="en-GB" w:eastAsia="zh-CN"/>
        </w:rPr>
        <w:tab/>
      </w:r>
      <w:r w:rsidRPr="00304846">
        <w:rPr>
          <w:i/>
          <w:iCs/>
          <w:lang w:val="en-GB"/>
        </w:rPr>
        <w:t>L</w:t>
      </w:r>
      <w:r w:rsidRPr="00304846">
        <w:rPr>
          <w:i/>
          <w:iCs/>
          <w:vertAlign w:val="subscript"/>
          <w:lang w:val="en-GB"/>
        </w:rPr>
        <w:t>r</w:t>
      </w:r>
      <w:r w:rsidRPr="00304846">
        <w:rPr>
          <w:iCs/>
          <w:vertAlign w:val="subscript"/>
          <w:lang w:val="en-GB"/>
        </w:rPr>
        <w:t>50</w:t>
      </w:r>
      <w:r w:rsidRPr="00304846">
        <w:rPr>
          <w:lang w:val="en-GB"/>
        </w:rPr>
        <w:t xml:space="preserve">: </w:t>
      </w:r>
      <w:r w:rsidRPr="00304846">
        <w:rPr>
          <w:lang w:val="en-GB"/>
        </w:rPr>
        <w:tab/>
        <w:t>median knife-edge diffraction loss for the receiver-side secondary edge</w:t>
      </w:r>
      <w:r w:rsidRPr="00304846">
        <w:rPr>
          <w:lang w:val="en-GB" w:eastAsia="zh-CN"/>
        </w:rPr>
        <w:t xml:space="preserve"> </w:t>
      </w:r>
      <w:r w:rsidRPr="00304846">
        <w:rPr>
          <w:iCs/>
          <w:lang w:val="en-GB" w:eastAsia="zh-CN"/>
        </w:rPr>
        <w:t>(</w:t>
      </w:r>
      <w:r w:rsidRPr="00304846">
        <w:rPr>
          <w:lang w:val="en-GB"/>
        </w:rPr>
        <w:t>dB</w:t>
      </w:r>
      <w:r w:rsidRPr="00304846">
        <w:rPr>
          <w:iCs/>
          <w:lang w:val="en-GB" w:eastAsia="zh-CN"/>
        </w:rPr>
        <w:t>)</w:t>
      </w:r>
    </w:p>
    <w:p w:rsidR="00AF59A0" w:rsidRPr="00304846" w:rsidRDefault="00AF59A0" w:rsidP="006255DA">
      <w:pPr>
        <w:pStyle w:val="Equationlegend"/>
        <w:rPr>
          <w:iCs/>
          <w:lang w:val="en-GB" w:eastAsia="zh-CN"/>
        </w:rPr>
      </w:pPr>
      <w:r w:rsidRPr="00304846">
        <w:rPr>
          <w:lang w:val="en-GB" w:eastAsia="zh-CN"/>
        </w:rPr>
        <w:tab/>
      </w:r>
      <w:r w:rsidRPr="00304846">
        <w:rPr>
          <w:iCs/>
          <w:lang w:val="en-GB"/>
        </w:rPr>
        <w:sym w:font="Symbol" w:char="F06E"/>
      </w:r>
      <w:r w:rsidRPr="00304846">
        <w:rPr>
          <w:i/>
          <w:iCs/>
          <w:vertAlign w:val="subscript"/>
          <w:lang w:val="en-GB"/>
        </w:rPr>
        <w:t>m</w:t>
      </w:r>
      <w:r w:rsidRPr="00304846">
        <w:rPr>
          <w:iCs/>
          <w:vertAlign w:val="subscript"/>
          <w:lang w:val="en-GB"/>
        </w:rPr>
        <w:t>50</w:t>
      </w:r>
      <w:r w:rsidRPr="00304846">
        <w:rPr>
          <w:lang w:val="en-GB"/>
        </w:rPr>
        <w:t xml:space="preserve">: </w:t>
      </w:r>
      <w:r w:rsidRPr="00304846">
        <w:rPr>
          <w:lang w:val="en-GB"/>
        </w:rPr>
        <w:tab/>
        <w:t>diffraction parameter</w:t>
      </w:r>
      <w:r w:rsidRPr="00304846">
        <w:rPr>
          <w:lang w:val="en-GB" w:eastAsia="zh-CN"/>
        </w:rPr>
        <w:t xml:space="preserve"> of the </w:t>
      </w:r>
      <w:r w:rsidRPr="00304846">
        <w:rPr>
          <w:lang w:val="en-GB"/>
        </w:rPr>
        <w:t>main edge</w:t>
      </w:r>
      <w:r w:rsidRPr="00304846">
        <w:rPr>
          <w:iCs/>
          <w:lang w:val="en-GB" w:eastAsia="zh-CN"/>
        </w:rPr>
        <w:t xml:space="preserve"> (</w:t>
      </w:r>
      <w:r w:rsidRPr="00304846">
        <w:rPr>
          <w:lang w:val="en-GB"/>
        </w:rPr>
        <w:t>dB</w:t>
      </w:r>
      <w:r w:rsidR="006255DA" w:rsidRPr="00304846">
        <w:rPr>
          <w:iCs/>
          <w:lang w:val="en-GB" w:eastAsia="zh-CN"/>
        </w:rPr>
        <w:t>)</w:t>
      </w:r>
    </w:p>
    <w:p w:rsidR="00AF59A0" w:rsidRPr="00304846" w:rsidRDefault="00AF59A0" w:rsidP="006255DA">
      <w:pPr>
        <w:pStyle w:val="Equationlegend"/>
        <w:rPr>
          <w:color w:val="000000"/>
          <w:lang w:val="en-GB"/>
        </w:rPr>
      </w:pPr>
      <w:r w:rsidRPr="00304846">
        <w:rPr>
          <w:iCs/>
          <w:lang w:val="en-GB" w:eastAsia="zh-CN"/>
        </w:rPr>
        <w:tab/>
      </w:r>
      <w:r w:rsidRPr="00304846">
        <w:rPr>
          <w:i/>
          <w:iCs/>
          <w:lang w:val="en-GB"/>
        </w:rPr>
        <w:t>A</w:t>
      </w:r>
      <w:r w:rsidRPr="00304846">
        <w:rPr>
          <w:i/>
          <w:iCs/>
          <w:vertAlign w:val="subscript"/>
          <w:lang w:val="en-GB"/>
        </w:rPr>
        <w:t>hTx</w:t>
      </w:r>
      <w:r w:rsidRPr="00304846">
        <w:rPr>
          <w:vertAlign w:val="subscript"/>
          <w:lang w:val="en-GB"/>
        </w:rPr>
        <w:t>:</w:t>
      </w:r>
      <w:r w:rsidRPr="00304846">
        <w:rPr>
          <w:lang w:val="en-GB"/>
        </w:rPr>
        <w:tab/>
      </w:r>
      <w:r w:rsidRPr="00304846">
        <w:rPr>
          <w:color w:val="000000"/>
          <w:lang w:val="en-GB"/>
        </w:rPr>
        <w:t>additional losses to account for clutter</w:t>
      </w:r>
      <w:r w:rsidR="006255DA" w:rsidRPr="00304846">
        <w:rPr>
          <w:color w:val="000000"/>
          <w:lang w:val="en-GB"/>
        </w:rPr>
        <w:t xml:space="preserve"> shielding the transmitter (dB)</w:t>
      </w:r>
    </w:p>
    <w:p w:rsidR="00AF59A0" w:rsidRPr="00304846" w:rsidRDefault="00AF59A0" w:rsidP="006255DA">
      <w:pPr>
        <w:pStyle w:val="Equationlegend"/>
        <w:rPr>
          <w:color w:val="000000"/>
          <w:lang w:val="en-GB"/>
        </w:rPr>
      </w:pPr>
      <w:r w:rsidRPr="00304846">
        <w:rPr>
          <w:lang w:val="en-GB"/>
        </w:rPr>
        <w:tab/>
      </w:r>
      <w:r w:rsidRPr="00304846">
        <w:rPr>
          <w:i/>
          <w:iCs/>
          <w:lang w:val="en-GB"/>
        </w:rPr>
        <w:t>A</w:t>
      </w:r>
      <w:r w:rsidRPr="00304846">
        <w:rPr>
          <w:i/>
          <w:iCs/>
          <w:vertAlign w:val="subscript"/>
          <w:lang w:val="en-GB"/>
        </w:rPr>
        <w:t>hRx</w:t>
      </w:r>
      <w:r w:rsidRPr="00304846">
        <w:rPr>
          <w:vertAlign w:val="subscript"/>
          <w:lang w:val="en-GB"/>
        </w:rPr>
        <w:t>:</w:t>
      </w:r>
      <w:r w:rsidRPr="00304846">
        <w:rPr>
          <w:lang w:val="en-GB"/>
        </w:rPr>
        <w:tab/>
      </w:r>
      <w:r w:rsidRPr="00304846">
        <w:rPr>
          <w:color w:val="000000"/>
          <w:lang w:val="en-GB"/>
        </w:rPr>
        <w:t>additional losses to account for clutter shielding the receiver (dB).</w:t>
      </w:r>
    </w:p>
    <w:p w:rsidR="00AF59A0" w:rsidRPr="00304846" w:rsidRDefault="00AF59A0" w:rsidP="005B5869">
      <w:pPr>
        <w:keepNext/>
        <w:keepLines/>
        <w:rPr>
          <w:lang w:val="en-GB"/>
        </w:rPr>
      </w:pPr>
      <w:r w:rsidRPr="00304846">
        <w:rPr>
          <w:lang w:val="en-GB"/>
        </w:rPr>
        <w:lastRenderedPageBreak/>
        <w:t>The additional loss due to protection from local clutter is given by the expression:</w:t>
      </w:r>
    </w:p>
    <w:p w:rsidR="00AF59A0" w:rsidRPr="00304846" w:rsidRDefault="00AF59A0" w:rsidP="006B3194">
      <w:pPr>
        <w:pStyle w:val="Equation"/>
        <w:tabs>
          <w:tab w:val="left" w:pos="8505"/>
        </w:tabs>
        <w:rPr>
          <w:rFonts w:ascii="Cambria" w:eastAsia="Calibri" w:hAnsi="Cambria"/>
          <w:lang w:val="en-GB"/>
        </w:rPr>
      </w:pPr>
      <w:r w:rsidRPr="00304846">
        <w:rPr>
          <w:rFonts w:ascii="Cambria" w:eastAsia="Calibri" w:hAnsi="Cambria"/>
          <w:lang w:val="en-GB"/>
        </w:rPr>
        <w:tab/>
      </w:r>
      <w:r w:rsidR="006255DA" w:rsidRPr="00304846">
        <w:rPr>
          <w:rFonts w:ascii="Cambria" w:eastAsia="Calibri" w:hAnsi="Cambria"/>
          <w:lang w:val="en-GB"/>
        </w:rPr>
        <w:tab/>
      </w:r>
      <w:r w:rsidR="00DF0A68" w:rsidRPr="00304846">
        <w:rPr>
          <w:position w:val="-60"/>
          <w:lang w:val="en-GB"/>
        </w:rPr>
        <w:object w:dxaOrig="5679" w:dyaOrig="1320">
          <v:shape id="_x0000_i1034" type="#_x0000_t75" style="width:285.3pt;height:66.1pt" o:ole="">
            <v:imagedata r:id="rId42" o:title=""/>
          </v:shape>
          <o:OLEObject Type="Embed" ProgID="Equation.3" ShapeID="_x0000_i1034" DrawAspect="Content" ObjectID="_1486385373" r:id="rId43"/>
        </w:object>
      </w:r>
      <w:r w:rsidR="00452441" w:rsidRPr="00304846">
        <w:rPr>
          <w:rFonts w:ascii="Cambria" w:eastAsia="Calibri" w:hAnsi="Cambria"/>
          <w:lang w:val="en-GB"/>
        </w:rPr>
        <w:t>              </w:t>
      </w:r>
      <w:r w:rsidRPr="00304846">
        <w:rPr>
          <w:rFonts w:ascii="Cambria" w:eastAsia="Calibri" w:hAnsi="Cambria"/>
          <w:lang w:val="en-GB"/>
        </w:rPr>
        <w:t>dB</w:t>
      </w:r>
    </w:p>
    <w:p w:rsidR="00AF59A0" w:rsidRPr="00304846" w:rsidRDefault="00AF59A0" w:rsidP="00AF59A0">
      <w:pPr>
        <w:rPr>
          <w:lang w:val="en-GB"/>
        </w:rPr>
      </w:pPr>
      <w:r w:rsidRPr="00304846">
        <w:rPr>
          <w:lang w:val="en-GB"/>
        </w:rPr>
        <w:t>where:</w:t>
      </w:r>
    </w:p>
    <w:p w:rsidR="00AF59A0" w:rsidRPr="00304846" w:rsidRDefault="00AF59A0" w:rsidP="00AF59A0">
      <w:pPr>
        <w:pStyle w:val="Equation"/>
        <w:rPr>
          <w:rFonts w:ascii="Cambria" w:eastAsia="Calibri" w:hAnsi="Cambria"/>
          <w:lang w:val="en-GB"/>
        </w:rPr>
      </w:pPr>
      <w:r w:rsidRPr="00304846">
        <w:rPr>
          <w:rFonts w:ascii="Cambria" w:eastAsia="Calibri" w:hAnsi="Cambria"/>
          <w:lang w:val="en-GB"/>
        </w:rPr>
        <w:tab/>
      </w:r>
      <w:r w:rsidRPr="00304846">
        <w:rPr>
          <w:rFonts w:ascii="Cambria" w:eastAsia="Calibri" w:hAnsi="Cambria"/>
          <w:lang w:val="en-GB"/>
        </w:rPr>
        <w:tab/>
      </w:r>
      <w:r w:rsidRPr="00304846">
        <w:rPr>
          <w:lang w:val="en-GB"/>
        </w:rPr>
        <w:object w:dxaOrig="3885" w:dyaOrig="360">
          <v:shape id="_x0000_i1035" type="#_x0000_t75" style="width:194.5pt;height:18.25pt" o:ole="">
            <v:imagedata r:id="rId44" o:title=""/>
          </v:shape>
          <o:OLEObject Type="Embed" ProgID="Equation.3" ShapeID="_x0000_i1035" DrawAspect="Content" ObjectID="_1486385374" r:id="rId45"/>
        </w:object>
      </w:r>
    </w:p>
    <w:p w:rsidR="00AF59A0" w:rsidRPr="00304846" w:rsidRDefault="00AF59A0" w:rsidP="00AF59A0">
      <w:pPr>
        <w:rPr>
          <w:lang w:val="en-GB"/>
        </w:rPr>
      </w:pPr>
      <w:r w:rsidRPr="00304846">
        <w:rPr>
          <w:lang w:val="en-GB"/>
        </w:rPr>
        <w:t>and:</w:t>
      </w:r>
    </w:p>
    <w:p w:rsidR="00AF59A0" w:rsidRPr="00304846" w:rsidRDefault="00AF59A0" w:rsidP="00AF59A0">
      <w:pPr>
        <w:pStyle w:val="Equationlegend"/>
        <w:rPr>
          <w:lang w:val="en-GB"/>
        </w:rPr>
      </w:pPr>
      <w:r w:rsidRPr="00304846">
        <w:rPr>
          <w:lang w:val="en-GB"/>
        </w:rPr>
        <w:tab/>
      </w:r>
      <w:r w:rsidRPr="00304846">
        <w:rPr>
          <w:i/>
          <w:iCs/>
          <w:lang w:val="en-GB"/>
        </w:rPr>
        <w:t>d</w:t>
      </w:r>
      <w:r w:rsidRPr="00304846">
        <w:rPr>
          <w:i/>
          <w:iCs/>
          <w:vertAlign w:val="subscript"/>
          <w:lang w:val="en-GB"/>
        </w:rPr>
        <w:t>k</w:t>
      </w:r>
      <w:r w:rsidRPr="00304846">
        <w:rPr>
          <w:rFonts w:ascii="Tms Rmn" w:hAnsi="Tms Rmn"/>
          <w:position w:val="-6"/>
          <w:sz w:val="12"/>
          <w:lang w:val="en-GB"/>
        </w:rPr>
        <w:t> </w:t>
      </w:r>
      <w:r w:rsidRPr="00304846">
        <w:rPr>
          <w:lang w:val="en-GB"/>
        </w:rPr>
        <w:t>:</w:t>
      </w:r>
      <w:r w:rsidRPr="00304846">
        <w:rPr>
          <w:lang w:val="en-GB"/>
        </w:rPr>
        <w:tab/>
        <w:t>distance (km) from nomin</w:t>
      </w:r>
      <w:r w:rsidR="006255DA" w:rsidRPr="00304846">
        <w:rPr>
          <w:lang w:val="en-GB"/>
        </w:rPr>
        <w:t>al clutter point to the antenna</w:t>
      </w:r>
    </w:p>
    <w:p w:rsidR="00AF59A0" w:rsidRPr="00304846" w:rsidRDefault="00AF59A0" w:rsidP="00AF59A0">
      <w:pPr>
        <w:pStyle w:val="Equationlegend"/>
        <w:rPr>
          <w:lang w:val="en-GB"/>
        </w:rPr>
      </w:pPr>
      <w:r w:rsidRPr="00304846">
        <w:rPr>
          <w:lang w:val="en-GB"/>
        </w:rPr>
        <w:tab/>
      </w:r>
      <w:r w:rsidRPr="00304846">
        <w:rPr>
          <w:i/>
          <w:iCs/>
          <w:lang w:val="en-GB"/>
        </w:rPr>
        <w:t>h</w:t>
      </w:r>
      <w:r w:rsidRPr="00304846">
        <w:rPr>
          <w:i/>
          <w:iCs/>
          <w:vertAlign w:val="subscript"/>
          <w:lang w:val="en-GB"/>
        </w:rPr>
        <w:t>IMT</w:t>
      </w:r>
      <w:r w:rsidRPr="00304846">
        <w:rPr>
          <w:rFonts w:ascii="Tms Rmn" w:hAnsi="Tms Rmn"/>
          <w:sz w:val="12"/>
          <w:lang w:val="en-GB"/>
        </w:rPr>
        <w:t> </w:t>
      </w:r>
      <w:r w:rsidRPr="00304846">
        <w:rPr>
          <w:lang w:val="en-GB"/>
        </w:rPr>
        <w:t>:</w:t>
      </w:r>
      <w:r w:rsidRPr="00304846">
        <w:rPr>
          <w:lang w:val="en-GB"/>
        </w:rPr>
        <w:tab/>
        <w:t xml:space="preserve">antenna height (m) above </w:t>
      </w:r>
      <w:r w:rsidR="006255DA" w:rsidRPr="00304846">
        <w:rPr>
          <w:lang w:val="en-GB"/>
        </w:rPr>
        <w:t>local ground level</w:t>
      </w:r>
    </w:p>
    <w:p w:rsidR="00AF59A0" w:rsidRPr="00304846" w:rsidRDefault="00AF59A0" w:rsidP="00AF59A0">
      <w:pPr>
        <w:pStyle w:val="Equationlegend"/>
        <w:rPr>
          <w:lang w:val="en-GB"/>
        </w:rPr>
      </w:pPr>
      <w:r w:rsidRPr="00304846">
        <w:rPr>
          <w:lang w:val="en-GB"/>
        </w:rPr>
        <w:tab/>
      </w:r>
      <w:r w:rsidRPr="00304846">
        <w:rPr>
          <w:i/>
          <w:iCs/>
          <w:lang w:val="en-GB"/>
        </w:rPr>
        <w:t>h</w:t>
      </w:r>
      <w:r w:rsidRPr="00304846">
        <w:rPr>
          <w:i/>
          <w:iCs/>
          <w:vertAlign w:val="subscript"/>
          <w:lang w:val="en-GB"/>
        </w:rPr>
        <w:t>a</w:t>
      </w:r>
      <w:r w:rsidRPr="00304846">
        <w:rPr>
          <w:rFonts w:ascii="Tms Rmn" w:hAnsi="Tms Rmn"/>
          <w:position w:val="-6"/>
          <w:sz w:val="12"/>
          <w:lang w:val="en-GB"/>
        </w:rPr>
        <w:t> </w:t>
      </w:r>
      <w:r w:rsidRPr="00304846">
        <w:rPr>
          <w:lang w:val="en-GB"/>
        </w:rPr>
        <w:t>:</w:t>
      </w:r>
      <w:r w:rsidRPr="00304846">
        <w:rPr>
          <w:lang w:val="en-GB"/>
        </w:rPr>
        <w:tab/>
        <w:t>nominal clutter height (m) above local ground level.</w:t>
      </w:r>
    </w:p>
    <w:p w:rsidR="00AF59A0" w:rsidRPr="00304846" w:rsidRDefault="00AF59A0" w:rsidP="006255DA">
      <w:pPr>
        <w:rPr>
          <w:lang w:val="en-GB"/>
        </w:rPr>
      </w:pPr>
      <w:r w:rsidRPr="00304846">
        <w:rPr>
          <w:lang w:val="en-GB"/>
        </w:rPr>
        <w:t>Additional losses due to shielding by clutter (ground cover) should not be claimed for categories not appearing in Table 5.</w:t>
      </w:r>
    </w:p>
    <w:p w:rsidR="00AF59A0" w:rsidRPr="00304846" w:rsidRDefault="00AF59A0" w:rsidP="00AF59A0">
      <w:pPr>
        <w:pStyle w:val="TableNo"/>
        <w:rPr>
          <w:rFonts w:eastAsia="Calibri"/>
          <w:lang w:val="en-GB"/>
        </w:rPr>
      </w:pPr>
      <w:r w:rsidRPr="00304846">
        <w:rPr>
          <w:rFonts w:eastAsia="Calibri"/>
          <w:lang w:val="en-GB"/>
        </w:rPr>
        <w:t>TABLE 5</w:t>
      </w:r>
    </w:p>
    <w:p w:rsidR="00AF59A0" w:rsidRPr="00304846" w:rsidRDefault="00AF59A0" w:rsidP="00AF59A0">
      <w:pPr>
        <w:pStyle w:val="Tabletitle"/>
        <w:rPr>
          <w:rFonts w:eastAsia="Calibri"/>
          <w:lang w:val="en-GB"/>
        </w:rPr>
      </w:pPr>
      <w:r w:rsidRPr="00304846">
        <w:rPr>
          <w:rFonts w:eastAsia="Calibri"/>
          <w:lang w:val="en-GB"/>
        </w:rPr>
        <w:t>Nominal clutter heights and distances</w:t>
      </w:r>
    </w:p>
    <w:tbl>
      <w:tblPr>
        <w:tblW w:w="42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4A0" w:firstRow="1" w:lastRow="0" w:firstColumn="1" w:lastColumn="0" w:noHBand="0" w:noVBand="1"/>
      </w:tblPr>
      <w:tblGrid>
        <w:gridCol w:w="3212"/>
        <w:gridCol w:w="2917"/>
        <w:gridCol w:w="2297"/>
      </w:tblGrid>
      <w:tr w:rsidR="00AF59A0" w:rsidRPr="00304846" w:rsidTr="005761BF">
        <w:trPr>
          <w:jc w:val="center"/>
        </w:trPr>
        <w:tc>
          <w:tcPr>
            <w:tcW w:w="1906" w:type="pct"/>
            <w:tcBorders>
              <w:top w:val="single" w:sz="4" w:space="0" w:color="auto"/>
              <w:left w:val="single" w:sz="4" w:space="0" w:color="auto"/>
              <w:bottom w:val="single" w:sz="4" w:space="0" w:color="auto"/>
              <w:right w:val="single" w:sz="4" w:space="0" w:color="auto"/>
            </w:tcBorders>
            <w:vAlign w:val="center"/>
            <w:hideMark/>
          </w:tcPr>
          <w:p w:rsidR="00AF59A0" w:rsidRPr="00304846" w:rsidRDefault="00AF59A0" w:rsidP="00DF0A68">
            <w:pPr>
              <w:pStyle w:val="Tablehead"/>
              <w:rPr>
                <w:rFonts w:eastAsia="Calibri"/>
                <w:lang w:val="en-GB"/>
              </w:rPr>
            </w:pPr>
            <w:r w:rsidRPr="00304846">
              <w:rPr>
                <w:rFonts w:eastAsia="Calibri"/>
                <w:lang w:val="en-GB"/>
              </w:rPr>
              <w:t>Clutter (ground-cover) category</w:t>
            </w:r>
          </w:p>
        </w:tc>
        <w:tc>
          <w:tcPr>
            <w:tcW w:w="1731" w:type="pct"/>
            <w:tcBorders>
              <w:top w:val="single" w:sz="4" w:space="0" w:color="auto"/>
              <w:left w:val="single" w:sz="4" w:space="0" w:color="auto"/>
              <w:bottom w:val="single" w:sz="4" w:space="0" w:color="auto"/>
              <w:right w:val="single" w:sz="4" w:space="0" w:color="auto"/>
            </w:tcBorders>
            <w:vAlign w:val="center"/>
            <w:hideMark/>
          </w:tcPr>
          <w:p w:rsidR="00AF59A0" w:rsidRPr="00304846" w:rsidRDefault="00AF59A0" w:rsidP="00DF0A68">
            <w:pPr>
              <w:pStyle w:val="Tablehead"/>
              <w:rPr>
                <w:rFonts w:eastAsia="Calibri"/>
                <w:lang w:val="en-GB"/>
              </w:rPr>
            </w:pPr>
            <w:r w:rsidRPr="00304846">
              <w:rPr>
                <w:rFonts w:eastAsia="Calibri"/>
                <w:lang w:val="en-GB"/>
              </w:rPr>
              <w:t xml:space="preserve">Nominal height, </w:t>
            </w:r>
            <w:r w:rsidRPr="00304846">
              <w:rPr>
                <w:rFonts w:eastAsia="Calibri"/>
                <w:i/>
                <w:iCs/>
                <w:lang w:val="en-GB"/>
              </w:rPr>
              <w:t>h</w:t>
            </w:r>
            <w:r w:rsidRPr="00304846">
              <w:rPr>
                <w:rFonts w:eastAsia="Calibri"/>
                <w:i/>
                <w:iCs/>
                <w:vertAlign w:val="subscript"/>
                <w:lang w:val="en-GB"/>
              </w:rPr>
              <w:t>a</w:t>
            </w:r>
            <w:r w:rsidRPr="00304846">
              <w:rPr>
                <w:rFonts w:eastAsia="Calibri"/>
                <w:lang w:val="en-GB"/>
              </w:rPr>
              <w:br/>
              <w:t>(m)</w:t>
            </w:r>
          </w:p>
        </w:tc>
        <w:tc>
          <w:tcPr>
            <w:tcW w:w="1363" w:type="pct"/>
            <w:tcBorders>
              <w:top w:val="single" w:sz="4" w:space="0" w:color="auto"/>
              <w:left w:val="single" w:sz="4" w:space="0" w:color="auto"/>
              <w:bottom w:val="single" w:sz="4" w:space="0" w:color="auto"/>
              <w:right w:val="single" w:sz="4" w:space="0" w:color="auto"/>
            </w:tcBorders>
            <w:vAlign w:val="center"/>
            <w:hideMark/>
          </w:tcPr>
          <w:p w:rsidR="00AF59A0" w:rsidRPr="00304846" w:rsidRDefault="00AF59A0" w:rsidP="00DF0A68">
            <w:pPr>
              <w:pStyle w:val="Tablehead"/>
              <w:rPr>
                <w:rFonts w:eastAsia="Calibri"/>
                <w:lang w:val="en-GB"/>
              </w:rPr>
            </w:pPr>
            <w:r w:rsidRPr="00304846">
              <w:rPr>
                <w:rFonts w:eastAsia="Calibri"/>
                <w:lang w:val="en-GB"/>
              </w:rPr>
              <w:t xml:space="preserve">Nominal distance, </w:t>
            </w:r>
            <w:r w:rsidRPr="00304846">
              <w:rPr>
                <w:rFonts w:eastAsia="Calibri"/>
                <w:i/>
                <w:iCs/>
                <w:lang w:val="en-GB"/>
              </w:rPr>
              <w:t>d</w:t>
            </w:r>
            <w:r w:rsidRPr="00304846">
              <w:rPr>
                <w:rFonts w:eastAsia="Calibri"/>
                <w:i/>
                <w:iCs/>
                <w:vertAlign w:val="subscript"/>
                <w:lang w:val="en-GB"/>
              </w:rPr>
              <w:t>k</w:t>
            </w:r>
            <w:r w:rsidRPr="00304846">
              <w:rPr>
                <w:rFonts w:eastAsia="Calibri"/>
                <w:lang w:val="en-GB"/>
              </w:rPr>
              <w:br/>
              <w:t>(km)</w:t>
            </w:r>
          </w:p>
        </w:tc>
      </w:tr>
      <w:tr w:rsidR="00AF59A0" w:rsidRPr="00304846" w:rsidTr="00DF0A68">
        <w:trPr>
          <w:jc w:val="center"/>
        </w:trPr>
        <w:tc>
          <w:tcPr>
            <w:tcW w:w="1906" w:type="pct"/>
            <w:tcBorders>
              <w:top w:val="single" w:sz="4" w:space="0" w:color="auto"/>
              <w:left w:val="single" w:sz="4" w:space="0" w:color="auto"/>
              <w:bottom w:val="single" w:sz="4" w:space="0" w:color="auto"/>
              <w:right w:val="single" w:sz="4" w:space="0" w:color="auto"/>
            </w:tcBorders>
            <w:shd w:val="clear" w:color="auto" w:fill="auto"/>
            <w:hideMark/>
          </w:tcPr>
          <w:p w:rsidR="00AF59A0" w:rsidRPr="00304846" w:rsidRDefault="00AF59A0" w:rsidP="009210E9">
            <w:pPr>
              <w:pStyle w:val="Tabletext"/>
              <w:jc w:val="center"/>
              <w:rPr>
                <w:rFonts w:eastAsia="Calibri"/>
                <w:lang w:val="en-GB"/>
              </w:rPr>
            </w:pPr>
            <w:r w:rsidRPr="00304846">
              <w:rPr>
                <w:rFonts w:eastAsia="Calibri"/>
                <w:lang w:val="en-GB"/>
              </w:rPr>
              <w:t>Urban</w:t>
            </w:r>
          </w:p>
        </w:tc>
        <w:tc>
          <w:tcPr>
            <w:tcW w:w="1731" w:type="pct"/>
            <w:tcBorders>
              <w:top w:val="single" w:sz="4" w:space="0" w:color="auto"/>
              <w:left w:val="single" w:sz="4" w:space="0" w:color="auto"/>
              <w:bottom w:val="single" w:sz="4" w:space="0" w:color="auto"/>
              <w:right w:val="single" w:sz="4" w:space="0" w:color="auto"/>
            </w:tcBorders>
            <w:shd w:val="clear" w:color="auto" w:fill="auto"/>
            <w:hideMark/>
          </w:tcPr>
          <w:p w:rsidR="00AF59A0" w:rsidRPr="00304846" w:rsidRDefault="00AF59A0" w:rsidP="009210E9">
            <w:pPr>
              <w:pStyle w:val="Tabletext"/>
              <w:jc w:val="center"/>
              <w:rPr>
                <w:rFonts w:eastAsia="Calibri"/>
                <w:lang w:val="en-GB"/>
              </w:rPr>
            </w:pPr>
            <w:r w:rsidRPr="00304846">
              <w:rPr>
                <w:rFonts w:eastAsia="Calibri"/>
                <w:lang w:val="en-GB"/>
              </w:rPr>
              <w:t>20</w:t>
            </w:r>
          </w:p>
        </w:tc>
        <w:tc>
          <w:tcPr>
            <w:tcW w:w="1363" w:type="pct"/>
            <w:tcBorders>
              <w:top w:val="single" w:sz="4" w:space="0" w:color="auto"/>
              <w:left w:val="single" w:sz="4" w:space="0" w:color="auto"/>
              <w:bottom w:val="single" w:sz="4" w:space="0" w:color="auto"/>
              <w:right w:val="single" w:sz="4" w:space="0" w:color="auto"/>
            </w:tcBorders>
            <w:shd w:val="clear" w:color="auto" w:fill="auto"/>
            <w:hideMark/>
          </w:tcPr>
          <w:p w:rsidR="00AF59A0" w:rsidRPr="00304846" w:rsidRDefault="00AF59A0" w:rsidP="009210E9">
            <w:pPr>
              <w:pStyle w:val="Tabletext"/>
              <w:jc w:val="center"/>
              <w:rPr>
                <w:rFonts w:eastAsia="Calibri"/>
                <w:lang w:val="en-GB"/>
              </w:rPr>
            </w:pPr>
            <w:r w:rsidRPr="00304846">
              <w:rPr>
                <w:rFonts w:eastAsia="Calibri"/>
                <w:lang w:val="en-GB"/>
              </w:rPr>
              <w:t>0.02</w:t>
            </w:r>
          </w:p>
        </w:tc>
      </w:tr>
      <w:tr w:rsidR="00AF59A0" w:rsidRPr="00304846" w:rsidTr="00DF0A68">
        <w:trPr>
          <w:jc w:val="center"/>
        </w:trPr>
        <w:tc>
          <w:tcPr>
            <w:tcW w:w="1906" w:type="pct"/>
            <w:tcBorders>
              <w:top w:val="single" w:sz="4" w:space="0" w:color="auto"/>
              <w:left w:val="single" w:sz="4" w:space="0" w:color="auto"/>
              <w:bottom w:val="single" w:sz="4" w:space="0" w:color="auto"/>
              <w:right w:val="single" w:sz="4" w:space="0" w:color="auto"/>
            </w:tcBorders>
            <w:shd w:val="clear" w:color="auto" w:fill="auto"/>
            <w:hideMark/>
          </w:tcPr>
          <w:p w:rsidR="00AF59A0" w:rsidRPr="00304846" w:rsidRDefault="00AF59A0" w:rsidP="009210E9">
            <w:pPr>
              <w:pStyle w:val="Tabletext"/>
              <w:jc w:val="center"/>
              <w:rPr>
                <w:rFonts w:eastAsia="Calibri"/>
                <w:lang w:val="en-GB"/>
              </w:rPr>
            </w:pPr>
            <w:r w:rsidRPr="00304846">
              <w:rPr>
                <w:rFonts w:eastAsia="Calibri"/>
                <w:lang w:val="en-GB"/>
              </w:rPr>
              <w:t>Dense urban</w:t>
            </w:r>
          </w:p>
        </w:tc>
        <w:tc>
          <w:tcPr>
            <w:tcW w:w="1731" w:type="pct"/>
            <w:tcBorders>
              <w:top w:val="single" w:sz="4" w:space="0" w:color="auto"/>
              <w:left w:val="single" w:sz="4" w:space="0" w:color="auto"/>
              <w:bottom w:val="single" w:sz="4" w:space="0" w:color="auto"/>
              <w:right w:val="single" w:sz="4" w:space="0" w:color="auto"/>
            </w:tcBorders>
            <w:shd w:val="clear" w:color="auto" w:fill="auto"/>
            <w:hideMark/>
          </w:tcPr>
          <w:p w:rsidR="00AF59A0" w:rsidRPr="00304846" w:rsidRDefault="00AF59A0" w:rsidP="009210E9">
            <w:pPr>
              <w:pStyle w:val="Tabletext"/>
              <w:jc w:val="center"/>
              <w:rPr>
                <w:rFonts w:eastAsia="Calibri"/>
                <w:lang w:val="en-GB"/>
              </w:rPr>
            </w:pPr>
            <w:r w:rsidRPr="00304846">
              <w:rPr>
                <w:rFonts w:eastAsia="Calibri"/>
                <w:lang w:val="en-GB"/>
              </w:rPr>
              <w:t>25</w:t>
            </w:r>
          </w:p>
        </w:tc>
        <w:tc>
          <w:tcPr>
            <w:tcW w:w="1363" w:type="pct"/>
            <w:tcBorders>
              <w:top w:val="single" w:sz="4" w:space="0" w:color="auto"/>
              <w:left w:val="single" w:sz="4" w:space="0" w:color="auto"/>
              <w:bottom w:val="single" w:sz="4" w:space="0" w:color="auto"/>
              <w:right w:val="single" w:sz="4" w:space="0" w:color="auto"/>
            </w:tcBorders>
            <w:shd w:val="clear" w:color="auto" w:fill="auto"/>
            <w:hideMark/>
          </w:tcPr>
          <w:p w:rsidR="00AF59A0" w:rsidRPr="00304846" w:rsidRDefault="00AF59A0" w:rsidP="009210E9">
            <w:pPr>
              <w:pStyle w:val="Tabletext"/>
              <w:jc w:val="center"/>
              <w:rPr>
                <w:rFonts w:eastAsia="Calibri"/>
                <w:lang w:val="en-GB"/>
              </w:rPr>
            </w:pPr>
            <w:r w:rsidRPr="00304846">
              <w:rPr>
                <w:rFonts w:eastAsia="Calibri"/>
                <w:lang w:val="en-GB"/>
              </w:rPr>
              <w:t>0.02</w:t>
            </w:r>
          </w:p>
        </w:tc>
      </w:tr>
      <w:tr w:rsidR="00AF59A0" w:rsidRPr="00304846" w:rsidTr="00DF0A68">
        <w:trPr>
          <w:jc w:val="center"/>
        </w:trPr>
        <w:tc>
          <w:tcPr>
            <w:tcW w:w="1906" w:type="pct"/>
            <w:tcBorders>
              <w:top w:val="single" w:sz="4" w:space="0" w:color="auto"/>
              <w:left w:val="single" w:sz="4" w:space="0" w:color="auto"/>
              <w:bottom w:val="single" w:sz="4" w:space="0" w:color="auto"/>
              <w:right w:val="single" w:sz="4" w:space="0" w:color="auto"/>
            </w:tcBorders>
            <w:shd w:val="clear" w:color="auto" w:fill="auto"/>
            <w:hideMark/>
          </w:tcPr>
          <w:p w:rsidR="00AF59A0" w:rsidRPr="00304846" w:rsidRDefault="00AF59A0" w:rsidP="009210E9">
            <w:pPr>
              <w:pStyle w:val="Tabletext"/>
              <w:jc w:val="center"/>
              <w:rPr>
                <w:rFonts w:eastAsia="Calibri"/>
                <w:lang w:val="en-GB"/>
              </w:rPr>
            </w:pPr>
            <w:r w:rsidRPr="00304846">
              <w:rPr>
                <w:rFonts w:eastAsia="Calibri"/>
                <w:lang w:val="en-GB"/>
              </w:rPr>
              <w:t>High-rise urban</w:t>
            </w:r>
          </w:p>
        </w:tc>
        <w:tc>
          <w:tcPr>
            <w:tcW w:w="1731" w:type="pct"/>
            <w:tcBorders>
              <w:top w:val="single" w:sz="4" w:space="0" w:color="auto"/>
              <w:left w:val="single" w:sz="4" w:space="0" w:color="auto"/>
              <w:bottom w:val="single" w:sz="4" w:space="0" w:color="auto"/>
              <w:right w:val="single" w:sz="4" w:space="0" w:color="auto"/>
            </w:tcBorders>
            <w:shd w:val="clear" w:color="auto" w:fill="auto"/>
            <w:hideMark/>
          </w:tcPr>
          <w:p w:rsidR="00AF59A0" w:rsidRPr="00304846" w:rsidRDefault="00AF59A0" w:rsidP="009210E9">
            <w:pPr>
              <w:pStyle w:val="Tabletext"/>
              <w:jc w:val="center"/>
              <w:rPr>
                <w:rFonts w:eastAsia="Calibri"/>
                <w:lang w:val="en-GB"/>
              </w:rPr>
            </w:pPr>
            <w:r w:rsidRPr="00304846">
              <w:rPr>
                <w:rFonts w:eastAsia="Calibri"/>
                <w:lang w:val="en-GB"/>
              </w:rPr>
              <w:t>35</w:t>
            </w:r>
          </w:p>
        </w:tc>
        <w:tc>
          <w:tcPr>
            <w:tcW w:w="1363" w:type="pct"/>
            <w:tcBorders>
              <w:top w:val="single" w:sz="4" w:space="0" w:color="auto"/>
              <w:left w:val="single" w:sz="4" w:space="0" w:color="auto"/>
              <w:bottom w:val="single" w:sz="4" w:space="0" w:color="auto"/>
              <w:right w:val="single" w:sz="4" w:space="0" w:color="auto"/>
            </w:tcBorders>
            <w:shd w:val="clear" w:color="auto" w:fill="auto"/>
            <w:hideMark/>
          </w:tcPr>
          <w:p w:rsidR="00AF59A0" w:rsidRPr="00304846" w:rsidRDefault="00AF59A0" w:rsidP="009210E9">
            <w:pPr>
              <w:pStyle w:val="Tabletext"/>
              <w:jc w:val="center"/>
              <w:rPr>
                <w:rFonts w:eastAsia="Calibri"/>
                <w:lang w:val="en-GB"/>
              </w:rPr>
            </w:pPr>
            <w:r w:rsidRPr="00304846">
              <w:rPr>
                <w:rFonts w:eastAsia="Calibri"/>
                <w:lang w:val="en-GB"/>
              </w:rPr>
              <w:t>0.02</w:t>
            </w:r>
          </w:p>
        </w:tc>
      </w:tr>
      <w:tr w:rsidR="00AF59A0" w:rsidRPr="00304846" w:rsidTr="00DF0A68">
        <w:trPr>
          <w:jc w:val="center"/>
        </w:trPr>
        <w:tc>
          <w:tcPr>
            <w:tcW w:w="1906" w:type="pct"/>
            <w:tcBorders>
              <w:top w:val="single" w:sz="4" w:space="0" w:color="auto"/>
              <w:left w:val="single" w:sz="4" w:space="0" w:color="auto"/>
              <w:bottom w:val="single" w:sz="4" w:space="0" w:color="auto"/>
              <w:right w:val="single" w:sz="4" w:space="0" w:color="auto"/>
            </w:tcBorders>
            <w:shd w:val="clear" w:color="auto" w:fill="auto"/>
            <w:hideMark/>
          </w:tcPr>
          <w:p w:rsidR="00AF59A0" w:rsidRPr="00304846" w:rsidRDefault="00AF59A0" w:rsidP="009210E9">
            <w:pPr>
              <w:pStyle w:val="Tabletext"/>
              <w:jc w:val="center"/>
              <w:rPr>
                <w:rFonts w:eastAsia="Calibri"/>
                <w:lang w:val="en-GB"/>
              </w:rPr>
            </w:pPr>
            <w:r w:rsidRPr="00304846">
              <w:rPr>
                <w:rFonts w:eastAsia="Calibri"/>
                <w:lang w:val="en-GB"/>
              </w:rPr>
              <w:t>Industrial zone</w:t>
            </w:r>
          </w:p>
        </w:tc>
        <w:tc>
          <w:tcPr>
            <w:tcW w:w="1731" w:type="pct"/>
            <w:tcBorders>
              <w:top w:val="single" w:sz="4" w:space="0" w:color="auto"/>
              <w:left w:val="single" w:sz="4" w:space="0" w:color="auto"/>
              <w:bottom w:val="single" w:sz="4" w:space="0" w:color="auto"/>
              <w:right w:val="single" w:sz="4" w:space="0" w:color="auto"/>
            </w:tcBorders>
            <w:shd w:val="clear" w:color="auto" w:fill="auto"/>
            <w:hideMark/>
          </w:tcPr>
          <w:p w:rsidR="00AF59A0" w:rsidRPr="00304846" w:rsidRDefault="00AF59A0" w:rsidP="009210E9">
            <w:pPr>
              <w:pStyle w:val="Tabletext"/>
              <w:jc w:val="center"/>
              <w:rPr>
                <w:rFonts w:eastAsia="Calibri"/>
                <w:lang w:val="en-GB"/>
              </w:rPr>
            </w:pPr>
            <w:r w:rsidRPr="00304846">
              <w:rPr>
                <w:rFonts w:eastAsia="Calibri"/>
                <w:lang w:val="en-GB"/>
              </w:rPr>
              <w:t>20</w:t>
            </w:r>
          </w:p>
        </w:tc>
        <w:tc>
          <w:tcPr>
            <w:tcW w:w="1363" w:type="pct"/>
            <w:tcBorders>
              <w:top w:val="single" w:sz="4" w:space="0" w:color="auto"/>
              <w:left w:val="single" w:sz="4" w:space="0" w:color="auto"/>
              <w:bottom w:val="single" w:sz="4" w:space="0" w:color="auto"/>
              <w:right w:val="single" w:sz="4" w:space="0" w:color="auto"/>
            </w:tcBorders>
            <w:shd w:val="clear" w:color="auto" w:fill="auto"/>
            <w:hideMark/>
          </w:tcPr>
          <w:p w:rsidR="00AF59A0" w:rsidRPr="00304846" w:rsidRDefault="00AF59A0" w:rsidP="009210E9">
            <w:pPr>
              <w:pStyle w:val="Tabletext"/>
              <w:jc w:val="center"/>
              <w:rPr>
                <w:rFonts w:eastAsia="Calibri"/>
                <w:lang w:val="en-GB"/>
              </w:rPr>
            </w:pPr>
            <w:r w:rsidRPr="00304846">
              <w:rPr>
                <w:rFonts w:eastAsia="Calibri"/>
                <w:lang w:val="en-GB"/>
              </w:rPr>
              <w:t>0.05</w:t>
            </w:r>
          </w:p>
        </w:tc>
      </w:tr>
    </w:tbl>
    <w:p w:rsidR="00AF59A0" w:rsidRPr="00304846" w:rsidRDefault="00AF59A0" w:rsidP="00AF59A0">
      <w:pPr>
        <w:rPr>
          <w:sz w:val="2"/>
          <w:szCs w:val="2"/>
          <w:lang w:val="en-GB"/>
        </w:rPr>
      </w:pPr>
    </w:p>
    <w:p w:rsidR="00AF59A0" w:rsidRPr="00304846" w:rsidRDefault="00AF59A0" w:rsidP="00FF34AD">
      <w:pPr>
        <w:rPr>
          <w:lang w:val="en-GB"/>
        </w:rPr>
      </w:pPr>
      <w:r w:rsidRPr="00304846">
        <w:rPr>
          <w:lang w:val="en-GB"/>
        </w:rPr>
        <w:t>The additional loss due to protection from local clutter is given in Fig. 10.</w:t>
      </w:r>
    </w:p>
    <w:p w:rsidR="00AF59A0" w:rsidRPr="00304846" w:rsidRDefault="00AF59A0" w:rsidP="00AF59A0">
      <w:pPr>
        <w:pStyle w:val="FigureNo"/>
        <w:rPr>
          <w:lang w:val="en-GB"/>
        </w:rPr>
      </w:pPr>
      <w:r w:rsidRPr="00304846">
        <w:rPr>
          <w:noProof/>
          <w:lang w:val="en-US" w:eastAsia="zh-CN"/>
        </w:rPr>
        <mc:AlternateContent>
          <mc:Choice Requires="wps">
            <w:drawing>
              <wp:anchor distT="0" distB="0" distL="114300" distR="114300" simplePos="0" relativeHeight="251652608" behindDoc="0" locked="0" layoutInCell="1" allowOverlap="1" wp14:anchorId="60AA4DDF" wp14:editId="007A6019">
                <wp:simplePos x="0" y="0"/>
                <wp:positionH relativeFrom="column">
                  <wp:posOffset>5160645</wp:posOffset>
                </wp:positionH>
                <wp:positionV relativeFrom="paragraph">
                  <wp:posOffset>2698750</wp:posOffset>
                </wp:positionV>
                <wp:extent cx="571500" cy="209550"/>
                <wp:effectExtent l="0" t="0" r="0" b="0"/>
                <wp:wrapNone/>
                <wp:docPr id="3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09550"/>
                        </a:xfrm>
                        <a:prstGeom prst="rect">
                          <a:avLst/>
                        </a:prstGeom>
                        <a:noFill/>
                        <a:ln w="6350">
                          <a:noFill/>
                        </a:ln>
                        <a:effectLst/>
                      </wps:spPr>
                      <wps:txbx>
                        <w:txbxContent>
                          <w:p w:rsidR="00385ABE" w:rsidRPr="00E9117E" w:rsidRDefault="00385ABE" w:rsidP="00AF59A0">
                            <w:pPr>
                              <w:jc w:val="center"/>
                              <w:rPr>
                                <w:rFonts w:ascii="Arial" w:hAnsi="Arial" w:cs="Arial"/>
                                <w:b/>
                                <w:sz w:val="20"/>
                                <w:vertAlign w:val="subscript"/>
                                <w:lang w:val="en-US"/>
                              </w:rPr>
                            </w:pPr>
                            <w:r w:rsidRPr="00F136D8">
                              <w:rPr>
                                <w:rFonts w:ascii="Arial" w:hAnsi="Arial" w:cs="Arial"/>
                                <w:b/>
                                <w:i/>
                                <w:iCs/>
                                <w:sz w:val="20"/>
                                <w:lang w:val="en-US"/>
                              </w:rPr>
                              <w:t>h</w:t>
                            </w:r>
                            <w:r w:rsidRPr="00F136D8">
                              <w:rPr>
                                <w:rFonts w:ascii="Arial" w:hAnsi="Arial" w:cs="Arial"/>
                                <w:b/>
                                <w:i/>
                                <w:iCs/>
                                <w:sz w:val="20"/>
                                <w:vertAlign w:val="subscript"/>
                                <w:lang w:val="en-US"/>
                              </w:rPr>
                              <w:t>IMT</w:t>
                            </w:r>
                            <w:r>
                              <w:rPr>
                                <w:rFonts w:ascii="Arial" w:hAnsi="Arial" w:cs="Arial"/>
                                <w:b/>
                                <w:sz w:val="20"/>
                                <w:vertAlign w:val="subscript"/>
                                <w:lang w:val="en-US"/>
                              </w:rPr>
                              <w:t xml:space="preserve"> (</w:t>
                            </w:r>
                            <w:r w:rsidRPr="00E9117E">
                              <w:rPr>
                                <w:rFonts w:ascii="Arial" w:hAnsi="Arial" w:cs="Arial"/>
                                <w:b/>
                                <w:sz w:val="20"/>
                                <w:vertAlign w:val="subscript"/>
                                <w:lang w:val="en-US"/>
                              </w:rPr>
                              <w:t>m</w:t>
                            </w:r>
                            <w:r>
                              <w:rPr>
                                <w:rFonts w:ascii="Arial" w:hAnsi="Arial" w:cs="Arial"/>
                                <w:b/>
                                <w:sz w:val="20"/>
                                <w:vertAlign w:val="subscript"/>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AA4DDF" id="_x0000_t202" coordsize="21600,21600" o:spt="202" path="m,l,21600r21600,l21600,xe">
                <v:stroke joinstyle="miter"/>
                <v:path gradientshapeok="t" o:connecttype="rect"/>
              </v:shapetype>
              <v:shape id="Поле 9" o:spid="_x0000_s1026" type="#_x0000_t202" style="position:absolute;left:0;text-align:left;margin-left:406.35pt;margin-top:212.5pt;width:45pt;height:1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ZQAIAAGoEAAAOAAAAZHJzL2Uyb0RvYy54bWysVN1u0zAUvkfiHSzf06SdOmjUdCqbipCq&#10;bVKHdu06dhMR+xjbbVJehqfgColn6CNx7CTdGFwhbpxjn//zfSfzq1bV5CCsq0DndDxKKRGaQ1Hp&#10;XU4/PazevKPEeaYLVoMWOT0KR68Wr1/NG5OJCZRQF8ISDKJd1piclt6bLEkcL4VibgRGaFRKsIp5&#10;vNpdUljWYHRVJ5M0vUwasIWxwIVz+HrTKekixpdScH8npROe1DnF2nw8bTy34UwWc5btLDNlxfsy&#10;2D9UoVilMek51A3zjOxt9UcoVXELDqQfcVAJSFlxEXvAbsbpi242JTMi9oLDceY8Jvf/wvLbw70l&#10;VZHTixklminE6PTt9PP04/SdzMJ4GuMytNoYtPPte2gR5tiqM2vgnx2aJM9sOgeH1mEcrbQqfLFR&#10;go6IwPE8ddF6wvFx+nY8TVHDUTVJZ9NpRCV5cjbW+Q8CFAlCTi2CGgtgh7XzIT3LBpOQS8OqqusI&#10;bK1Jk9PLCwz5mwY9ah1eRKRIHyZ00RUeJN9u2779LRRH7N5CRx9n+KrCUtbM+XtmkS9YPe6Av8ND&#10;1oApoZcoKcF+/dt7sEcYUUtJg/zLqfuyZ1ZQUn/UCHAg6yDYQdgOgt6ra0BKj3G7DI8iOlhfD6K0&#10;oB5xNZYhC6qY5pgrp9zb4XLtuz3A5eJiuYxmSErD/FpvDB9gDqN9aB+ZNf38PQJ3CwM3WfYChs62&#10;G/dy70FWEaMw0m6OPV+Q0BG6fvnCxjy/R6unX8TiFwAAAP//AwBQSwMEFAAGAAgAAAAhAHzxbmve&#10;AAAACwEAAA8AAABkcnMvZG93bnJldi54bWxMjz1PwzAQhnck/oN1SGyt3UAgDXEqhMTA2FIJ2Jz4&#10;mkTE5yh2m/Tfc53KeO89ej+Kzex6ccIxdJ40rJYKBFLtbUeNhv3n+yIDEaIha3pPqOGMATbl7U1h&#10;cusn2uJpFxvBJhRyo6GNccilDHWLzoSlH5D4d/CjM5HPsZF2NBObu14mSj1JZzrihNYM+NZi/bs7&#10;Os4d9l9yDuk6e5i+k3g+VNuPn1Hr+7v59QVExDleYbjU5+pQcqfKH8kG0WvIVskzoxoek5RHMbFW&#10;F6ViJc0UyLKQ/zeUfwAAAP//AwBQSwECLQAUAAYACAAAACEAtoM4kv4AAADhAQAAEwAAAAAAAAAA&#10;AAAAAAAAAAAAW0NvbnRlbnRfVHlwZXNdLnhtbFBLAQItABQABgAIAAAAIQA4/SH/1gAAAJQBAAAL&#10;AAAAAAAAAAAAAAAAAC8BAABfcmVscy8ucmVsc1BLAQItABQABgAIAAAAIQB+jUnZQAIAAGoEAAAO&#10;AAAAAAAAAAAAAAAAAC4CAABkcnMvZTJvRG9jLnhtbFBLAQItABQABgAIAAAAIQB88W5r3gAAAAsB&#10;AAAPAAAAAAAAAAAAAAAAAJoEAABkcnMvZG93bnJldi54bWxQSwUGAAAAAAQABADzAAAApQUAAAAA&#10;" filled="f" stroked="f" strokeweight=".5pt">
                <v:path arrowok="t"/>
                <v:textbox inset="0,0,0,0">
                  <w:txbxContent>
                    <w:p w:rsidR="00385ABE" w:rsidRPr="00E9117E" w:rsidRDefault="00385ABE" w:rsidP="00AF59A0">
                      <w:pPr>
                        <w:jc w:val="center"/>
                        <w:rPr>
                          <w:rFonts w:ascii="Arial" w:hAnsi="Arial" w:cs="Arial"/>
                          <w:b/>
                          <w:sz w:val="20"/>
                          <w:vertAlign w:val="subscript"/>
                          <w:lang w:val="en-US"/>
                        </w:rPr>
                      </w:pPr>
                      <w:r w:rsidRPr="00F136D8">
                        <w:rPr>
                          <w:rFonts w:ascii="Arial" w:hAnsi="Arial" w:cs="Arial"/>
                          <w:b/>
                          <w:i/>
                          <w:iCs/>
                          <w:sz w:val="20"/>
                          <w:lang w:val="en-US"/>
                        </w:rPr>
                        <w:t>h</w:t>
                      </w:r>
                      <w:r w:rsidRPr="00F136D8">
                        <w:rPr>
                          <w:rFonts w:ascii="Arial" w:hAnsi="Arial" w:cs="Arial"/>
                          <w:b/>
                          <w:i/>
                          <w:iCs/>
                          <w:sz w:val="20"/>
                          <w:vertAlign w:val="subscript"/>
                          <w:lang w:val="en-US"/>
                        </w:rPr>
                        <w:t>IMT</w:t>
                      </w:r>
                      <w:r>
                        <w:rPr>
                          <w:rFonts w:ascii="Arial" w:hAnsi="Arial" w:cs="Arial"/>
                          <w:b/>
                          <w:sz w:val="20"/>
                          <w:vertAlign w:val="subscript"/>
                          <w:lang w:val="en-US"/>
                        </w:rPr>
                        <w:t xml:space="preserve"> (</w:t>
                      </w:r>
                      <w:r w:rsidRPr="00E9117E">
                        <w:rPr>
                          <w:rFonts w:ascii="Arial" w:hAnsi="Arial" w:cs="Arial"/>
                          <w:b/>
                          <w:sz w:val="20"/>
                          <w:vertAlign w:val="subscript"/>
                          <w:lang w:val="en-US"/>
                        </w:rPr>
                        <w:t>m</w:t>
                      </w:r>
                      <w:r>
                        <w:rPr>
                          <w:rFonts w:ascii="Arial" w:hAnsi="Arial" w:cs="Arial"/>
                          <w:b/>
                          <w:sz w:val="20"/>
                          <w:vertAlign w:val="subscript"/>
                          <w:lang w:val="en-US"/>
                        </w:rPr>
                        <w:t>)</w:t>
                      </w:r>
                    </w:p>
                  </w:txbxContent>
                </v:textbox>
              </v:shape>
            </w:pict>
          </mc:Fallback>
        </mc:AlternateContent>
      </w:r>
      <w:r w:rsidRPr="00304846">
        <w:rPr>
          <w:noProof/>
          <w:lang w:val="en-US" w:eastAsia="zh-CN"/>
        </w:rPr>
        <mc:AlternateContent>
          <mc:Choice Requires="wps">
            <w:drawing>
              <wp:anchor distT="0" distB="0" distL="114300" distR="114300" simplePos="0" relativeHeight="251651584" behindDoc="0" locked="0" layoutInCell="1" allowOverlap="1" wp14:anchorId="71C54AC3" wp14:editId="38D21713">
                <wp:simplePos x="0" y="0"/>
                <wp:positionH relativeFrom="column">
                  <wp:posOffset>92710</wp:posOffset>
                </wp:positionH>
                <wp:positionV relativeFrom="paragraph">
                  <wp:posOffset>1363345</wp:posOffset>
                </wp:positionV>
                <wp:extent cx="226060" cy="716280"/>
                <wp:effectExtent l="0" t="0" r="15240" b="7620"/>
                <wp:wrapNone/>
                <wp:docPr id="3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 cy="716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5ABE" w:rsidRPr="00E9117E" w:rsidRDefault="00385ABE" w:rsidP="00AF59A0">
                            <w:pPr>
                              <w:jc w:val="center"/>
                              <w:rPr>
                                <w:rFonts w:ascii="Arial" w:hAnsi="Arial" w:cs="Arial"/>
                                <w:b/>
                                <w:sz w:val="20"/>
                                <w:vertAlign w:val="subscript"/>
                                <w:lang w:val="en-US"/>
                              </w:rPr>
                            </w:pPr>
                            <w:r w:rsidRPr="00F136D8">
                              <w:rPr>
                                <w:rFonts w:ascii="Arial" w:hAnsi="Arial" w:cs="Arial"/>
                                <w:b/>
                                <w:i/>
                                <w:iCs/>
                                <w:sz w:val="20"/>
                                <w:lang w:val="en-US"/>
                              </w:rPr>
                              <w:t>A</w:t>
                            </w:r>
                            <w:r w:rsidRPr="00F136D8">
                              <w:rPr>
                                <w:rFonts w:ascii="Arial" w:hAnsi="Arial" w:cs="Arial"/>
                                <w:b/>
                                <w:i/>
                                <w:iCs/>
                                <w:sz w:val="20"/>
                                <w:vertAlign w:val="subscript"/>
                                <w:lang w:val="en-US"/>
                              </w:rPr>
                              <w:t>hTx</w:t>
                            </w:r>
                            <w:r>
                              <w:rPr>
                                <w:rFonts w:ascii="Arial" w:hAnsi="Arial" w:cs="Arial"/>
                                <w:b/>
                                <w:sz w:val="20"/>
                                <w:vertAlign w:val="subscript"/>
                                <w:lang w:val="en-US"/>
                              </w:rPr>
                              <w:t xml:space="preserve"> (</w:t>
                            </w:r>
                            <w:r w:rsidRPr="00F136D8">
                              <w:rPr>
                                <w:rFonts w:ascii="Arial" w:hAnsi="Arial" w:cs="Arial"/>
                                <w:b/>
                                <w:i/>
                                <w:iCs/>
                                <w:sz w:val="20"/>
                                <w:vertAlign w:val="subscript"/>
                                <w:lang w:val="en-US"/>
                              </w:rPr>
                              <w:t>hRx</w:t>
                            </w:r>
                            <w:r w:rsidRPr="00E9117E">
                              <w:rPr>
                                <w:rFonts w:ascii="Arial" w:hAnsi="Arial" w:cs="Arial"/>
                                <w:b/>
                                <w:sz w:val="20"/>
                                <w:vertAlign w:val="subscript"/>
                                <w:lang w:val="en-US"/>
                              </w:rPr>
                              <w:t>), dB</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C54AC3" id="Поле 8" o:spid="_x0000_s1027" type="#_x0000_t202" style="position:absolute;left:0;text-align:left;margin-left:7.3pt;margin-top:107.35pt;width:17.8pt;height:56.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UkkwIAAHcFAAAOAAAAZHJzL2Uyb0RvYy54bWysVM1u2zAMvg/YOwi6r05SLC2MOkXWosOA&#10;oC3WDj0rstQYlUVNYmJnL7On2GnAniGPNEq2k6LbpcMuMk19pPjzkWfnbW3YRvlQgS34+GjEmbIS&#10;yso+FvzL/dW7U84CClsKA1YVfKsCP5+9fXPWuFxNYAWmVJ6RExvyxhV8hejyLAtypWoRjsApS5ca&#10;fC2Qfv1jVnrRkPfaZJPRaJo14EvnQaoQSHvZXfJZ8q+1knijdVDITMEpNkynT+cyntnsTOSPXrhV&#10;JfswxD9EUYvK0qN7V5cCBVv76g9XdSU9BNB4JKHOQOtKqpQDZTMevcjmbiWcSrlQcYLblyn8P7fy&#10;enPrWVUW/Jg6ZUVNPdp93/3a/dz9YKexPI0LOaHuHOGw/QAttTmlGtwC5FMgSPYM0xkEQsdytNrX&#10;8UuJMjKkDmz3VVctMknKyWQ6mtKNpKuT8XRymrqSHYydD/hRQc2iUHBPTU0BiM0iYHxe5AMkvmXh&#10;qjImNdZY1hR8evx+lAz2N2RhbMSqRJHeTcyiCzxJuDUqYoz9rDSVKMUfFYmc6sJ4thFEKyGlsjiO&#10;tUp+CR1RmoJ4jWGPP0T1GuMuj+FlsLg3risLvutXnKlD2OXTELLu8H0fQ5d3LAG2yzZxIyGjZgnl&#10;lnjgoRuk4ORVRU1ZiIC3wtPkUB9pG+ANHdoAFR96ibMV+G9/00d8weM5OSHzhoax4OHrWnjFmflk&#10;ie2kxkHwg7AcBLuuL4AaMaZV42QSycCjGUTtoX6gPTGPD9GVsJKCKbhEP/xcYLcUaNNINZ8nGE2o&#10;E7iwd04OnI88u28fhHc9GZFYfA3DoIr8BSc7bCKNm6+RmJkIeyhlX3Sa7sSefhPF9fH8P6EO+3L2&#10;GwAA//8DAFBLAwQUAAYACAAAACEA44CkEN8AAAAJAQAADwAAAGRycy9kb3ducmV2LnhtbEyPy07D&#10;MBBF90j8gzVIbBB14r4gxKkogl03tFnAzo2HJCIeR7HbJn/PsILl1RzdeybfjK4TZxxC60lDOktA&#10;IFXetlRrKA9v9w8gQjRkTecJNUwYYFNcX+Ums/5C73jex1pwCYXMaGhi7DMpQ9WgM2HmeyS+ffnB&#10;mchxqKUdzIXLXSdVkqykMy3xQmN6fGmw+t6fnIbtx9TPw64sX9Ppc1upRyUPd07r25vx+QlExDH+&#10;wfCrz+pQsNPRn8gG0XFerJjUoNLFGgQDy0SBOGqYq/USZJHL/x8UPwAAAP//AwBQSwECLQAUAAYA&#10;CAAAACEAtoM4kv4AAADhAQAAEwAAAAAAAAAAAAAAAAAAAAAAW0NvbnRlbnRfVHlwZXNdLnhtbFBL&#10;AQItABQABgAIAAAAIQA4/SH/1gAAAJQBAAALAAAAAAAAAAAAAAAAAC8BAABfcmVscy8ucmVsc1BL&#10;AQItABQABgAIAAAAIQDHTZUkkwIAAHcFAAAOAAAAAAAAAAAAAAAAAC4CAABkcnMvZTJvRG9jLnht&#10;bFBLAQItABQABgAIAAAAIQDjgKQQ3wAAAAkBAAAPAAAAAAAAAAAAAAAAAO0EAABkcnMvZG93bnJl&#10;di54bWxQSwUGAAAAAAQABADzAAAA+QUAAAAA&#10;" filled="f" stroked="f" strokeweight=".5pt">
                <v:path arrowok="t"/>
                <v:textbox style="layout-flow:vertical;mso-layout-flow-alt:bottom-to-top;mso-fit-shape-to-text:t" inset="0,0,0,0">
                  <w:txbxContent>
                    <w:p w:rsidR="00385ABE" w:rsidRPr="00E9117E" w:rsidRDefault="00385ABE" w:rsidP="00AF59A0">
                      <w:pPr>
                        <w:jc w:val="center"/>
                        <w:rPr>
                          <w:rFonts w:ascii="Arial" w:hAnsi="Arial" w:cs="Arial"/>
                          <w:b/>
                          <w:sz w:val="20"/>
                          <w:vertAlign w:val="subscript"/>
                          <w:lang w:val="en-US"/>
                        </w:rPr>
                      </w:pPr>
                      <w:r w:rsidRPr="00F136D8">
                        <w:rPr>
                          <w:rFonts w:ascii="Arial" w:hAnsi="Arial" w:cs="Arial"/>
                          <w:b/>
                          <w:i/>
                          <w:iCs/>
                          <w:sz w:val="20"/>
                          <w:lang w:val="en-US"/>
                        </w:rPr>
                        <w:t>A</w:t>
                      </w:r>
                      <w:r w:rsidRPr="00F136D8">
                        <w:rPr>
                          <w:rFonts w:ascii="Arial" w:hAnsi="Arial" w:cs="Arial"/>
                          <w:b/>
                          <w:i/>
                          <w:iCs/>
                          <w:sz w:val="20"/>
                          <w:vertAlign w:val="subscript"/>
                          <w:lang w:val="en-US"/>
                        </w:rPr>
                        <w:t>hTx</w:t>
                      </w:r>
                      <w:r>
                        <w:rPr>
                          <w:rFonts w:ascii="Arial" w:hAnsi="Arial" w:cs="Arial"/>
                          <w:b/>
                          <w:sz w:val="20"/>
                          <w:vertAlign w:val="subscript"/>
                          <w:lang w:val="en-US"/>
                        </w:rPr>
                        <w:t xml:space="preserve"> (</w:t>
                      </w:r>
                      <w:r w:rsidRPr="00F136D8">
                        <w:rPr>
                          <w:rFonts w:ascii="Arial" w:hAnsi="Arial" w:cs="Arial"/>
                          <w:b/>
                          <w:i/>
                          <w:iCs/>
                          <w:sz w:val="20"/>
                          <w:vertAlign w:val="subscript"/>
                          <w:lang w:val="en-US"/>
                        </w:rPr>
                        <w:t>hRx</w:t>
                      </w:r>
                      <w:r w:rsidRPr="00E9117E">
                        <w:rPr>
                          <w:rFonts w:ascii="Arial" w:hAnsi="Arial" w:cs="Arial"/>
                          <w:b/>
                          <w:sz w:val="20"/>
                          <w:vertAlign w:val="subscript"/>
                          <w:lang w:val="en-US"/>
                        </w:rPr>
                        <w:t>), dB</w:t>
                      </w:r>
                    </w:p>
                  </w:txbxContent>
                </v:textbox>
              </v:shape>
            </w:pict>
          </mc:Fallback>
        </mc:AlternateContent>
      </w:r>
      <w:r w:rsidRPr="00304846">
        <w:rPr>
          <w:lang w:val="en-GB"/>
        </w:rPr>
        <w:t>FIGURE 10</w:t>
      </w:r>
    </w:p>
    <w:p w:rsidR="00AF59A0" w:rsidRPr="00304846" w:rsidRDefault="00AF59A0" w:rsidP="00AF59A0">
      <w:pPr>
        <w:keepNext/>
        <w:keepLines/>
        <w:jc w:val="center"/>
        <w:rPr>
          <w:b/>
          <w:caps/>
          <w:sz w:val="20"/>
          <w:lang w:val="en-GB"/>
        </w:rPr>
      </w:pPr>
      <w:r w:rsidRPr="00304846">
        <w:rPr>
          <w:b/>
          <w:noProof/>
          <w:sz w:val="22"/>
          <w:u w:val="single"/>
          <w:lang w:val="en-US" w:eastAsia="zh-CN"/>
        </w:rPr>
        <w:drawing>
          <wp:anchor distT="0" distB="0" distL="114300" distR="114300" simplePos="0" relativeHeight="251650560" behindDoc="0" locked="0" layoutInCell="1" allowOverlap="1" wp14:anchorId="6ECBF90F" wp14:editId="221EA764">
            <wp:simplePos x="0" y="0"/>
            <wp:positionH relativeFrom="column">
              <wp:posOffset>890905</wp:posOffset>
            </wp:positionH>
            <wp:positionV relativeFrom="paragraph">
              <wp:posOffset>218440</wp:posOffset>
            </wp:positionV>
            <wp:extent cx="4237355" cy="2209165"/>
            <wp:effectExtent l="0" t="0" r="0" b="0"/>
            <wp:wrapTopAndBottom/>
            <wp:docPr id="2210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37355" cy="2209165"/>
                    </a:xfrm>
                    <a:prstGeom prst="rect">
                      <a:avLst/>
                    </a:prstGeom>
                    <a:noFill/>
                    <a:ln>
                      <a:noFill/>
                    </a:ln>
                  </pic:spPr>
                </pic:pic>
              </a:graphicData>
            </a:graphic>
          </wp:anchor>
        </w:drawing>
      </w:r>
      <w:r w:rsidRPr="00304846">
        <w:rPr>
          <w:b/>
          <w:sz w:val="20"/>
          <w:lang w:val="en-GB"/>
        </w:rPr>
        <w:t>The additional loss due to protection from local clutter</w:t>
      </w:r>
    </w:p>
    <w:p w:rsidR="00AF59A0" w:rsidRPr="00304846" w:rsidRDefault="00AF59A0" w:rsidP="00AF59A0">
      <w:pPr>
        <w:overflowPunct/>
        <w:autoSpaceDE/>
        <w:autoSpaceDN/>
        <w:adjustRightInd/>
        <w:spacing w:before="0"/>
        <w:textAlignment w:val="auto"/>
        <w:rPr>
          <w:b/>
          <w:lang w:val="en-GB"/>
        </w:rPr>
      </w:pPr>
      <w:r w:rsidRPr="00304846">
        <w:rPr>
          <w:b/>
          <w:lang w:val="en-GB"/>
        </w:rPr>
        <w:br w:type="page"/>
      </w:r>
    </w:p>
    <w:p w:rsidR="00AF59A0" w:rsidRPr="00304846" w:rsidRDefault="00AF59A0" w:rsidP="00AF59A0">
      <w:pPr>
        <w:keepNext/>
        <w:keepLines/>
        <w:spacing w:before="240" w:after="120"/>
        <w:rPr>
          <w:b/>
          <w:lang w:val="en-GB"/>
        </w:rPr>
      </w:pPr>
      <w:r w:rsidRPr="00304846">
        <w:rPr>
          <w:b/>
          <w:lang w:val="en-GB"/>
        </w:rPr>
        <w:lastRenderedPageBreak/>
        <w:t>4.2.2</w:t>
      </w:r>
      <w:r w:rsidRPr="00304846">
        <w:rPr>
          <w:b/>
          <w:lang w:val="en-GB"/>
        </w:rPr>
        <w:tab/>
        <w:t>Methodology of calculations</w:t>
      </w:r>
    </w:p>
    <w:p w:rsidR="00AF59A0" w:rsidRPr="00304846" w:rsidRDefault="00AF59A0" w:rsidP="00AF59A0">
      <w:pPr>
        <w:pStyle w:val="Heading4"/>
        <w:rPr>
          <w:lang w:val="en-GB"/>
        </w:rPr>
      </w:pPr>
      <w:r w:rsidRPr="00304846">
        <w:rPr>
          <w:lang w:val="en-GB"/>
        </w:rPr>
        <w:t xml:space="preserve">4.2.2.1 </w:t>
      </w:r>
      <w:r w:rsidRPr="00304846">
        <w:rPr>
          <w:lang w:val="en-GB"/>
        </w:rPr>
        <w:tab/>
        <w:t xml:space="preserve">Baseline criteria </w:t>
      </w:r>
      <w:r w:rsidRPr="00304846">
        <w:rPr>
          <w:i/>
          <w:iCs/>
          <w:lang w:val="en-GB"/>
        </w:rPr>
        <w:t>I</w:t>
      </w:r>
      <w:r w:rsidRPr="00304846">
        <w:rPr>
          <w:lang w:val="en-GB"/>
        </w:rPr>
        <w:t>/</w:t>
      </w:r>
      <w:r w:rsidRPr="00304846">
        <w:rPr>
          <w:i/>
          <w:iCs/>
          <w:lang w:val="en-GB"/>
        </w:rPr>
        <w:t>N</w:t>
      </w:r>
    </w:p>
    <w:p w:rsidR="00AF59A0" w:rsidRPr="00304846" w:rsidRDefault="00AF59A0" w:rsidP="00AF59A0">
      <w:pPr>
        <w:rPr>
          <w:rFonts w:asciiTheme="majorBidi" w:hAnsiTheme="majorBidi" w:cstheme="majorBidi"/>
          <w:szCs w:val="24"/>
          <w:u w:val="single"/>
          <w:lang w:val="en-GB"/>
        </w:rPr>
      </w:pPr>
      <w:r w:rsidRPr="00304846">
        <w:rPr>
          <w:rFonts w:asciiTheme="majorBidi" w:hAnsiTheme="majorBidi" w:cstheme="majorBidi"/>
          <w:szCs w:val="24"/>
          <w:lang w:val="en-GB"/>
        </w:rPr>
        <w:t>The methodology envisages several protection criteria for point-to-point FS stations from interfering IMT base station stations.</w:t>
      </w:r>
    </w:p>
    <w:p w:rsidR="00AF59A0" w:rsidRPr="00304846" w:rsidRDefault="00AF59A0" w:rsidP="00AF59A0">
      <w:pPr>
        <w:rPr>
          <w:rFonts w:asciiTheme="majorBidi" w:eastAsia="Calibri" w:hAnsiTheme="majorBidi" w:cstheme="majorBidi"/>
          <w:color w:val="000000"/>
          <w:szCs w:val="24"/>
          <w:lang w:val="en-GB"/>
        </w:rPr>
      </w:pPr>
      <w:r w:rsidRPr="00304846">
        <w:rPr>
          <w:rFonts w:asciiTheme="majorBidi" w:hAnsiTheme="majorBidi" w:cstheme="majorBidi"/>
          <w:i/>
          <w:iCs/>
          <w:szCs w:val="24"/>
          <w:lang w:val="en-GB"/>
        </w:rPr>
        <w:t>I</w:t>
      </w:r>
      <w:r w:rsidRPr="00304846">
        <w:rPr>
          <w:rFonts w:asciiTheme="majorBidi" w:hAnsiTheme="majorBidi" w:cstheme="majorBidi"/>
          <w:szCs w:val="24"/>
          <w:lang w:val="en-GB"/>
        </w:rPr>
        <w:t>/</w:t>
      </w:r>
      <w:r w:rsidRPr="00304846">
        <w:rPr>
          <w:rFonts w:asciiTheme="majorBidi" w:hAnsiTheme="majorBidi" w:cstheme="majorBidi"/>
          <w:i/>
          <w:iCs/>
          <w:szCs w:val="24"/>
          <w:lang w:val="en-GB"/>
        </w:rPr>
        <w:t>N</w:t>
      </w:r>
      <w:r w:rsidRPr="00304846">
        <w:rPr>
          <w:rFonts w:asciiTheme="majorBidi" w:hAnsiTheme="majorBidi" w:cstheme="majorBidi"/>
          <w:szCs w:val="24"/>
          <w:lang w:val="en-GB"/>
        </w:rPr>
        <w:t xml:space="preserve"> criterion is reasonable during protection assessment of FS stations operating under conditions of wanted signal reception with the level close to normal input signal, considering the required fading margin. Such conditions are characteristic for FS networks with long hops, and also when using FS stations with the basic parameters reduced: e.i.r.p. of station, antenna gain, receiver noise figure and antenna-feeder loss.</w:t>
      </w:r>
    </w:p>
    <w:p w:rsidR="00AF59A0" w:rsidRPr="00304846" w:rsidRDefault="00AF59A0" w:rsidP="00AF59A0">
      <w:pPr>
        <w:rPr>
          <w:rFonts w:asciiTheme="majorBidi" w:eastAsiaTheme="minorHAnsi" w:hAnsiTheme="majorBidi" w:cstheme="majorBidi"/>
          <w:szCs w:val="24"/>
          <w:lang w:val="en-GB"/>
        </w:rPr>
      </w:pPr>
      <w:r w:rsidRPr="00304846">
        <w:rPr>
          <w:rFonts w:asciiTheme="majorBidi" w:hAnsiTheme="majorBidi" w:cstheme="majorBidi"/>
          <w:szCs w:val="24"/>
          <w:lang w:val="en-GB"/>
        </w:rPr>
        <w:t xml:space="preserve">The interferer level </w:t>
      </w:r>
      <w:r w:rsidRPr="00304846">
        <w:rPr>
          <w:rFonts w:asciiTheme="majorBidi" w:hAnsiTheme="majorBidi" w:cstheme="majorBidi"/>
          <w:i/>
          <w:iCs/>
          <w:szCs w:val="24"/>
          <w:lang w:val="en-GB"/>
        </w:rPr>
        <w:t>I</w:t>
      </w:r>
      <w:r w:rsidRPr="00304846">
        <w:rPr>
          <w:rFonts w:asciiTheme="majorBidi" w:hAnsiTheme="majorBidi" w:cstheme="majorBidi"/>
          <w:szCs w:val="24"/>
          <w:lang w:val="en-GB"/>
        </w:rPr>
        <w:t xml:space="preserve">(dBW) is calculated by assessing the level of emissions from the interferer falling within the </w:t>
      </w:r>
      <w:r w:rsidRPr="00304846">
        <w:rPr>
          <w:rFonts w:asciiTheme="majorBidi" w:hAnsiTheme="majorBidi" w:cstheme="majorBidi"/>
          <w:szCs w:val="24"/>
          <w:lang w:val="en-GB" w:eastAsia="fr-FR"/>
        </w:rPr>
        <w:t>interfered receiver point-to-point FS systems</w:t>
      </w:r>
      <w:r w:rsidRPr="00304846">
        <w:rPr>
          <w:rFonts w:asciiTheme="majorBidi" w:hAnsiTheme="majorBidi" w:cstheme="majorBidi"/>
          <w:szCs w:val="24"/>
          <w:lang w:val="en-GB"/>
        </w:rPr>
        <w:t xml:space="preserve"> bandwidth:</w:t>
      </w:r>
    </w:p>
    <w:p w:rsidR="00AF59A0" w:rsidRPr="00304846" w:rsidRDefault="00AF59A0" w:rsidP="005E01F8">
      <w:pPr>
        <w:rPr>
          <w:rFonts w:asciiTheme="majorBidi" w:eastAsiaTheme="minorHAnsi" w:hAnsiTheme="majorBidi" w:cstheme="majorBidi"/>
          <w:szCs w:val="24"/>
          <w:lang w:val="en-GB"/>
        </w:rPr>
      </w:pPr>
      <w:r w:rsidRPr="00304846">
        <w:rPr>
          <w:rFonts w:asciiTheme="majorBidi" w:eastAsiaTheme="minorHAnsi" w:hAnsiTheme="majorBidi" w:cstheme="majorBidi"/>
          <w:i/>
          <w:iCs/>
          <w:szCs w:val="24"/>
          <w:lang w:val="en-GB"/>
        </w:rPr>
        <w:t>I</w:t>
      </w:r>
      <w:r w:rsidRPr="00304846">
        <w:rPr>
          <w:rFonts w:asciiTheme="majorBidi" w:eastAsiaTheme="minorHAnsi" w:hAnsiTheme="majorBidi" w:cstheme="majorBidi"/>
          <w:szCs w:val="24"/>
          <w:lang w:val="en-GB"/>
        </w:rPr>
        <w:t xml:space="preserve"> = </w:t>
      </w:r>
      <w:r w:rsidRPr="00304846">
        <w:rPr>
          <w:rFonts w:asciiTheme="majorBidi" w:eastAsiaTheme="minorHAnsi" w:hAnsiTheme="majorBidi" w:cstheme="majorBidi"/>
          <w:i/>
          <w:iCs/>
          <w:szCs w:val="24"/>
          <w:lang w:val="en-GB"/>
        </w:rPr>
        <w:t>P</w:t>
      </w:r>
      <w:r w:rsidRPr="00304846">
        <w:rPr>
          <w:rFonts w:asciiTheme="majorBidi" w:eastAsiaTheme="minorHAnsi" w:hAnsiTheme="majorBidi" w:cstheme="majorBidi"/>
          <w:i/>
          <w:iCs/>
          <w:szCs w:val="24"/>
          <w:vertAlign w:val="subscript"/>
          <w:lang w:val="en-GB"/>
        </w:rPr>
        <w:t>Tx</w:t>
      </w:r>
      <w:r w:rsidRPr="00304846">
        <w:rPr>
          <w:rFonts w:asciiTheme="majorBidi" w:eastAsiaTheme="minorHAnsi" w:hAnsiTheme="majorBidi" w:cstheme="majorBidi"/>
          <w:szCs w:val="24"/>
          <w:lang w:val="en-GB"/>
        </w:rPr>
        <w:t xml:space="preserve"> </w:t>
      </w:r>
      <w:r w:rsidR="005E01F8" w:rsidRPr="00304846">
        <w:rPr>
          <w:rFonts w:asciiTheme="majorBidi" w:eastAsiaTheme="minorHAnsi" w:hAnsiTheme="majorBidi" w:cstheme="majorBidi"/>
          <w:szCs w:val="24"/>
          <w:lang w:val="en-GB"/>
        </w:rPr>
        <w:t>–</w:t>
      </w:r>
      <w:r w:rsidRPr="00304846">
        <w:rPr>
          <w:rFonts w:asciiTheme="majorBidi" w:hAnsiTheme="majorBidi" w:cstheme="majorBidi"/>
          <w:szCs w:val="24"/>
          <w:lang w:val="en-GB" w:eastAsia="fr-FR"/>
        </w:rPr>
        <w:t xml:space="preserve"> </w:t>
      </w:r>
      <w:r w:rsidRPr="00304846">
        <w:rPr>
          <w:rFonts w:asciiTheme="majorBidi" w:hAnsiTheme="majorBidi" w:cstheme="majorBidi"/>
          <w:i/>
          <w:iCs/>
          <w:szCs w:val="24"/>
          <w:lang w:val="en-GB" w:eastAsia="fr-FR"/>
        </w:rPr>
        <w:t>a</w:t>
      </w:r>
      <w:r w:rsidRPr="00304846">
        <w:rPr>
          <w:rFonts w:asciiTheme="majorBidi" w:hAnsiTheme="majorBidi" w:cstheme="majorBidi"/>
          <w:i/>
          <w:iCs/>
          <w:szCs w:val="24"/>
          <w:vertAlign w:val="subscript"/>
          <w:lang w:val="en-GB" w:eastAsia="fr-FR"/>
        </w:rPr>
        <w:t>Tx</w:t>
      </w:r>
      <w:r w:rsidRPr="00304846">
        <w:rPr>
          <w:rFonts w:asciiTheme="majorBidi" w:hAnsiTheme="majorBidi" w:cstheme="majorBidi"/>
          <w:szCs w:val="24"/>
          <w:lang w:val="en-GB" w:eastAsia="fr-FR"/>
        </w:rPr>
        <w:t xml:space="preserve"> + </w:t>
      </w:r>
      <w:r w:rsidRPr="00304846">
        <w:rPr>
          <w:rFonts w:asciiTheme="majorBidi" w:hAnsiTheme="majorBidi" w:cstheme="majorBidi"/>
          <w:i/>
          <w:iCs/>
          <w:szCs w:val="24"/>
          <w:lang w:val="en-GB" w:eastAsia="fr-FR"/>
        </w:rPr>
        <w:t>G</w:t>
      </w:r>
      <w:r w:rsidRPr="00304846">
        <w:rPr>
          <w:rFonts w:asciiTheme="majorBidi" w:hAnsiTheme="majorBidi" w:cstheme="majorBidi"/>
          <w:i/>
          <w:iCs/>
          <w:szCs w:val="24"/>
          <w:vertAlign w:val="subscript"/>
          <w:lang w:val="en-GB" w:eastAsia="fr-FR"/>
        </w:rPr>
        <w:t>Tx</w:t>
      </w:r>
      <w:r w:rsidRPr="00304846">
        <w:rPr>
          <w:rFonts w:asciiTheme="majorBidi" w:hAnsiTheme="majorBidi" w:cstheme="majorBidi"/>
          <w:szCs w:val="24"/>
          <w:lang w:val="en-GB" w:eastAsia="fr-FR"/>
        </w:rPr>
        <w:t xml:space="preserve"> </w:t>
      </w:r>
      <w:r w:rsidR="005E01F8" w:rsidRPr="00304846">
        <w:rPr>
          <w:rFonts w:asciiTheme="majorBidi" w:hAnsiTheme="majorBidi" w:cstheme="majorBidi"/>
          <w:szCs w:val="24"/>
          <w:lang w:val="en-GB" w:eastAsia="fr-FR"/>
        </w:rPr>
        <w:t>–</w:t>
      </w:r>
      <w:r w:rsidRPr="00304846">
        <w:rPr>
          <w:rFonts w:asciiTheme="majorBidi" w:hAnsiTheme="majorBidi" w:cstheme="majorBidi"/>
          <w:szCs w:val="24"/>
          <w:lang w:val="en-GB" w:eastAsia="fr-FR"/>
        </w:rPr>
        <w:t xml:space="preserve"> </w:t>
      </w:r>
      <w:r w:rsidRPr="00304846">
        <w:rPr>
          <w:rFonts w:asciiTheme="majorBidi" w:hAnsiTheme="majorBidi" w:cstheme="majorBidi"/>
          <w:i/>
          <w:iCs/>
          <w:szCs w:val="24"/>
          <w:lang w:val="en-GB" w:eastAsia="fr-FR"/>
        </w:rPr>
        <w:t>L</w:t>
      </w:r>
      <w:r w:rsidRPr="00304846">
        <w:rPr>
          <w:rFonts w:asciiTheme="majorBidi" w:hAnsiTheme="majorBidi" w:cstheme="majorBidi"/>
          <w:i/>
          <w:iCs/>
          <w:szCs w:val="24"/>
          <w:vertAlign w:val="subscript"/>
          <w:lang w:val="en-GB" w:eastAsia="fr-FR"/>
        </w:rPr>
        <w:t>prop</w:t>
      </w:r>
      <w:r w:rsidRPr="00304846">
        <w:rPr>
          <w:rFonts w:asciiTheme="majorBidi" w:hAnsiTheme="majorBidi" w:cstheme="majorBidi"/>
          <w:szCs w:val="24"/>
          <w:lang w:val="en-GB" w:eastAsia="fr-FR"/>
        </w:rPr>
        <w:t>(</w:t>
      </w:r>
      <w:r w:rsidRPr="00304846">
        <w:rPr>
          <w:rFonts w:asciiTheme="majorBidi" w:hAnsiTheme="majorBidi" w:cstheme="majorBidi"/>
          <w:i/>
          <w:iCs/>
          <w:szCs w:val="24"/>
          <w:lang w:val="en-GB" w:eastAsia="fr-FR"/>
        </w:rPr>
        <w:t>d</w:t>
      </w:r>
      <w:r w:rsidRPr="00304846">
        <w:rPr>
          <w:rFonts w:asciiTheme="majorBidi" w:hAnsiTheme="majorBidi" w:cstheme="majorBidi"/>
          <w:i/>
          <w:iCs/>
          <w:szCs w:val="24"/>
          <w:vertAlign w:val="subscript"/>
          <w:lang w:val="en-GB" w:eastAsia="fr-FR"/>
        </w:rPr>
        <w:t>IMT-FS</w:t>
      </w:r>
      <w:r w:rsidRPr="00304846">
        <w:rPr>
          <w:rFonts w:asciiTheme="majorBidi" w:hAnsiTheme="majorBidi" w:cstheme="majorBidi"/>
          <w:szCs w:val="24"/>
          <w:lang w:val="en-GB" w:eastAsia="fr-FR"/>
        </w:rPr>
        <w:t xml:space="preserve">) + </w:t>
      </w:r>
      <w:r w:rsidRPr="00304846">
        <w:rPr>
          <w:rFonts w:asciiTheme="majorBidi" w:hAnsiTheme="majorBidi" w:cstheme="majorBidi"/>
          <w:i/>
          <w:iCs/>
          <w:szCs w:val="24"/>
          <w:lang w:val="en-GB" w:eastAsia="fr-FR"/>
        </w:rPr>
        <w:t>G</w:t>
      </w:r>
      <w:r w:rsidRPr="00304846">
        <w:rPr>
          <w:rFonts w:asciiTheme="majorBidi" w:hAnsiTheme="majorBidi" w:cstheme="majorBidi"/>
          <w:i/>
          <w:iCs/>
          <w:szCs w:val="24"/>
          <w:vertAlign w:val="subscript"/>
          <w:lang w:val="en-GB" w:eastAsia="fr-FR"/>
        </w:rPr>
        <w:t>Rx</w:t>
      </w:r>
      <w:r w:rsidRPr="00304846">
        <w:rPr>
          <w:rFonts w:asciiTheme="majorBidi" w:hAnsiTheme="majorBidi" w:cstheme="majorBidi"/>
          <w:szCs w:val="24"/>
          <w:lang w:val="en-GB" w:eastAsia="fr-FR"/>
        </w:rPr>
        <w:t xml:space="preserve"> </w:t>
      </w:r>
      <w:r w:rsidR="005E01F8" w:rsidRPr="00304846">
        <w:rPr>
          <w:rFonts w:asciiTheme="majorBidi" w:hAnsiTheme="majorBidi" w:cstheme="majorBidi"/>
          <w:szCs w:val="24"/>
          <w:lang w:val="en-GB" w:eastAsia="fr-FR"/>
        </w:rPr>
        <w:t>–</w:t>
      </w:r>
      <w:r w:rsidRPr="00304846">
        <w:rPr>
          <w:rFonts w:asciiTheme="majorBidi" w:hAnsiTheme="majorBidi" w:cstheme="majorBidi"/>
          <w:szCs w:val="24"/>
          <w:lang w:val="en-GB" w:eastAsia="fr-FR"/>
        </w:rPr>
        <w:t xml:space="preserve"> </w:t>
      </w:r>
      <w:r w:rsidRPr="00304846">
        <w:rPr>
          <w:rFonts w:asciiTheme="majorBidi" w:hAnsiTheme="majorBidi" w:cstheme="majorBidi"/>
          <w:i/>
          <w:iCs/>
          <w:szCs w:val="24"/>
          <w:lang w:val="en-GB" w:eastAsia="fr-FR"/>
        </w:rPr>
        <w:t>a</w:t>
      </w:r>
      <w:r w:rsidRPr="00304846">
        <w:rPr>
          <w:rFonts w:asciiTheme="majorBidi" w:hAnsiTheme="majorBidi" w:cstheme="majorBidi"/>
          <w:i/>
          <w:iCs/>
          <w:szCs w:val="24"/>
          <w:vertAlign w:val="subscript"/>
          <w:lang w:val="en-GB" w:eastAsia="fr-FR"/>
        </w:rPr>
        <w:t>Rx</w:t>
      </w:r>
      <w:r w:rsidRPr="00304846">
        <w:rPr>
          <w:rFonts w:asciiTheme="majorBidi" w:hAnsiTheme="majorBidi" w:cstheme="majorBidi"/>
          <w:szCs w:val="24"/>
          <w:lang w:val="en-GB" w:eastAsia="fr-FR"/>
        </w:rPr>
        <w:t xml:space="preserve"> </w:t>
      </w:r>
      <w:r w:rsidR="005E01F8" w:rsidRPr="00304846">
        <w:rPr>
          <w:rFonts w:asciiTheme="majorBidi" w:hAnsiTheme="majorBidi" w:cstheme="majorBidi"/>
          <w:szCs w:val="24"/>
          <w:lang w:val="en-GB" w:eastAsia="fr-FR"/>
        </w:rPr>
        <w:t>–</w:t>
      </w:r>
      <w:r w:rsidRPr="00304846">
        <w:rPr>
          <w:rFonts w:asciiTheme="majorBidi" w:hAnsiTheme="majorBidi" w:cstheme="majorBidi"/>
          <w:szCs w:val="24"/>
          <w:lang w:val="en-GB" w:eastAsia="fr-FR"/>
        </w:rPr>
        <w:t xml:space="preserve"> </w:t>
      </w:r>
      <w:r w:rsidRPr="00304846">
        <w:rPr>
          <w:rFonts w:asciiTheme="majorBidi" w:hAnsiTheme="majorBidi" w:cstheme="majorBidi"/>
          <w:i/>
          <w:iCs/>
          <w:szCs w:val="24"/>
          <w:lang w:val="en-GB" w:eastAsia="fr-FR"/>
        </w:rPr>
        <w:t>a</w:t>
      </w:r>
      <w:r w:rsidRPr="00304846">
        <w:rPr>
          <w:rFonts w:asciiTheme="majorBidi" w:hAnsiTheme="majorBidi" w:cstheme="majorBidi"/>
          <w:i/>
          <w:iCs/>
          <w:szCs w:val="24"/>
          <w:vertAlign w:val="subscript"/>
          <w:lang w:val="en-GB" w:eastAsia="fr-FR"/>
        </w:rPr>
        <w:t>ant</w:t>
      </w:r>
      <w:r w:rsidRPr="00304846">
        <w:rPr>
          <w:rFonts w:asciiTheme="majorBidi" w:hAnsiTheme="majorBidi" w:cstheme="majorBidi"/>
          <w:szCs w:val="24"/>
          <w:lang w:val="en-GB" w:eastAsia="fr-FR"/>
        </w:rPr>
        <w:t>(</w:t>
      </w:r>
      <w:r w:rsidRPr="00304846">
        <w:rPr>
          <w:rFonts w:ascii="Symbol" w:hAnsi="Symbol" w:cstheme="majorBidi"/>
          <w:szCs w:val="24"/>
          <w:lang w:val="en-GB" w:eastAsia="fr-FR"/>
        </w:rPr>
        <w:t></w:t>
      </w:r>
      <w:r w:rsidRPr="00304846">
        <w:rPr>
          <w:rFonts w:asciiTheme="majorBidi" w:hAnsiTheme="majorBidi" w:cstheme="majorBidi"/>
          <w:i/>
          <w:iCs/>
          <w:szCs w:val="24"/>
          <w:vertAlign w:val="subscript"/>
          <w:lang w:val="en-GB" w:eastAsia="fr-FR"/>
        </w:rPr>
        <w:t>az</w:t>
      </w:r>
      <w:r w:rsidRPr="00304846">
        <w:rPr>
          <w:rFonts w:asciiTheme="majorBidi" w:hAnsiTheme="majorBidi" w:cstheme="majorBidi"/>
          <w:szCs w:val="24"/>
          <w:lang w:val="en-GB" w:eastAsia="fr-FR"/>
        </w:rPr>
        <w:t>) – (</w:t>
      </w:r>
      <w:r w:rsidRPr="00304846">
        <w:rPr>
          <w:rFonts w:asciiTheme="majorBidi" w:hAnsiTheme="majorBidi" w:cstheme="majorBidi"/>
          <w:i/>
          <w:iCs/>
          <w:szCs w:val="24"/>
          <w:lang w:val="en-GB" w:eastAsia="fr-FR"/>
        </w:rPr>
        <w:t>MD</w:t>
      </w:r>
      <w:r w:rsidRPr="00304846">
        <w:rPr>
          <w:rFonts w:asciiTheme="majorBidi" w:hAnsiTheme="majorBidi" w:cstheme="majorBidi"/>
          <w:szCs w:val="24"/>
          <w:lang w:val="en-GB" w:eastAsia="fr-FR"/>
        </w:rPr>
        <w:t xml:space="preserve"> + </w:t>
      </w:r>
      <w:r w:rsidRPr="00304846">
        <w:rPr>
          <w:rFonts w:asciiTheme="majorBidi" w:hAnsiTheme="majorBidi" w:cstheme="majorBidi"/>
          <w:i/>
          <w:iCs/>
          <w:szCs w:val="24"/>
          <w:lang w:val="en-GB" w:eastAsia="fr-FR"/>
        </w:rPr>
        <w:t>NFD</w:t>
      </w:r>
      <w:r w:rsidRPr="00304846">
        <w:rPr>
          <w:rFonts w:asciiTheme="majorBidi" w:hAnsiTheme="majorBidi" w:cstheme="majorBidi"/>
          <w:szCs w:val="24"/>
          <w:lang w:val="en-GB" w:eastAsia="fr-FR"/>
        </w:rPr>
        <w:t>(</w:t>
      </w:r>
      <w:r w:rsidRPr="00304846">
        <w:rPr>
          <w:rFonts w:ascii="Symbol" w:hAnsi="Symbol" w:cstheme="majorBidi"/>
          <w:szCs w:val="24"/>
          <w:lang w:val="en-GB" w:eastAsia="fr-FR"/>
        </w:rPr>
        <w:t></w:t>
      </w:r>
      <w:r w:rsidRPr="00304846">
        <w:rPr>
          <w:rFonts w:asciiTheme="majorBidi" w:hAnsiTheme="majorBidi" w:cstheme="majorBidi"/>
          <w:i/>
          <w:iCs/>
          <w:szCs w:val="24"/>
          <w:lang w:val="en-GB" w:eastAsia="fr-FR"/>
        </w:rPr>
        <w:t>f</w:t>
      </w:r>
      <w:r w:rsidRPr="00304846">
        <w:rPr>
          <w:rFonts w:asciiTheme="majorBidi" w:hAnsiTheme="majorBidi" w:cstheme="majorBidi"/>
          <w:szCs w:val="24"/>
          <w:lang w:val="en-GB" w:eastAsia="fr-FR"/>
        </w:rPr>
        <w:t xml:space="preserve">)) – </w:t>
      </w:r>
      <w:r w:rsidRPr="00304846">
        <w:rPr>
          <w:rFonts w:asciiTheme="majorBidi" w:hAnsiTheme="majorBidi" w:cstheme="majorBidi"/>
          <w:i/>
          <w:iCs/>
          <w:szCs w:val="24"/>
          <w:lang w:val="en-GB" w:eastAsia="fr-FR"/>
        </w:rPr>
        <w:t>a</w:t>
      </w:r>
      <w:r w:rsidRPr="00304846">
        <w:rPr>
          <w:rFonts w:asciiTheme="majorBidi" w:hAnsiTheme="majorBidi" w:cstheme="majorBidi"/>
          <w:i/>
          <w:iCs/>
          <w:szCs w:val="24"/>
          <w:vertAlign w:val="subscript"/>
          <w:lang w:val="en-GB" w:eastAsia="fr-FR"/>
        </w:rPr>
        <w:t>indoor</w:t>
      </w:r>
      <w:r w:rsidR="00452441" w:rsidRPr="00304846">
        <w:rPr>
          <w:rFonts w:asciiTheme="majorBidi" w:hAnsiTheme="majorBidi" w:cstheme="majorBidi"/>
          <w:szCs w:val="24"/>
          <w:lang w:val="en-GB" w:eastAsia="fr-FR"/>
        </w:rPr>
        <w:t>            </w:t>
      </w:r>
      <w:r w:rsidRPr="00304846">
        <w:rPr>
          <w:rFonts w:asciiTheme="majorBidi" w:hAnsiTheme="majorBidi" w:cstheme="majorBidi"/>
          <w:szCs w:val="24"/>
          <w:lang w:val="en-GB" w:eastAsia="fr-FR"/>
        </w:rPr>
        <w:t>dBW</w:t>
      </w:r>
    </w:p>
    <w:p w:rsidR="00AF59A0" w:rsidRPr="00304846" w:rsidRDefault="00AF59A0" w:rsidP="00AF59A0">
      <w:pPr>
        <w:rPr>
          <w:rFonts w:asciiTheme="majorBidi" w:hAnsiTheme="majorBidi" w:cstheme="majorBidi"/>
          <w:szCs w:val="24"/>
          <w:lang w:val="en-GB" w:eastAsia="fr-FR"/>
        </w:rPr>
      </w:pPr>
      <w:r w:rsidRPr="00304846">
        <w:rPr>
          <w:rFonts w:asciiTheme="majorBidi" w:hAnsiTheme="majorBidi" w:cstheme="majorBidi"/>
          <w:szCs w:val="24"/>
          <w:lang w:val="en-GB" w:eastAsia="fr-FR"/>
        </w:rPr>
        <w:t>where:</w:t>
      </w:r>
    </w:p>
    <w:p w:rsidR="00AF59A0" w:rsidRPr="00304846" w:rsidRDefault="00AF59A0" w:rsidP="00AF59A0">
      <w:pPr>
        <w:pStyle w:val="Equationlegend"/>
        <w:rPr>
          <w:lang w:val="en-GB" w:eastAsia="fr-FR"/>
        </w:rPr>
      </w:pPr>
      <w:r w:rsidRPr="00304846">
        <w:rPr>
          <w:lang w:val="en-GB" w:eastAsia="fr-FR"/>
        </w:rPr>
        <w:tab/>
      </w:r>
      <w:r w:rsidRPr="00304846">
        <w:rPr>
          <w:i/>
          <w:iCs/>
          <w:lang w:val="en-GB" w:eastAsia="fr-FR"/>
        </w:rPr>
        <w:t>I</w:t>
      </w:r>
      <w:r w:rsidRPr="00304846">
        <w:rPr>
          <w:lang w:val="en-GB" w:eastAsia="fr-FR"/>
        </w:rPr>
        <w:t xml:space="preserve"> (dBW) : </w:t>
      </w:r>
      <w:r w:rsidRPr="00304846">
        <w:rPr>
          <w:lang w:val="en-GB" w:eastAsia="fr-FR"/>
        </w:rPr>
        <w:tab/>
        <w:t>the interfering power level the input of the interfered re</w:t>
      </w:r>
      <w:r w:rsidR="00647CAF" w:rsidRPr="00304846">
        <w:rPr>
          <w:lang w:val="en-GB" w:eastAsia="fr-FR"/>
        </w:rPr>
        <w:t>ceiver point-to-point FS system</w:t>
      </w:r>
    </w:p>
    <w:p w:rsidR="00AF59A0" w:rsidRPr="00304846" w:rsidRDefault="00AF59A0" w:rsidP="00AF59A0">
      <w:pPr>
        <w:pStyle w:val="Equationlegend"/>
        <w:rPr>
          <w:lang w:val="en-GB" w:eastAsia="fr-FR"/>
        </w:rPr>
      </w:pPr>
      <w:r w:rsidRPr="00304846">
        <w:rPr>
          <w:lang w:val="en-GB" w:eastAsia="fr-FR"/>
        </w:rPr>
        <w:tab/>
      </w:r>
      <w:r w:rsidRPr="00304846">
        <w:rPr>
          <w:i/>
          <w:iCs/>
          <w:lang w:val="en-GB" w:eastAsia="fr-FR"/>
        </w:rPr>
        <w:t>P</w:t>
      </w:r>
      <w:r w:rsidRPr="00304846">
        <w:rPr>
          <w:i/>
          <w:iCs/>
          <w:vertAlign w:val="subscript"/>
          <w:lang w:val="en-GB" w:eastAsia="fr-FR"/>
        </w:rPr>
        <w:t>Tx</w:t>
      </w:r>
      <w:r w:rsidRPr="00304846">
        <w:rPr>
          <w:lang w:val="en-GB" w:eastAsia="fr-FR"/>
        </w:rPr>
        <w:t xml:space="preserve"> (dBW) : </w:t>
      </w:r>
      <w:r w:rsidRPr="00304846">
        <w:rPr>
          <w:lang w:val="en-GB" w:eastAsia="fr-FR"/>
        </w:rPr>
        <w:tab/>
        <w:t>transmitter power level interfering tran</w:t>
      </w:r>
      <w:r w:rsidR="00647CAF" w:rsidRPr="00304846">
        <w:rPr>
          <w:lang w:val="en-GB" w:eastAsia="fr-FR"/>
        </w:rPr>
        <w:t>smitter base station IMT system</w:t>
      </w:r>
    </w:p>
    <w:p w:rsidR="00AF59A0" w:rsidRPr="00304846" w:rsidRDefault="00AF59A0" w:rsidP="00AF59A0">
      <w:pPr>
        <w:pStyle w:val="Equationlegend"/>
        <w:rPr>
          <w:lang w:val="en-GB" w:eastAsia="fr-FR"/>
        </w:rPr>
      </w:pPr>
      <w:r w:rsidRPr="00304846">
        <w:rPr>
          <w:lang w:val="en-GB" w:eastAsia="fr-FR"/>
        </w:rPr>
        <w:tab/>
      </w:r>
      <w:r w:rsidRPr="00304846">
        <w:rPr>
          <w:i/>
          <w:iCs/>
          <w:lang w:val="en-GB" w:eastAsia="fr-FR"/>
        </w:rPr>
        <w:t>G</w:t>
      </w:r>
      <w:r w:rsidRPr="00304846">
        <w:rPr>
          <w:i/>
          <w:iCs/>
          <w:vertAlign w:val="subscript"/>
          <w:lang w:val="en-GB" w:eastAsia="fr-FR"/>
        </w:rPr>
        <w:t>T</w:t>
      </w:r>
      <w:r w:rsidRPr="00304846">
        <w:rPr>
          <w:lang w:val="en-GB" w:eastAsia="fr-FR"/>
        </w:rPr>
        <w:t xml:space="preserve"> (dB) : </w:t>
      </w:r>
      <w:r w:rsidRPr="00304846">
        <w:rPr>
          <w:lang w:val="en-GB" w:eastAsia="fr-FR"/>
        </w:rPr>
        <w:tab/>
        <w:t>transmitter antenna gain interfering tran</w:t>
      </w:r>
      <w:r w:rsidR="00647CAF" w:rsidRPr="00304846">
        <w:rPr>
          <w:lang w:val="en-GB" w:eastAsia="fr-FR"/>
        </w:rPr>
        <w:t>smitter base station IMT system</w:t>
      </w:r>
    </w:p>
    <w:p w:rsidR="00AF59A0" w:rsidRPr="00304846" w:rsidRDefault="00AF59A0" w:rsidP="00AF59A0">
      <w:pPr>
        <w:pStyle w:val="Equationlegend"/>
        <w:rPr>
          <w:lang w:val="en-GB" w:eastAsia="fr-FR"/>
        </w:rPr>
      </w:pPr>
      <w:r w:rsidRPr="00304846">
        <w:rPr>
          <w:lang w:val="en-GB" w:eastAsia="fr-FR"/>
        </w:rPr>
        <w:tab/>
      </w:r>
      <w:r w:rsidRPr="00304846">
        <w:rPr>
          <w:i/>
          <w:iCs/>
          <w:lang w:val="en-GB" w:eastAsia="fr-FR"/>
        </w:rPr>
        <w:t>a</w:t>
      </w:r>
      <w:r w:rsidRPr="00304846">
        <w:rPr>
          <w:i/>
          <w:iCs/>
          <w:vertAlign w:val="subscript"/>
          <w:lang w:val="en-GB" w:eastAsia="fr-FR"/>
        </w:rPr>
        <w:t>Tx</w:t>
      </w:r>
      <w:r w:rsidRPr="00304846">
        <w:rPr>
          <w:lang w:val="en-GB" w:eastAsia="fr-FR"/>
        </w:rPr>
        <w:t xml:space="preserve"> (dB) : </w:t>
      </w:r>
      <w:r w:rsidRPr="00304846">
        <w:rPr>
          <w:lang w:val="en-GB" w:eastAsia="fr-FR"/>
        </w:rPr>
        <w:tab/>
        <w:t>all losses between the antenna flange and the output of the interfering tran</w:t>
      </w:r>
      <w:r w:rsidR="00647CAF" w:rsidRPr="00304846">
        <w:rPr>
          <w:lang w:val="en-GB" w:eastAsia="fr-FR"/>
        </w:rPr>
        <w:t>smitter base station IMT system</w:t>
      </w:r>
    </w:p>
    <w:p w:rsidR="00AF59A0" w:rsidRPr="00304846" w:rsidRDefault="00AF59A0" w:rsidP="00AF59A0">
      <w:pPr>
        <w:pStyle w:val="Equationlegend"/>
        <w:rPr>
          <w:lang w:val="en-GB" w:eastAsia="fr-FR"/>
        </w:rPr>
      </w:pPr>
      <w:r w:rsidRPr="00304846">
        <w:rPr>
          <w:lang w:val="en-GB" w:eastAsia="fr-FR"/>
        </w:rPr>
        <w:tab/>
      </w:r>
      <w:r w:rsidRPr="00304846">
        <w:rPr>
          <w:i/>
          <w:iCs/>
          <w:lang w:val="en-GB" w:eastAsia="fr-FR"/>
        </w:rPr>
        <w:t>G</w:t>
      </w:r>
      <w:r w:rsidRPr="00304846">
        <w:rPr>
          <w:i/>
          <w:iCs/>
          <w:vertAlign w:val="subscript"/>
          <w:lang w:val="en-GB" w:eastAsia="fr-FR"/>
        </w:rPr>
        <w:t>R</w:t>
      </w:r>
      <w:r w:rsidRPr="00304846">
        <w:rPr>
          <w:lang w:val="en-GB" w:eastAsia="fr-FR"/>
        </w:rPr>
        <w:t xml:space="preserve"> (dB) : </w:t>
      </w:r>
      <w:r w:rsidRPr="00304846">
        <w:rPr>
          <w:lang w:val="en-GB" w:eastAsia="fr-FR"/>
        </w:rPr>
        <w:tab/>
        <w:t>receiver antenna gain interfered re</w:t>
      </w:r>
      <w:r w:rsidR="00647CAF" w:rsidRPr="00304846">
        <w:rPr>
          <w:lang w:val="en-GB" w:eastAsia="fr-FR"/>
        </w:rPr>
        <w:t>ceiver point-to-point FS system</w:t>
      </w:r>
    </w:p>
    <w:p w:rsidR="00AF59A0" w:rsidRPr="00304846" w:rsidRDefault="00AF59A0" w:rsidP="00AF59A0">
      <w:pPr>
        <w:pStyle w:val="Equationlegend"/>
        <w:rPr>
          <w:lang w:val="en-GB" w:eastAsia="fr-FR"/>
        </w:rPr>
      </w:pPr>
      <w:r w:rsidRPr="00304846">
        <w:rPr>
          <w:lang w:val="en-GB" w:eastAsia="fr-FR"/>
        </w:rPr>
        <w:tab/>
      </w:r>
      <w:r w:rsidRPr="00304846">
        <w:rPr>
          <w:i/>
          <w:iCs/>
          <w:lang w:val="en-GB" w:eastAsia="fr-FR"/>
        </w:rPr>
        <w:t>a</w:t>
      </w:r>
      <w:r w:rsidRPr="00304846">
        <w:rPr>
          <w:i/>
          <w:iCs/>
          <w:vertAlign w:val="subscript"/>
          <w:lang w:val="en-GB" w:eastAsia="fr-FR"/>
        </w:rPr>
        <w:t>Rx</w:t>
      </w:r>
      <w:r w:rsidRPr="00304846">
        <w:rPr>
          <w:lang w:val="en-GB" w:eastAsia="fr-FR"/>
        </w:rPr>
        <w:t xml:space="preserve"> (dB) : </w:t>
      </w:r>
      <w:r w:rsidRPr="00304846">
        <w:rPr>
          <w:lang w:val="en-GB" w:eastAsia="fr-FR"/>
        </w:rPr>
        <w:tab/>
        <w:t>all losses between the antenna flange and the input of the interfered re</w:t>
      </w:r>
      <w:r w:rsidR="00647CAF" w:rsidRPr="00304846">
        <w:rPr>
          <w:lang w:val="en-GB" w:eastAsia="fr-FR"/>
        </w:rPr>
        <w:t>ceiver point-to-point FS system</w:t>
      </w:r>
    </w:p>
    <w:p w:rsidR="00AF59A0" w:rsidRPr="00304846" w:rsidRDefault="00AF59A0" w:rsidP="00AF59A0">
      <w:pPr>
        <w:pStyle w:val="Equationlegend"/>
        <w:rPr>
          <w:lang w:val="en-GB" w:eastAsia="fr-FR"/>
        </w:rPr>
      </w:pPr>
      <w:r w:rsidRPr="00304846">
        <w:rPr>
          <w:lang w:val="en-GB" w:eastAsia="fr-FR"/>
        </w:rPr>
        <w:tab/>
      </w:r>
      <w:r w:rsidRPr="00304846">
        <w:rPr>
          <w:i/>
          <w:iCs/>
          <w:lang w:val="en-GB" w:eastAsia="fr-FR"/>
        </w:rPr>
        <w:t>MD</w:t>
      </w:r>
      <w:r w:rsidRPr="00304846">
        <w:rPr>
          <w:lang w:val="en-GB" w:eastAsia="fr-FR"/>
        </w:rPr>
        <w:t xml:space="preserve"> (dB) : </w:t>
      </w:r>
      <w:r w:rsidRPr="00304846">
        <w:rPr>
          <w:lang w:val="en-GB" w:eastAsia="fr-FR"/>
        </w:rPr>
        <w:tab/>
        <w:t>Masks Discrimination</w:t>
      </w:r>
      <w:r w:rsidRPr="00304846">
        <w:rPr>
          <w:rStyle w:val="FootnoteReference"/>
          <w:lang w:val="en-GB"/>
        </w:rPr>
        <w:footnoteReference w:id="5"/>
      </w:r>
    </w:p>
    <w:p w:rsidR="00AF59A0" w:rsidRPr="00304846" w:rsidRDefault="00AF59A0" w:rsidP="00AF59A0">
      <w:pPr>
        <w:pStyle w:val="Equationlegend"/>
        <w:rPr>
          <w:lang w:val="en-GB" w:eastAsia="fr-FR"/>
        </w:rPr>
      </w:pPr>
      <w:r w:rsidRPr="00304846">
        <w:rPr>
          <w:lang w:val="en-GB" w:eastAsia="fr-FR"/>
        </w:rPr>
        <w:tab/>
      </w:r>
      <w:r w:rsidRPr="00304846">
        <w:rPr>
          <w:i/>
          <w:iCs/>
          <w:lang w:val="en-GB" w:eastAsia="fr-FR"/>
        </w:rPr>
        <w:t>NFD</w:t>
      </w:r>
      <w:r w:rsidRPr="00304846">
        <w:rPr>
          <w:lang w:val="en-GB" w:eastAsia="fr-FR"/>
        </w:rPr>
        <w:t>(</w:t>
      </w:r>
      <w:r w:rsidRPr="00304846">
        <w:rPr>
          <w:rFonts w:ascii="Symbol" w:hAnsi="Symbol"/>
          <w:lang w:val="en-GB" w:eastAsia="fr-FR"/>
        </w:rPr>
        <w:t></w:t>
      </w:r>
      <w:r w:rsidRPr="00304846">
        <w:rPr>
          <w:i/>
          <w:iCs/>
          <w:lang w:val="en-GB" w:eastAsia="fr-FR"/>
        </w:rPr>
        <w:t>f</w:t>
      </w:r>
      <w:r w:rsidRPr="00304846">
        <w:rPr>
          <w:lang w:val="en-GB" w:eastAsia="fr-FR"/>
        </w:rPr>
        <w:t xml:space="preserve">) (dB) : </w:t>
      </w:r>
      <w:r w:rsidRPr="00304846">
        <w:rPr>
          <w:lang w:val="en-GB" w:eastAsia="fr-FR"/>
        </w:rPr>
        <w:tab/>
        <w:t>Net Filter Discrimination</w:t>
      </w:r>
      <w:r w:rsidRPr="00304846">
        <w:rPr>
          <w:rStyle w:val="FootnoteReference"/>
          <w:lang w:val="en-GB"/>
        </w:rPr>
        <w:footnoteReference w:id="6"/>
      </w:r>
    </w:p>
    <w:p w:rsidR="00AF59A0" w:rsidRPr="00304846" w:rsidRDefault="00AF59A0" w:rsidP="00AF59A0">
      <w:pPr>
        <w:rPr>
          <w:lang w:val="en-GB" w:eastAsia="fr-FR"/>
        </w:rPr>
      </w:pPr>
      <w:r w:rsidRPr="00304846">
        <w:rPr>
          <w:lang w:val="en-GB" w:eastAsia="fr-FR"/>
        </w:rPr>
        <w:t>where:</w:t>
      </w:r>
    </w:p>
    <w:p w:rsidR="00AF59A0" w:rsidRPr="00304846" w:rsidRDefault="00AF59A0" w:rsidP="00AF59A0">
      <w:pPr>
        <w:pStyle w:val="Equationlegend"/>
        <w:rPr>
          <w:lang w:val="en-GB" w:eastAsia="fr-FR"/>
        </w:rPr>
      </w:pPr>
      <w:r w:rsidRPr="00304846">
        <w:rPr>
          <w:lang w:val="en-GB" w:eastAsia="fr-FR"/>
        </w:rPr>
        <w:tab/>
      </w:r>
      <w:r w:rsidRPr="00304846">
        <w:rPr>
          <w:rFonts w:ascii="Symbol" w:hAnsi="Symbol"/>
          <w:lang w:val="en-GB" w:eastAsia="fr-FR"/>
        </w:rPr>
        <w:t></w:t>
      </w:r>
      <w:r w:rsidRPr="00304846">
        <w:rPr>
          <w:i/>
          <w:iCs/>
          <w:lang w:val="en-GB" w:eastAsia="fr-FR"/>
        </w:rPr>
        <w:t>f</w:t>
      </w:r>
      <w:r w:rsidRPr="00304846">
        <w:rPr>
          <w:lang w:val="en-GB" w:eastAsia="fr-FR"/>
        </w:rPr>
        <w:t xml:space="preserve"> = </w:t>
      </w:r>
      <w:r w:rsidRPr="00304846">
        <w:rPr>
          <w:lang w:val="en-GB" w:eastAsia="fr-FR"/>
        </w:rPr>
        <w:tab/>
      </w:r>
      <w:r w:rsidRPr="00304846">
        <w:rPr>
          <w:i/>
          <w:iCs/>
          <w:lang w:val="en-GB" w:eastAsia="fr-FR"/>
        </w:rPr>
        <w:t>f</w:t>
      </w:r>
      <w:r w:rsidRPr="00304846">
        <w:rPr>
          <w:i/>
          <w:iCs/>
          <w:vertAlign w:val="subscript"/>
          <w:lang w:val="en-GB" w:eastAsia="fr-FR"/>
        </w:rPr>
        <w:t>Tx</w:t>
      </w:r>
      <w:r w:rsidRPr="00304846">
        <w:rPr>
          <w:lang w:val="en-GB" w:eastAsia="fr-FR"/>
        </w:rPr>
        <w:t xml:space="preserve"> – </w:t>
      </w:r>
      <w:r w:rsidRPr="00304846">
        <w:rPr>
          <w:i/>
          <w:iCs/>
          <w:lang w:val="en-GB" w:eastAsia="fr-FR"/>
        </w:rPr>
        <w:t>f</w:t>
      </w:r>
      <w:r w:rsidRPr="00304846">
        <w:rPr>
          <w:i/>
          <w:iCs/>
          <w:vertAlign w:val="subscript"/>
          <w:lang w:val="en-GB" w:eastAsia="fr-FR"/>
        </w:rPr>
        <w:t>Rx</w:t>
      </w:r>
    </w:p>
    <w:p w:rsidR="00AF59A0" w:rsidRPr="00304846" w:rsidRDefault="00AF59A0" w:rsidP="00AF59A0">
      <w:pPr>
        <w:pStyle w:val="Equationlegend"/>
        <w:rPr>
          <w:lang w:val="en-GB" w:eastAsia="fr-FR"/>
        </w:rPr>
      </w:pPr>
      <w:r w:rsidRPr="00304846">
        <w:rPr>
          <w:lang w:val="en-GB" w:eastAsia="fr-FR"/>
        </w:rPr>
        <w:tab/>
      </w:r>
      <w:r w:rsidRPr="00304846">
        <w:rPr>
          <w:i/>
          <w:iCs/>
          <w:lang w:val="en-GB" w:eastAsia="fr-FR"/>
        </w:rPr>
        <w:t>f</w:t>
      </w:r>
      <w:r w:rsidRPr="00304846">
        <w:rPr>
          <w:i/>
          <w:iCs/>
          <w:vertAlign w:val="subscript"/>
          <w:lang w:val="en-GB" w:eastAsia="fr-FR"/>
        </w:rPr>
        <w:t>Tx</w:t>
      </w:r>
      <w:r w:rsidR="00647CAF" w:rsidRPr="00304846">
        <w:rPr>
          <w:lang w:val="en-GB" w:eastAsia="fr-FR"/>
        </w:rPr>
        <w:t xml:space="preserve"> : </w:t>
      </w:r>
      <w:r w:rsidR="00647CAF" w:rsidRPr="00304846">
        <w:rPr>
          <w:lang w:val="en-GB" w:eastAsia="fr-FR"/>
        </w:rPr>
        <w:tab/>
        <w:t>interferer timed frequency</w:t>
      </w:r>
    </w:p>
    <w:p w:rsidR="00AF59A0" w:rsidRPr="00304846" w:rsidRDefault="00AF59A0" w:rsidP="00AF59A0">
      <w:pPr>
        <w:pStyle w:val="Equationlegend"/>
        <w:rPr>
          <w:lang w:val="en-GB" w:eastAsia="fr-FR"/>
        </w:rPr>
      </w:pPr>
      <w:r w:rsidRPr="00304846">
        <w:rPr>
          <w:lang w:val="en-GB" w:eastAsia="fr-FR"/>
        </w:rPr>
        <w:tab/>
      </w:r>
      <w:r w:rsidRPr="00304846">
        <w:rPr>
          <w:i/>
          <w:iCs/>
          <w:lang w:val="en-GB" w:eastAsia="fr-FR"/>
        </w:rPr>
        <w:t>f</w:t>
      </w:r>
      <w:r w:rsidRPr="00304846">
        <w:rPr>
          <w:i/>
          <w:iCs/>
          <w:vertAlign w:val="subscript"/>
          <w:lang w:val="en-GB" w:eastAsia="fr-FR"/>
        </w:rPr>
        <w:t>Rx</w:t>
      </w:r>
      <w:r w:rsidR="00647CAF" w:rsidRPr="00304846">
        <w:rPr>
          <w:i/>
          <w:iCs/>
          <w:lang w:val="en-GB" w:eastAsia="fr-FR"/>
        </w:rPr>
        <w:t xml:space="preserve"> </w:t>
      </w:r>
      <w:r w:rsidR="00647CAF" w:rsidRPr="00304846">
        <w:rPr>
          <w:lang w:val="en-GB" w:eastAsia="fr-FR"/>
        </w:rPr>
        <w:t xml:space="preserve">: </w:t>
      </w:r>
      <w:r w:rsidR="00647CAF" w:rsidRPr="00304846">
        <w:rPr>
          <w:lang w:val="en-GB" w:eastAsia="fr-FR"/>
        </w:rPr>
        <w:tab/>
        <w:t>receiver tuned frequency.</w:t>
      </w:r>
    </w:p>
    <w:p w:rsidR="00AF59A0" w:rsidRPr="00304846" w:rsidRDefault="00AF59A0" w:rsidP="00AF59A0">
      <w:pPr>
        <w:tabs>
          <w:tab w:val="center" w:pos="4820"/>
          <w:tab w:val="right" w:pos="9639"/>
        </w:tabs>
        <w:jc w:val="center"/>
        <w:rPr>
          <w:rFonts w:ascii="Cambria" w:eastAsia="Calibri" w:hAnsi="Cambria"/>
          <w:color w:val="000000"/>
          <w:sz w:val="18"/>
          <w:szCs w:val="18"/>
          <w:lang w:val="en-GB"/>
        </w:rPr>
      </w:pPr>
      <w:r w:rsidRPr="00304846">
        <w:rPr>
          <w:rFonts w:asciiTheme="majorBidi" w:hAnsiTheme="majorBidi" w:cstheme="majorBidi"/>
          <w:color w:val="000000"/>
          <w:position w:val="-68"/>
          <w:szCs w:val="24"/>
          <w:lang w:val="en-GB"/>
        </w:rPr>
        <w:object w:dxaOrig="3240" w:dyaOrig="1480">
          <v:shape id="_x0000_i1036" type="#_x0000_t75" style="width:141.85pt;height:65pt" o:ole="">
            <v:imagedata r:id="rId47" o:title=""/>
          </v:shape>
          <o:OLEObject Type="Embed" ProgID="Equation.3" ShapeID="_x0000_i1036" DrawAspect="Content" ObjectID="_1486385375" r:id="rId48"/>
        </w:object>
      </w:r>
    </w:p>
    <w:p w:rsidR="00AF59A0" w:rsidRPr="00304846" w:rsidRDefault="00AF59A0" w:rsidP="00AF59A0">
      <w:pPr>
        <w:tabs>
          <w:tab w:val="center" w:pos="4820"/>
          <w:tab w:val="right" w:pos="9639"/>
        </w:tabs>
        <w:jc w:val="center"/>
        <w:rPr>
          <w:rFonts w:ascii="Cambria" w:eastAsia="Calibri" w:hAnsi="Cambria"/>
          <w:color w:val="000000"/>
          <w:sz w:val="18"/>
          <w:szCs w:val="18"/>
          <w:lang w:val="en-GB"/>
        </w:rPr>
      </w:pPr>
      <w:r w:rsidRPr="00304846">
        <w:rPr>
          <w:color w:val="000000"/>
          <w:position w:val="-68"/>
          <w:sz w:val="18"/>
          <w:szCs w:val="18"/>
          <w:lang w:val="en-GB"/>
        </w:rPr>
        <w:object w:dxaOrig="4160" w:dyaOrig="1480">
          <v:shape id="_x0000_i1037" type="#_x0000_t75" style="width:175.7pt;height:62.35pt" o:ole="">
            <v:imagedata r:id="rId49" o:title=""/>
          </v:shape>
          <o:OLEObject Type="Embed" ProgID="Equation.3" ShapeID="_x0000_i1037" DrawAspect="Content" ObjectID="_1486385376" r:id="rId50"/>
        </w:object>
      </w:r>
      <w:r w:rsidRPr="00304846">
        <w:rPr>
          <w:color w:val="000000"/>
          <w:sz w:val="18"/>
          <w:szCs w:val="18"/>
          <w:lang w:val="en-GB"/>
        </w:rPr>
        <w:t>,</w:t>
      </w:r>
    </w:p>
    <w:p w:rsidR="00AF59A0" w:rsidRPr="00304846" w:rsidRDefault="00AF59A0" w:rsidP="00AF59A0">
      <w:pPr>
        <w:overflowPunct/>
        <w:autoSpaceDE/>
        <w:autoSpaceDN/>
        <w:adjustRightInd/>
        <w:spacing w:before="0"/>
        <w:textAlignment w:val="auto"/>
        <w:rPr>
          <w:lang w:val="en-GB"/>
        </w:rPr>
      </w:pPr>
      <w:r w:rsidRPr="00304846">
        <w:rPr>
          <w:lang w:val="en-GB"/>
        </w:rPr>
        <w:br w:type="page"/>
      </w:r>
    </w:p>
    <w:p w:rsidR="00AF59A0" w:rsidRPr="00304846" w:rsidRDefault="00AF59A0" w:rsidP="00AF59A0">
      <w:pPr>
        <w:rPr>
          <w:lang w:val="en-GB"/>
        </w:rPr>
      </w:pPr>
      <w:r w:rsidRPr="00304846">
        <w:rPr>
          <w:lang w:val="en-GB"/>
        </w:rPr>
        <w:lastRenderedPageBreak/>
        <w:t>where:</w:t>
      </w:r>
    </w:p>
    <w:p w:rsidR="00AF59A0" w:rsidRPr="00304846" w:rsidRDefault="00AF59A0" w:rsidP="00A51A65">
      <w:pPr>
        <w:pStyle w:val="Equationlegend"/>
        <w:rPr>
          <w:lang w:val="en-GB"/>
        </w:rPr>
      </w:pPr>
      <w:r w:rsidRPr="00304846">
        <w:rPr>
          <w:lang w:val="en-GB"/>
        </w:rPr>
        <w:tab/>
      </w:r>
      <w:r w:rsidRPr="00304846">
        <w:rPr>
          <w:i/>
          <w:iCs/>
          <w:lang w:val="en-GB"/>
        </w:rPr>
        <w:t>P</w:t>
      </w:r>
      <w:r w:rsidRPr="00304846">
        <w:rPr>
          <w:lang w:val="en-GB"/>
        </w:rPr>
        <w:t>( </w:t>
      </w:r>
      <w:r w:rsidRPr="00304846">
        <w:rPr>
          <w:i/>
          <w:iCs/>
          <w:lang w:val="en-GB"/>
        </w:rPr>
        <w:t>f</w:t>
      </w:r>
      <w:r w:rsidRPr="00304846">
        <w:rPr>
          <w:lang w:val="en-GB"/>
        </w:rPr>
        <w:t xml:space="preserve"> ) : </w:t>
      </w:r>
      <w:r w:rsidRPr="00304846">
        <w:rPr>
          <w:lang w:val="en-GB"/>
        </w:rPr>
        <w:tab/>
        <w:t>transmitter</w:t>
      </w:r>
      <w:r w:rsidRPr="00304846">
        <w:rPr>
          <w:lang w:val="en-GB" w:eastAsia="fr-FR"/>
        </w:rPr>
        <w:t xml:space="preserve"> spectr</w:t>
      </w:r>
      <w:r w:rsidR="00A51A65" w:rsidRPr="00304846">
        <w:rPr>
          <w:lang w:val="en-GB" w:eastAsia="fr-FR"/>
        </w:rPr>
        <w:t>um mask base station IMT system</w:t>
      </w:r>
    </w:p>
    <w:p w:rsidR="00AF59A0" w:rsidRPr="00304846" w:rsidRDefault="00AF59A0" w:rsidP="00AF59A0">
      <w:pPr>
        <w:pStyle w:val="Equationlegend"/>
        <w:rPr>
          <w:lang w:val="en-GB" w:eastAsia="fr-FR"/>
        </w:rPr>
      </w:pPr>
      <w:r w:rsidRPr="00304846">
        <w:rPr>
          <w:lang w:val="en-GB"/>
        </w:rPr>
        <w:tab/>
      </w:r>
      <w:r w:rsidRPr="00304846">
        <w:rPr>
          <w:i/>
          <w:iCs/>
          <w:lang w:val="en-GB"/>
        </w:rPr>
        <w:t>H</w:t>
      </w:r>
      <w:r w:rsidRPr="00304846">
        <w:rPr>
          <w:lang w:val="en-GB"/>
        </w:rPr>
        <w:t>( </w:t>
      </w:r>
      <w:r w:rsidRPr="00304846">
        <w:rPr>
          <w:i/>
          <w:iCs/>
          <w:lang w:val="en-GB"/>
        </w:rPr>
        <w:t>f</w:t>
      </w:r>
      <w:r w:rsidRPr="00304846">
        <w:rPr>
          <w:lang w:val="en-GB"/>
        </w:rPr>
        <w:t> ) :</w:t>
      </w:r>
      <w:r w:rsidRPr="00304846">
        <w:rPr>
          <w:lang w:val="en-GB"/>
        </w:rPr>
        <w:tab/>
        <w:t xml:space="preserve">receiver selectivity mask </w:t>
      </w:r>
      <w:r w:rsidR="00A51A65" w:rsidRPr="00304846">
        <w:rPr>
          <w:lang w:val="en-GB" w:eastAsia="fr-FR"/>
        </w:rPr>
        <w:t>point-to-point FS system</w:t>
      </w:r>
    </w:p>
    <w:p w:rsidR="00AF59A0" w:rsidRPr="00304846" w:rsidRDefault="00AF59A0" w:rsidP="00AF59A0">
      <w:pPr>
        <w:pStyle w:val="Equationlegend"/>
        <w:rPr>
          <w:lang w:val="en-GB" w:eastAsia="fr-FR"/>
        </w:rPr>
      </w:pPr>
      <w:r w:rsidRPr="00304846">
        <w:rPr>
          <w:lang w:val="en-GB" w:eastAsia="fr-FR"/>
        </w:rPr>
        <w:tab/>
      </w:r>
      <w:r w:rsidRPr="00304846">
        <w:rPr>
          <w:i/>
          <w:iCs/>
          <w:lang w:val="en-GB" w:eastAsia="fr-FR"/>
        </w:rPr>
        <w:t>L</w:t>
      </w:r>
      <w:r w:rsidRPr="00304846">
        <w:rPr>
          <w:i/>
          <w:iCs/>
          <w:vertAlign w:val="subscript"/>
          <w:lang w:val="en-GB" w:eastAsia="fr-FR"/>
        </w:rPr>
        <w:t>prop</w:t>
      </w:r>
      <w:r w:rsidRPr="00304846">
        <w:rPr>
          <w:lang w:val="en-GB" w:eastAsia="fr-FR"/>
        </w:rPr>
        <w:t>(</w:t>
      </w:r>
      <w:r w:rsidRPr="00304846">
        <w:rPr>
          <w:i/>
          <w:iCs/>
          <w:lang w:val="en-GB" w:eastAsia="fr-FR"/>
        </w:rPr>
        <w:t>d</w:t>
      </w:r>
      <w:r w:rsidRPr="00304846">
        <w:rPr>
          <w:i/>
          <w:iCs/>
          <w:vertAlign w:val="subscript"/>
          <w:lang w:val="en-GB" w:eastAsia="fr-FR"/>
        </w:rPr>
        <w:t>FS-IMT</w:t>
      </w:r>
      <w:r w:rsidRPr="00304846">
        <w:rPr>
          <w:lang w:val="en-GB" w:eastAsia="fr-FR"/>
        </w:rPr>
        <w:t xml:space="preserve">) (dB) : </w:t>
      </w:r>
      <w:r w:rsidRPr="00304846">
        <w:rPr>
          <w:lang w:val="en-GB" w:eastAsia="fr-FR"/>
        </w:rPr>
        <w:tab/>
        <w:t>propagation attenuation between antennas interfered receive</w:t>
      </w:r>
      <w:r w:rsidR="003A6AD8" w:rsidRPr="00304846">
        <w:rPr>
          <w:lang w:val="en-GB" w:eastAsia="fr-FR"/>
        </w:rPr>
        <w:t xml:space="preserve">r point-to-point FS system and </w:t>
      </w:r>
      <w:r w:rsidRPr="00304846">
        <w:rPr>
          <w:lang w:val="en-GB" w:eastAsia="fr-FR"/>
        </w:rPr>
        <w:t xml:space="preserve">interfering transmitter base station IMT system </w:t>
      </w:r>
      <w:r w:rsidR="00A51A65" w:rsidRPr="00304846">
        <w:rPr>
          <w:lang w:val="en-GB" w:eastAsia="fr-FR"/>
        </w:rPr>
        <w:t>(Recommendation ITU-R P.452</w:t>
      </w:r>
      <w:r w:rsidR="00A51A65" w:rsidRPr="00304846">
        <w:rPr>
          <w:lang w:val="en-GB" w:eastAsia="fr-FR"/>
        </w:rPr>
        <w:noBreakHyphen/>
        <w:t>14)</w:t>
      </w:r>
    </w:p>
    <w:p w:rsidR="00AF59A0" w:rsidRPr="00304846" w:rsidRDefault="00AF59A0" w:rsidP="00AF59A0">
      <w:pPr>
        <w:pStyle w:val="Equationlegend"/>
        <w:rPr>
          <w:lang w:val="en-GB" w:eastAsia="fr-FR"/>
        </w:rPr>
      </w:pPr>
      <w:r w:rsidRPr="00304846">
        <w:rPr>
          <w:lang w:val="en-GB"/>
        </w:rPr>
        <w:tab/>
      </w:r>
      <w:r w:rsidRPr="00304846">
        <w:rPr>
          <w:i/>
          <w:iCs/>
          <w:lang w:val="en-GB"/>
        </w:rPr>
        <w:t>d</w:t>
      </w:r>
      <w:r w:rsidRPr="00304846">
        <w:rPr>
          <w:i/>
          <w:iCs/>
          <w:vertAlign w:val="subscript"/>
          <w:lang w:val="en-GB"/>
        </w:rPr>
        <w:t>FS-IMT</w:t>
      </w:r>
      <w:r w:rsidRPr="00304846">
        <w:rPr>
          <w:lang w:val="en-GB"/>
        </w:rPr>
        <w:t xml:space="preserve"> : </w:t>
      </w:r>
      <w:r w:rsidRPr="00304846">
        <w:rPr>
          <w:lang w:val="en-GB"/>
        </w:rPr>
        <w:tab/>
        <w:t xml:space="preserve">distance between the </w:t>
      </w:r>
      <w:r w:rsidRPr="00304846">
        <w:rPr>
          <w:lang w:val="en-GB" w:eastAsia="fr-FR"/>
        </w:rPr>
        <w:t>interfering transmitter base station IMT system</w:t>
      </w:r>
      <w:r w:rsidRPr="00304846">
        <w:rPr>
          <w:lang w:val="en-GB"/>
        </w:rPr>
        <w:t xml:space="preserve"> and the </w:t>
      </w:r>
      <w:r w:rsidRPr="00304846">
        <w:rPr>
          <w:lang w:val="en-GB" w:eastAsia="fr-FR"/>
        </w:rPr>
        <w:t>interfered re</w:t>
      </w:r>
      <w:r w:rsidR="00A51A65" w:rsidRPr="00304846">
        <w:rPr>
          <w:lang w:val="en-GB" w:eastAsia="fr-FR"/>
        </w:rPr>
        <w:t>ceiver point-to-point FS system</w:t>
      </w:r>
    </w:p>
    <w:p w:rsidR="00AF59A0" w:rsidRPr="00304846" w:rsidRDefault="00AF59A0" w:rsidP="00A51A65">
      <w:pPr>
        <w:pStyle w:val="Equationlegend"/>
        <w:rPr>
          <w:lang w:val="en-GB" w:eastAsia="fr-FR"/>
        </w:rPr>
      </w:pPr>
      <w:r w:rsidRPr="00304846">
        <w:rPr>
          <w:lang w:val="en-GB" w:eastAsia="fr-FR"/>
        </w:rPr>
        <w:tab/>
      </w:r>
      <w:r w:rsidRPr="00304846">
        <w:rPr>
          <w:i/>
          <w:iCs/>
          <w:lang w:val="en-GB" w:eastAsia="fr-FR"/>
        </w:rPr>
        <w:t>a</w:t>
      </w:r>
      <w:r w:rsidRPr="00304846">
        <w:rPr>
          <w:i/>
          <w:iCs/>
          <w:vertAlign w:val="subscript"/>
          <w:lang w:val="en-GB" w:eastAsia="fr-FR"/>
        </w:rPr>
        <w:t>ant</w:t>
      </w:r>
      <w:r w:rsidRPr="00304846">
        <w:rPr>
          <w:lang w:val="en-GB" w:eastAsia="fr-FR"/>
        </w:rPr>
        <w:t>(</w:t>
      </w:r>
      <w:r w:rsidRPr="00304846">
        <w:rPr>
          <w:rFonts w:ascii="Symbol" w:hAnsi="Symbol"/>
          <w:lang w:val="en-GB" w:eastAsia="fr-FR"/>
        </w:rPr>
        <w:t></w:t>
      </w:r>
      <w:r w:rsidRPr="00304846">
        <w:rPr>
          <w:i/>
          <w:iCs/>
          <w:vertAlign w:val="subscript"/>
          <w:lang w:val="en-GB" w:eastAsia="fr-FR"/>
        </w:rPr>
        <w:t>az FS-IMT</w:t>
      </w:r>
      <w:r w:rsidR="00A51A65" w:rsidRPr="00304846">
        <w:rPr>
          <w:lang w:val="en-GB" w:eastAsia="fr-FR"/>
        </w:rPr>
        <w:t>) (dB) :</w:t>
      </w:r>
      <w:r w:rsidR="00A51A65" w:rsidRPr="00304846">
        <w:rPr>
          <w:lang w:val="en-GB" w:eastAsia="fr-FR"/>
        </w:rPr>
        <w:tab/>
      </w:r>
      <w:r w:rsidRPr="00304846">
        <w:rPr>
          <w:lang w:val="en-GB" w:eastAsia="fr-FR"/>
        </w:rPr>
        <w:t>attenuation which is a function of angle between the main axis of the point</w:t>
      </w:r>
      <w:r w:rsidR="00A51A65" w:rsidRPr="00304846">
        <w:rPr>
          <w:lang w:val="en-GB" w:eastAsia="fr-FR"/>
        </w:rPr>
        <w:noBreakHyphen/>
      </w:r>
      <w:r w:rsidRPr="00304846">
        <w:rPr>
          <w:lang w:val="en-GB" w:eastAsia="fr-FR"/>
        </w:rPr>
        <w:t>to</w:t>
      </w:r>
      <w:r w:rsidR="00A51A65" w:rsidRPr="00304846">
        <w:rPr>
          <w:lang w:val="en-GB" w:eastAsia="fr-FR"/>
        </w:rPr>
        <w:noBreakHyphen/>
      </w:r>
      <w:r w:rsidRPr="00304846">
        <w:rPr>
          <w:lang w:val="en-GB" w:eastAsia="fr-FR"/>
        </w:rPr>
        <w:t xml:space="preserve">point FS system and the axis between the base station IMT system and the point-to-point FS system </w:t>
      </w:r>
      <w:r w:rsidRPr="00304846">
        <w:rPr>
          <w:rFonts w:ascii="Symbol" w:hAnsi="Symbol"/>
          <w:lang w:val="en-GB" w:eastAsia="fr-FR"/>
        </w:rPr>
        <w:t></w:t>
      </w:r>
      <w:r w:rsidRPr="00304846">
        <w:rPr>
          <w:i/>
          <w:iCs/>
          <w:vertAlign w:val="subscript"/>
          <w:lang w:val="en-GB" w:eastAsia="fr-FR"/>
        </w:rPr>
        <w:t>az FS-IMT</w:t>
      </w:r>
    </w:p>
    <w:p w:rsidR="00AF59A0" w:rsidRPr="00304846" w:rsidRDefault="00AF59A0" w:rsidP="00AF59A0">
      <w:pPr>
        <w:pStyle w:val="Equationlegend"/>
        <w:rPr>
          <w:lang w:val="en-GB" w:eastAsia="fr-FR"/>
        </w:rPr>
      </w:pPr>
      <w:r w:rsidRPr="00304846">
        <w:rPr>
          <w:lang w:val="en-GB" w:eastAsia="fr-FR"/>
        </w:rPr>
        <w:tab/>
      </w:r>
      <w:r w:rsidRPr="00304846">
        <w:rPr>
          <w:i/>
          <w:iCs/>
          <w:lang w:val="en-GB" w:eastAsia="fr-FR"/>
        </w:rPr>
        <w:t>a</w:t>
      </w:r>
      <w:r w:rsidRPr="00304846">
        <w:rPr>
          <w:i/>
          <w:iCs/>
          <w:vertAlign w:val="subscript"/>
          <w:lang w:val="en-GB" w:eastAsia="fr-FR"/>
        </w:rPr>
        <w:t>indoor</w:t>
      </w:r>
      <w:r w:rsidRPr="00304846">
        <w:rPr>
          <w:i/>
          <w:iCs/>
          <w:lang w:val="en-GB" w:eastAsia="fr-FR"/>
        </w:rPr>
        <w:t xml:space="preserve"> </w:t>
      </w:r>
      <w:r w:rsidRPr="00304846">
        <w:rPr>
          <w:lang w:val="en-GB" w:eastAsia="fr-FR"/>
        </w:rPr>
        <w:t xml:space="preserve">(dB) : </w:t>
      </w:r>
      <w:r w:rsidRPr="00304846">
        <w:rPr>
          <w:lang w:val="en-GB" w:eastAsia="fr-FR"/>
        </w:rPr>
        <w:tab/>
      </w:r>
      <w:r w:rsidRPr="00304846">
        <w:rPr>
          <w:lang w:val="en-GB"/>
        </w:rPr>
        <w:t xml:space="preserve">indoor-to-outdoor penetration loss </w:t>
      </w:r>
      <w:r w:rsidRPr="00304846">
        <w:rPr>
          <w:lang w:val="en-GB" w:eastAsia="fr-FR"/>
        </w:rPr>
        <w:t>(Fig. 10, Rec. ITU-R P.1238).</w:t>
      </w:r>
    </w:p>
    <w:p w:rsidR="00AF59A0" w:rsidRPr="00304846" w:rsidRDefault="00AF59A0" w:rsidP="00AF59A0">
      <w:pPr>
        <w:pStyle w:val="FigureNo"/>
        <w:rPr>
          <w:lang w:val="en-GB"/>
        </w:rPr>
      </w:pPr>
      <w:r w:rsidRPr="00304846">
        <w:rPr>
          <w:lang w:val="en-GB"/>
        </w:rPr>
        <w:t>FIGURE 11</w:t>
      </w:r>
    </w:p>
    <w:p w:rsidR="00AF59A0" w:rsidRPr="00304846" w:rsidRDefault="00AF59A0" w:rsidP="003A6AD8">
      <w:pPr>
        <w:pStyle w:val="Figuretitle"/>
        <w:rPr>
          <w:lang w:val="en-GB"/>
        </w:rPr>
      </w:pPr>
      <w:r w:rsidRPr="00304846">
        <w:rPr>
          <w:lang w:val="en-GB" w:eastAsia="fr-FR"/>
        </w:rPr>
        <w:t>Attenuation (MD+NFD)</w:t>
      </w:r>
    </w:p>
    <w:p w:rsidR="00AF59A0" w:rsidRPr="00304846" w:rsidRDefault="00AF59A0" w:rsidP="003A6AD8">
      <w:pPr>
        <w:pStyle w:val="Figure"/>
        <w:rPr>
          <w:lang w:val="en-GB"/>
        </w:rPr>
      </w:pPr>
      <w:r w:rsidRPr="00304846">
        <w:rPr>
          <w:noProof/>
          <w:lang w:val="en-US" w:eastAsia="zh-CN"/>
        </w:rPr>
        <w:drawing>
          <wp:inline distT="0" distB="0" distL="0" distR="0" wp14:anchorId="0D087362" wp14:editId="183F3817">
            <wp:extent cx="4933950" cy="2324100"/>
            <wp:effectExtent l="0" t="0" r="0" b="0"/>
            <wp:docPr id="2210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F59A0" w:rsidRPr="00304846" w:rsidRDefault="00AF59A0" w:rsidP="00AF59A0">
      <w:pPr>
        <w:rPr>
          <w:rFonts w:asciiTheme="majorBidi" w:hAnsiTheme="majorBidi" w:cstheme="majorBidi"/>
          <w:lang w:val="en-GB"/>
        </w:rPr>
      </w:pPr>
      <w:r w:rsidRPr="00304846">
        <w:rPr>
          <w:lang w:val="en-GB"/>
        </w:rPr>
        <w:t>According to Recommendation ITU</w:t>
      </w:r>
      <w:r w:rsidRPr="00304846">
        <w:rPr>
          <w:lang w:val="en-GB"/>
        </w:rPr>
        <w:noBreakHyphen/>
        <w:t xml:space="preserve">R V.573, </w:t>
      </w:r>
      <w:r w:rsidRPr="00304846">
        <w:rPr>
          <w:rFonts w:asciiTheme="majorBidi" w:hAnsiTheme="majorBidi" w:cstheme="majorBidi"/>
          <w:lang w:val="en-GB"/>
        </w:rPr>
        <w:t xml:space="preserve">noise level of the </w:t>
      </w:r>
      <w:r w:rsidRPr="00304846">
        <w:rPr>
          <w:rFonts w:asciiTheme="majorBidi" w:hAnsiTheme="majorBidi" w:cstheme="majorBidi"/>
          <w:lang w:val="en-GB" w:eastAsia="fr-FR"/>
        </w:rPr>
        <w:t xml:space="preserve">interfered receiver point-to-point FS system N </w:t>
      </w:r>
      <w:r w:rsidRPr="00304846">
        <w:rPr>
          <w:rFonts w:asciiTheme="majorBidi" w:hAnsiTheme="majorBidi" w:cstheme="majorBidi"/>
          <w:lang w:val="en-GB"/>
        </w:rPr>
        <w:t>can be determined by:</w:t>
      </w:r>
    </w:p>
    <w:p w:rsidR="00452441" w:rsidRPr="00FF34AD" w:rsidRDefault="00452441" w:rsidP="00452441">
      <w:pPr>
        <w:pStyle w:val="Equation"/>
        <w:rPr>
          <w:rFonts w:asciiTheme="majorBidi" w:hAnsiTheme="majorBidi" w:cstheme="majorBidi"/>
          <w:lang w:val="de-CH"/>
        </w:rPr>
      </w:pPr>
      <w:r w:rsidRPr="00304846">
        <w:rPr>
          <w:rFonts w:asciiTheme="majorBidi" w:hAnsiTheme="majorBidi" w:cstheme="majorBidi"/>
          <w:lang w:val="en-GB"/>
        </w:rPr>
        <w:tab/>
      </w:r>
      <w:r w:rsidRPr="00304846">
        <w:rPr>
          <w:rFonts w:asciiTheme="majorBidi" w:hAnsiTheme="majorBidi" w:cstheme="majorBidi"/>
          <w:lang w:val="en-GB"/>
        </w:rPr>
        <w:tab/>
      </w:r>
      <m:oMath>
        <m:r>
          <w:rPr>
            <w:rFonts w:ascii="Cambria Math" w:hAnsi="Cambria Math"/>
            <w:lang w:val="en-GB"/>
          </w:rPr>
          <m:t>N</m:t>
        </m:r>
        <m:r>
          <m:rPr>
            <m:sty m:val="p"/>
          </m:rPr>
          <w:rPr>
            <w:rFonts w:ascii="Cambria Math" w:hAnsi="Cambria Math"/>
            <w:lang w:val="de-CH"/>
          </w:rPr>
          <m:t>=10</m:t>
        </m:r>
        <m:func>
          <m:funcPr>
            <m:ctrlPr>
              <w:rPr>
                <w:rFonts w:ascii="Cambria Math" w:hAnsi="Cambria Math"/>
                <w:lang w:val="en-GB"/>
              </w:rPr>
            </m:ctrlPr>
          </m:funcPr>
          <m:fName>
            <m:r>
              <m:rPr>
                <m:sty m:val="p"/>
              </m:rPr>
              <w:rPr>
                <w:rFonts w:ascii="Cambria Math" w:hAnsi="Cambria Math"/>
                <w:lang w:val="de-CH"/>
              </w:rPr>
              <m:t>log</m:t>
            </m:r>
          </m:fName>
          <m:e>
            <m:d>
              <m:dPr>
                <m:ctrlPr>
                  <w:rPr>
                    <w:rFonts w:ascii="Cambria Math" w:hAnsi="Cambria Math"/>
                    <w:lang w:val="en-GB"/>
                  </w:rPr>
                </m:ctrlPr>
              </m:dPr>
              <m:e>
                <m:r>
                  <w:rPr>
                    <w:rFonts w:ascii="Cambria Math" w:hAnsi="Cambria Math"/>
                    <w:lang w:val="en-GB"/>
                  </w:rPr>
                  <m:t>k</m:t>
                </m:r>
                <m:sSub>
                  <m:sSubPr>
                    <m:ctrlPr>
                      <w:rPr>
                        <w:rFonts w:ascii="Cambria Math" w:hAnsi="Cambria Math"/>
                        <w:i/>
                        <w:iCs/>
                        <w:lang w:val="en-GB"/>
                      </w:rPr>
                    </m:ctrlPr>
                  </m:sSubPr>
                  <m:e>
                    <m:r>
                      <w:rPr>
                        <w:rFonts w:ascii="Cambria Math" w:hAnsi="Cambria Math"/>
                        <w:lang w:val="en-GB"/>
                      </w:rPr>
                      <m:t>T</m:t>
                    </m:r>
                  </m:e>
                  <m:sub>
                    <m:r>
                      <w:rPr>
                        <w:rFonts w:ascii="Cambria Math" w:hAnsi="Cambria Math"/>
                        <w:lang w:val="de-CH"/>
                      </w:rPr>
                      <m:t>0</m:t>
                    </m:r>
                  </m:sub>
                </m:sSub>
                <m:r>
                  <w:rPr>
                    <w:rFonts w:ascii="Cambria Math" w:hAnsi="Cambria Math"/>
                    <w:lang w:val="en-GB"/>
                  </w:rPr>
                  <m:t>B</m:t>
                </m:r>
              </m:e>
            </m:d>
          </m:e>
        </m:func>
        <m:r>
          <m:rPr>
            <m:sty m:val="p"/>
          </m:rPr>
          <w:rPr>
            <w:rFonts w:ascii="Cambria Math" w:hAnsi="Cambria Math"/>
            <w:lang w:val="de-CH"/>
          </w:rPr>
          <m:t>+</m:t>
        </m:r>
        <m:r>
          <w:rPr>
            <w:rFonts w:ascii="Cambria Math" w:hAnsi="Cambria Math"/>
            <w:lang w:val="en-GB"/>
          </w:rPr>
          <m:t>NF</m:t>
        </m:r>
      </m:oMath>
      <w:r w:rsidR="004B38C3" w:rsidRPr="00FF34AD">
        <w:rPr>
          <w:lang w:val="de-CH"/>
        </w:rPr>
        <w:t>        </w:t>
      </w:r>
      <w:r w:rsidRPr="00FF34AD">
        <w:rPr>
          <w:lang w:val="de-CH"/>
        </w:rPr>
        <w:t> dBW</w:t>
      </w:r>
    </w:p>
    <w:p w:rsidR="00AF59A0" w:rsidRPr="00304846" w:rsidRDefault="00AF59A0" w:rsidP="00AF59A0">
      <w:pPr>
        <w:rPr>
          <w:lang w:val="en-GB"/>
        </w:rPr>
      </w:pPr>
      <w:r w:rsidRPr="00304846">
        <w:rPr>
          <w:lang w:val="en-GB"/>
        </w:rPr>
        <w:t>where:</w:t>
      </w:r>
    </w:p>
    <w:p w:rsidR="00AF59A0" w:rsidRPr="00304846" w:rsidRDefault="00AF59A0" w:rsidP="00AF59A0">
      <w:pPr>
        <w:pStyle w:val="Equationlegend"/>
        <w:rPr>
          <w:lang w:val="en-GB"/>
        </w:rPr>
      </w:pPr>
      <w:r w:rsidRPr="00304846">
        <w:rPr>
          <w:lang w:val="en-GB"/>
        </w:rPr>
        <w:tab/>
      </w:r>
      <w:r w:rsidRPr="00304846">
        <w:rPr>
          <w:i/>
          <w:iCs/>
          <w:lang w:val="en-GB"/>
        </w:rPr>
        <w:t>k</w:t>
      </w:r>
      <w:r w:rsidRPr="00304846">
        <w:rPr>
          <w:lang w:val="en-GB"/>
        </w:rPr>
        <w:t xml:space="preserve"> :</w:t>
      </w:r>
      <w:r w:rsidRPr="00304846">
        <w:rPr>
          <w:lang w:val="en-GB"/>
        </w:rPr>
        <w:tab/>
        <w:t>Boltzmann’s constant (1.3806488 × 10</w:t>
      </w:r>
      <w:r w:rsidRPr="00304846">
        <w:rPr>
          <w:vertAlign w:val="superscript"/>
          <w:lang w:val="en-GB"/>
        </w:rPr>
        <w:t>−23</w:t>
      </w:r>
      <w:r w:rsidRPr="00304846">
        <w:rPr>
          <w:lang w:val="en-GB"/>
        </w:rPr>
        <w:t xml:space="preserve"> J K</w:t>
      </w:r>
      <w:r w:rsidRPr="00304846">
        <w:rPr>
          <w:vertAlign w:val="superscript"/>
          <w:lang w:val="en-GB"/>
        </w:rPr>
        <w:t>−1</w:t>
      </w:r>
      <w:r w:rsidR="00CA1C71" w:rsidRPr="00304846">
        <w:rPr>
          <w:lang w:val="en-GB"/>
        </w:rPr>
        <w:t>)</w:t>
      </w:r>
    </w:p>
    <w:p w:rsidR="00AF59A0" w:rsidRPr="00304846" w:rsidRDefault="00AF59A0" w:rsidP="00AF59A0">
      <w:pPr>
        <w:pStyle w:val="Equationlegend"/>
        <w:rPr>
          <w:lang w:val="en-GB"/>
        </w:rPr>
      </w:pPr>
      <w:r w:rsidRPr="00304846">
        <w:rPr>
          <w:lang w:val="en-GB"/>
        </w:rPr>
        <w:tab/>
      </w:r>
      <w:r w:rsidRPr="00304846">
        <w:rPr>
          <w:i/>
          <w:iCs/>
          <w:lang w:val="en-GB"/>
        </w:rPr>
        <w:t>T</w:t>
      </w:r>
      <w:r w:rsidRPr="00304846">
        <w:rPr>
          <w:vertAlign w:val="subscript"/>
          <w:lang w:val="en-GB"/>
        </w:rPr>
        <w:t>0</w:t>
      </w:r>
      <w:r w:rsidR="00CA1C71" w:rsidRPr="00304846">
        <w:rPr>
          <w:vertAlign w:val="subscript"/>
          <w:lang w:val="en-GB"/>
        </w:rPr>
        <w:t xml:space="preserve"> </w:t>
      </w:r>
      <w:r w:rsidR="00CA1C71" w:rsidRPr="00304846">
        <w:rPr>
          <w:lang w:val="en-GB"/>
        </w:rPr>
        <w:t>:</w:t>
      </w:r>
      <w:r w:rsidR="00CA1C71" w:rsidRPr="00304846">
        <w:rPr>
          <w:lang w:val="en-GB"/>
        </w:rPr>
        <w:tab/>
        <w:t>Reference temperature (290 K)</w:t>
      </w:r>
    </w:p>
    <w:p w:rsidR="00AF59A0" w:rsidRPr="00304846" w:rsidRDefault="00AF59A0" w:rsidP="00AF59A0">
      <w:pPr>
        <w:pStyle w:val="Equationlegend"/>
        <w:rPr>
          <w:lang w:val="en-GB"/>
        </w:rPr>
      </w:pPr>
      <w:r w:rsidRPr="00304846">
        <w:rPr>
          <w:lang w:val="en-GB"/>
        </w:rPr>
        <w:tab/>
      </w:r>
      <w:r w:rsidRPr="00304846">
        <w:rPr>
          <w:i/>
          <w:iCs/>
          <w:lang w:val="en-GB"/>
        </w:rPr>
        <w:t>B</w:t>
      </w:r>
      <w:r w:rsidR="00CA1C71" w:rsidRPr="00304846">
        <w:rPr>
          <w:lang w:val="en-GB"/>
        </w:rPr>
        <w:t xml:space="preserve"> </w:t>
      </w:r>
      <w:r w:rsidRPr="00304846">
        <w:rPr>
          <w:lang w:val="en-GB"/>
        </w:rPr>
        <w:t>:</w:t>
      </w:r>
      <w:r w:rsidRPr="00304846">
        <w:rPr>
          <w:lang w:val="en-GB"/>
        </w:rPr>
        <w:tab/>
        <w:t>noise equiva</w:t>
      </w:r>
      <w:r w:rsidR="00CA1C71" w:rsidRPr="00304846">
        <w:rPr>
          <w:lang w:val="en-GB"/>
        </w:rPr>
        <w:t>lent bandwidth of receiver (Hz)</w:t>
      </w:r>
    </w:p>
    <w:p w:rsidR="00AF59A0" w:rsidRPr="00304846" w:rsidRDefault="00AF59A0" w:rsidP="00AF59A0">
      <w:pPr>
        <w:pStyle w:val="Equationlegend"/>
        <w:rPr>
          <w:lang w:val="en-GB"/>
        </w:rPr>
      </w:pPr>
      <w:r w:rsidRPr="00304846">
        <w:rPr>
          <w:lang w:val="en-GB"/>
        </w:rPr>
        <w:tab/>
      </w:r>
      <w:r w:rsidRPr="00304846">
        <w:rPr>
          <w:i/>
          <w:iCs/>
          <w:lang w:val="en-GB"/>
        </w:rPr>
        <w:t>NF</w:t>
      </w:r>
      <w:r w:rsidR="00CA1C71" w:rsidRPr="00304846">
        <w:rPr>
          <w:lang w:val="en-GB"/>
        </w:rPr>
        <w:t xml:space="preserve"> </w:t>
      </w:r>
      <w:r w:rsidRPr="00304846">
        <w:rPr>
          <w:lang w:val="en-GB"/>
        </w:rPr>
        <w:t>:</w:t>
      </w:r>
      <w:r w:rsidRPr="00304846">
        <w:rPr>
          <w:lang w:val="en-GB"/>
        </w:rPr>
        <w:tab/>
        <w:t>receiver noise figure (dB).</w:t>
      </w:r>
    </w:p>
    <w:p w:rsidR="00AF59A0" w:rsidRPr="00304846" w:rsidRDefault="00AF59A0" w:rsidP="00AF59A0">
      <w:pPr>
        <w:overflowPunct/>
        <w:autoSpaceDE/>
        <w:autoSpaceDN/>
        <w:adjustRightInd/>
        <w:spacing w:before="0"/>
        <w:textAlignment w:val="auto"/>
        <w:rPr>
          <w:caps/>
          <w:lang w:val="en-GB"/>
        </w:rPr>
      </w:pPr>
      <w:r w:rsidRPr="00304846">
        <w:rPr>
          <w:caps/>
          <w:lang w:val="en-GB"/>
        </w:rPr>
        <w:br w:type="page"/>
      </w:r>
    </w:p>
    <w:p w:rsidR="00AF59A0" w:rsidRPr="00304846" w:rsidRDefault="00AF59A0" w:rsidP="00AF59A0">
      <w:pPr>
        <w:pStyle w:val="Heading4"/>
        <w:rPr>
          <w:lang w:val="en-GB"/>
        </w:rPr>
      </w:pPr>
      <w:r w:rsidRPr="00304846">
        <w:rPr>
          <w:lang w:val="en-GB"/>
        </w:rPr>
        <w:lastRenderedPageBreak/>
        <w:t>4.2.2.2</w:t>
      </w:r>
      <w:r w:rsidRPr="00304846">
        <w:rPr>
          <w:lang w:val="en-GB"/>
        </w:rPr>
        <w:tab/>
        <w:t xml:space="preserve">Additional consideration based on </w:t>
      </w:r>
      <w:r w:rsidRPr="00304846">
        <w:rPr>
          <w:i/>
          <w:iCs/>
          <w:lang w:val="en-GB"/>
        </w:rPr>
        <w:t>C</w:t>
      </w:r>
      <w:r w:rsidRPr="00304846">
        <w:rPr>
          <w:lang w:val="en-GB"/>
        </w:rPr>
        <w:t>/</w:t>
      </w:r>
      <w:r w:rsidRPr="00304846">
        <w:rPr>
          <w:i/>
          <w:iCs/>
          <w:lang w:val="en-GB"/>
        </w:rPr>
        <w:t>I</w:t>
      </w:r>
      <w:r w:rsidRPr="00304846">
        <w:rPr>
          <w:lang w:val="en-GB"/>
        </w:rPr>
        <w:t xml:space="preserve"> ratio</w:t>
      </w:r>
    </w:p>
    <w:p w:rsidR="00AF59A0" w:rsidRPr="00304846" w:rsidRDefault="00AF59A0" w:rsidP="00AF59A0">
      <w:pPr>
        <w:rPr>
          <w:rFonts w:asciiTheme="majorBidi" w:hAnsiTheme="majorBidi" w:cstheme="majorBidi"/>
          <w:lang w:val="en-GB"/>
        </w:rPr>
      </w:pPr>
      <w:r w:rsidRPr="00304846">
        <w:rPr>
          <w:lang w:val="en-GB"/>
        </w:rPr>
        <w:t xml:space="preserve">When detailed information on point-to-point links deployment is available more careful planning of IMT systems could be performed to provide coexistence in same geographical area which could reduce separation distances. In this case </w:t>
      </w:r>
      <w:r w:rsidRPr="00304846">
        <w:rPr>
          <w:i/>
          <w:iCs/>
          <w:lang w:val="en-GB"/>
        </w:rPr>
        <w:t>C</w:t>
      </w:r>
      <w:r w:rsidRPr="00304846">
        <w:rPr>
          <w:lang w:val="en-GB"/>
        </w:rPr>
        <w:t>/</w:t>
      </w:r>
      <w:r w:rsidRPr="00304846">
        <w:rPr>
          <w:i/>
          <w:iCs/>
          <w:lang w:val="en-GB"/>
        </w:rPr>
        <w:t>I</w:t>
      </w:r>
      <w:r w:rsidRPr="00304846">
        <w:rPr>
          <w:lang w:val="en-GB"/>
        </w:rPr>
        <w:t xml:space="preserve"> ratio could increase the potential for sharing between indoor IMT small cells and fixed stations.</w:t>
      </w:r>
    </w:p>
    <w:p w:rsidR="00AF59A0" w:rsidRPr="00304846" w:rsidRDefault="00AF59A0" w:rsidP="00AF59A0">
      <w:pPr>
        <w:rPr>
          <w:rFonts w:asciiTheme="majorBidi" w:hAnsiTheme="majorBidi" w:cstheme="majorBidi"/>
          <w:lang w:val="en-GB"/>
        </w:rPr>
      </w:pPr>
      <w:r w:rsidRPr="00304846">
        <w:rPr>
          <w:rFonts w:asciiTheme="majorBidi" w:hAnsiTheme="majorBidi" w:cstheme="majorBidi"/>
          <w:lang w:val="en-GB"/>
        </w:rPr>
        <w:t xml:space="preserve">The power of the </w:t>
      </w:r>
      <w:r w:rsidRPr="00304846">
        <w:rPr>
          <w:rFonts w:asciiTheme="majorBidi" w:hAnsiTheme="majorBidi" w:cstheme="majorBidi"/>
          <w:lang w:val="en-GB" w:eastAsia="fr-FR"/>
        </w:rPr>
        <w:t>point-to-point FS system</w:t>
      </w:r>
      <w:r w:rsidRPr="00304846">
        <w:rPr>
          <w:rFonts w:asciiTheme="majorBidi" w:hAnsiTheme="majorBidi" w:cstheme="majorBidi"/>
          <w:lang w:val="en-GB"/>
        </w:rPr>
        <w:t xml:space="preserve"> carrier can be calculated by using the following equation: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275"/>
      </w:tblGrid>
      <w:tr w:rsidR="00761B46" w:rsidRPr="00304846" w:rsidTr="004B38C3">
        <w:tc>
          <w:tcPr>
            <w:tcW w:w="8364" w:type="dxa"/>
          </w:tcPr>
          <w:p w:rsidR="00761B46" w:rsidRPr="00304846" w:rsidRDefault="00761B46" w:rsidP="00761B46">
            <w:pPr>
              <w:jc w:val="center"/>
              <w:rPr>
                <w:rFonts w:asciiTheme="majorBidi" w:hAnsiTheme="majorBidi" w:cstheme="majorBidi"/>
                <w:lang w:val="en-GB"/>
              </w:rPr>
            </w:pPr>
            <w:r w:rsidRPr="00304846">
              <w:rPr>
                <w:rFonts w:asciiTheme="majorBidi" w:hAnsiTheme="majorBidi" w:cstheme="majorBidi"/>
                <w:i/>
                <w:iCs/>
                <w:lang w:val="en-GB"/>
              </w:rPr>
              <w:t>C</w:t>
            </w:r>
            <w:r w:rsidRPr="00304846">
              <w:rPr>
                <w:rFonts w:asciiTheme="majorBidi" w:hAnsiTheme="majorBidi" w:cstheme="majorBidi"/>
                <w:lang w:val="en-GB"/>
              </w:rPr>
              <w:t xml:space="preserve"> = </w:t>
            </w:r>
            <w:r w:rsidRPr="00304846">
              <w:rPr>
                <w:rFonts w:asciiTheme="majorBidi" w:hAnsiTheme="majorBidi" w:cstheme="majorBidi"/>
                <w:i/>
                <w:iCs/>
                <w:lang w:val="en-GB" w:eastAsia="fr-FR"/>
              </w:rPr>
              <w:t>P</w:t>
            </w:r>
            <w:r w:rsidRPr="00304846">
              <w:rPr>
                <w:rFonts w:asciiTheme="majorBidi" w:hAnsiTheme="majorBidi" w:cstheme="majorBidi"/>
                <w:i/>
                <w:iCs/>
                <w:vertAlign w:val="subscript"/>
                <w:lang w:val="en-GB" w:eastAsia="fr-FR"/>
              </w:rPr>
              <w:t>point-to-point FS Tx</w:t>
            </w:r>
            <w:r w:rsidRPr="00304846">
              <w:rPr>
                <w:rFonts w:asciiTheme="majorBidi" w:eastAsiaTheme="minorHAnsi" w:hAnsiTheme="majorBidi" w:cstheme="majorBidi"/>
                <w:lang w:val="en-GB"/>
              </w:rPr>
              <w:t xml:space="preserve"> –</w:t>
            </w:r>
            <w:r w:rsidRPr="00304846">
              <w:rPr>
                <w:rFonts w:asciiTheme="majorBidi" w:hAnsiTheme="majorBidi" w:cstheme="majorBidi"/>
                <w:lang w:val="en-GB" w:eastAsia="fr-FR"/>
              </w:rPr>
              <w:t xml:space="preserve"> </w:t>
            </w:r>
            <w:r w:rsidRPr="00304846">
              <w:rPr>
                <w:rFonts w:asciiTheme="majorBidi" w:hAnsiTheme="majorBidi" w:cstheme="majorBidi"/>
                <w:i/>
                <w:iCs/>
                <w:lang w:val="en-GB" w:eastAsia="fr-FR"/>
              </w:rPr>
              <w:t>a</w:t>
            </w:r>
            <w:r w:rsidRPr="00304846">
              <w:rPr>
                <w:rFonts w:asciiTheme="majorBidi" w:hAnsiTheme="majorBidi" w:cstheme="majorBidi"/>
                <w:i/>
                <w:iCs/>
                <w:vertAlign w:val="subscript"/>
                <w:lang w:val="en-GB" w:eastAsia="fr-FR"/>
              </w:rPr>
              <w:t>point-to-point FS Tx</w:t>
            </w:r>
            <w:r w:rsidRPr="00304846">
              <w:rPr>
                <w:rFonts w:asciiTheme="majorBidi" w:hAnsiTheme="majorBidi" w:cstheme="majorBidi"/>
                <w:lang w:val="en-GB" w:eastAsia="fr-FR"/>
              </w:rPr>
              <w:t xml:space="preserve"> + </w:t>
            </w:r>
            <w:r w:rsidRPr="00304846">
              <w:rPr>
                <w:rFonts w:asciiTheme="majorBidi" w:hAnsiTheme="majorBidi" w:cstheme="majorBidi"/>
                <w:i/>
                <w:iCs/>
                <w:lang w:val="en-GB" w:eastAsia="fr-FR"/>
              </w:rPr>
              <w:t>G</w:t>
            </w:r>
            <w:r w:rsidRPr="00304846">
              <w:rPr>
                <w:rFonts w:asciiTheme="majorBidi" w:hAnsiTheme="majorBidi" w:cstheme="majorBidi"/>
                <w:i/>
                <w:iCs/>
                <w:vertAlign w:val="subscript"/>
                <w:lang w:val="en-GB" w:eastAsia="fr-FR"/>
              </w:rPr>
              <w:t>max</w:t>
            </w:r>
            <w:r w:rsidRPr="00304846">
              <w:rPr>
                <w:rFonts w:asciiTheme="majorBidi" w:hAnsiTheme="majorBidi" w:cstheme="majorBidi"/>
                <w:i/>
                <w:iCs/>
                <w:lang w:val="en-GB" w:eastAsia="fr-FR"/>
              </w:rPr>
              <w:t xml:space="preserve"> </w:t>
            </w:r>
            <w:r w:rsidRPr="00304846">
              <w:rPr>
                <w:rFonts w:asciiTheme="majorBidi" w:hAnsiTheme="majorBidi" w:cstheme="majorBidi"/>
                <w:i/>
                <w:iCs/>
                <w:vertAlign w:val="subscript"/>
                <w:lang w:val="en-GB" w:eastAsia="fr-FR"/>
              </w:rPr>
              <w:t>point-to-point FS Rx</w:t>
            </w:r>
            <w:r w:rsidRPr="00304846">
              <w:rPr>
                <w:rFonts w:asciiTheme="majorBidi" w:hAnsiTheme="majorBidi" w:cstheme="majorBidi"/>
                <w:lang w:val="en-GB" w:eastAsia="fr-FR"/>
              </w:rPr>
              <w:t xml:space="preserve"> – </w:t>
            </w:r>
            <w:r w:rsidRPr="00304846">
              <w:rPr>
                <w:rFonts w:asciiTheme="majorBidi" w:hAnsiTheme="majorBidi" w:cstheme="majorBidi"/>
                <w:i/>
                <w:iCs/>
                <w:lang w:val="en-GB" w:eastAsia="fr-FR"/>
              </w:rPr>
              <w:t>L</w:t>
            </w:r>
            <w:r w:rsidRPr="00304846">
              <w:rPr>
                <w:rFonts w:asciiTheme="majorBidi" w:hAnsiTheme="majorBidi" w:cstheme="majorBidi"/>
                <w:i/>
                <w:iCs/>
                <w:vertAlign w:val="subscript"/>
                <w:lang w:val="en-GB" w:eastAsia="fr-FR"/>
              </w:rPr>
              <w:t>prop</w:t>
            </w:r>
            <w:r w:rsidRPr="00304846">
              <w:rPr>
                <w:rFonts w:asciiTheme="majorBidi" w:hAnsiTheme="majorBidi" w:cstheme="majorBidi"/>
                <w:lang w:val="en-GB" w:eastAsia="fr-FR"/>
              </w:rPr>
              <w:t>(</w:t>
            </w:r>
            <w:r w:rsidRPr="00304846">
              <w:rPr>
                <w:rFonts w:asciiTheme="majorBidi" w:hAnsiTheme="majorBidi" w:cstheme="majorBidi"/>
                <w:lang w:val="en-GB"/>
              </w:rPr>
              <w:t>Link Length</w:t>
            </w:r>
            <w:r w:rsidRPr="00304846">
              <w:rPr>
                <w:rFonts w:asciiTheme="majorBidi" w:hAnsiTheme="majorBidi" w:cstheme="majorBidi"/>
                <w:lang w:val="en-GB" w:eastAsia="fr-FR"/>
              </w:rPr>
              <w:t xml:space="preserve">) + </w:t>
            </w:r>
            <w:r w:rsidRPr="00304846">
              <w:rPr>
                <w:rFonts w:asciiTheme="majorBidi" w:hAnsiTheme="majorBidi" w:cstheme="majorBidi"/>
                <w:lang w:val="en-GB" w:eastAsia="fr-FR"/>
              </w:rPr>
              <w:br/>
            </w:r>
            <w:r w:rsidRPr="00304846">
              <w:rPr>
                <w:rFonts w:asciiTheme="majorBidi" w:hAnsiTheme="majorBidi" w:cstheme="majorBidi"/>
                <w:i/>
                <w:iCs/>
                <w:lang w:val="en-GB" w:eastAsia="fr-FR"/>
              </w:rPr>
              <w:t>G</w:t>
            </w:r>
            <w:r w:rsidRPr="00304846">
              <w:rPr>
                <w:rFonts w:asciiTheme="majorBidi" w:hAnsiTheme="majorBidi" w:cstheme="majorBidi"/>
                <w:i/>
                <w:iCs/>
                <w:vertAlign w:val="subscript"/>
                <w:lang w:val="en-GB" w:eastAsia="fr-FR"/>
              </w:rPr>
              <w:t>max</w:t>
            </w:r>
            <w:r w:rsidRPr="00304846">
              <w:rPr>
                <w:rFonts w:asciiTheme="majorBidi" w:hAnsiTheme="majorBidi" w:cstheme="majorBidi"/>
                <w:i/>
                <w:iCs/>
                <w:lang w:val="en-GB" w:eastAsia="fr-FR"/>
              </w:rPr>
              <w:t xml:space="preserve"> </w:t>
            </w:r>
            <w:r w:rsidRPr="00304846">
              <w:rPr>
                <w:rFonts w:asciiTheme="majorBidi" w:hAnsiTheme="majorBidi" w:cstheme="majorBidi"/>
                <w:i/>
                <w:iCs/>
                <w:vertAlign w:val="subscript"/>
                <w:lang w:val="en-GB" w:eastAsia="fr-FR"/>
              </w:rPr>
              <w:t>point-to-point FS Rx</w:t>
            </w:r>
            <w:r w:rsidRPr="00304846">
              <w:rPr>
                <w:rFonts w:asciiTheme="majorBidi" w:hAnsiTheme="majorBidi" w:cstheme="majorBidi"/>
                <w:lang w:val="en-GB" w:eastAsia="fr-FR"/>
              </w:rPr>
              <w:t xml:space="preserve"> – </w:t>
            </w:r>
            <w:r w:rsidRPr="00304846">
              <w:rPr>
                <w:rFonts w:asciiTheme="majorBidi" w:hAnsiTheme="majorBidi" w:cstheme="majorBidi"/>
                <w:i/>
                <w:iCs/>
                <w:lang w:val="en-GB" w:eastAsia="fr-FR"/>
              </w:rPr>
              <w:t>a</w:t>
            </w:r>
            <w:r w:rsidRPr="00304846">
              <w:rPr>
                <w:rFonts w:asciiTheme="majorBidi" w:hAnsiTheme="majorBidi" w:cstheme="majorBidi"/>
                <w:i/>
                <w:iCs/>
                <w:vertAlign w:val="subscript"/>
                <w:lang w:val="en-GB" w:eastAsia="fr-FR"/>
              </w:rPr>
              <w:t>point-to-point FS Rx</w:t>
            </w:r>
          </w:p>
        </w:tc>
        <w:tc>
          <w:tcPr>
            <w:tcW w:w="1275" w:type="dxa"/>
          </w:tcPr>
          <w:p w:rsidR="00761B46" w:rsidRPr="00304846" w:rsidRDefault="00761B46" w:rsidP="004B38C3">
            <w:pPr>
              <w:jc w:val="center"/>
              <w:rPr>
                <w:rFonts w:asciiTheme="majorBidi" w:hAnsiTheme="majorBidi" w:cstheme="majorBidi"/>
                <w:lang w:val="en-GB"/>
              </w:rPr>
            </w:pPr>
            <w:r w:rsidRPr="00304846">
              <w:rPr>
                <w:rFonts w:asciiTheme="majorBidi" w:hAnsiTheme="majorBidi" w:cstheme="majorBidi"/>
                <w:lang w:val="en-GB" w:eastAsia="fr-FR"/>
              </w:rPr>
              <w:t>dBW</w:t>
            </w:r>
          </w:p>
        </w:tc>
      </w:tr>
    </w:tbl>
    <w:p w:rsidR="00AF59A0" w:rsidRPr="00304846" w:rsidRDefault="00AF59A0" w:rsidP="00AF59A0">
      <w:pPr>
        <w:rPr>
          <w:rFonts w:asciiTheme="majorBidi" w:hAnsiTheme="majorBidi" w:cstheme="majorBidi"/>
          <w:lang w:val="en-GB" w:eastAsia="fr-FR"/>
        </w:rPr>
      </w:pPr>
      <w:r w:rsidRPr="00304846">
        <w:rPr>
          <w:rFonts w:asciiTheme="majorBidi" w:hAnsiTheme="majorBidi" w:cstheme="majorBidi"/>
          <w:lang w:val="en-GB" w:eastAsia="fr-FR"/>
        </w:rPr>
        <w:t>where:</w:t>
      </w:r>
    </w:p>
    <w:p w:rsidR="00AF59A0" w:rsidRPr="00304846" w:rsidRDefault="00E777AF" w:rsidP="00E777AF">
      <w:pPr>
        <w:pStyle w:val="Equationlegend"/>
        <w:tabs>
          <w:tab w:val="clear" w:pos="1701"/>
          <w:tab w:val="clear" w:pos="1985"/>
          <w:tab w:val="right" w:pos="3402"/>
          <w:tab w:val="left" w:pos="3686"/>
        </w:tabs>
        <w:ind w:left="3686" w:hanging="3686"/>
        <w:rPr>
          <w:lang w:val="en-GB" w:eastAsia="fr-FR"/>
        </w:rPr>
      </w:pPr>
      <w:r w:rsidRPr="00304846">
        <w:rPr>
          <w:lang w:val="en-GB" w:eastAsia="fr-FR"/>
        </w:rPr>
        <w:tab/>
      </w:r>
      <w:r w:rsidRPr="00304846">
        <w:rPr>
          <w:i/>
          <w:iCs/>
          <w:lang w:val="en-GB"/>
        </w:rPr>
        <w:t>C</w:t>
      </w:r>
      <w:r w:rsidRPr="00304846">
        <w:rPr>
          <w:lang w:val="en-GB"/>
        </w:rPr>
        <w:t xml:space="preserve">: </w:t>
      </w:r>
      <w:r w:rsidRPr="00304846">
        <w:rPr>
          <w:lang w:val="en-GB"/>
        </w:rPr>
        <w:tab/>
      </w:r>
      <w:r w:rsidR="00AF59A0" w:rsidRPr="00304846">
        <w:rPr>
          <w:lang w:val="en-GB"/>
        </w:rPr>
        <w:t xml:space="preserve">power of the </w:t>
      </w:r>
      <w:r w:rsidR="00AF59A0" w:rsidRPr="00304846">
        <w:rPr>
          <w:lang w:val="en-GB" w:eastAsia="fr-FR"/>
        </w:rPr>
        <w:t>point-to-point FS system</w:t>
      </w:r>
      <w:r w:rsidR="00AF59A0" w:rsidRPr="00304846">
        <w:rPr>
          <w:lang w:val="en-GB"/>
        </w:rPr>
        <w:t xml:space="preserve"> carrier;</w:t>
      </w:r>
    </w:p>
    <w:p w:rsidR="00AF59A0" w:rsidRPr="00304846" w:rsidRDefault="00AF59A0" w:rsidP="00E777AF">
      <w:pPr>
        <w:pStyle w:val="Equationlegend"/>
        <w:tabs>
          <w:tab w:val="clear" w:pos="1701"/>
          <w:tab w:val="clear" w:pos="1985"/>
          <w:tab w:val="right" w:pos="3402"/>
          <w:tab w:val="left" w:pos="3686"/>
        </w:tabs>
        <w:ind w:left="3686" w:hanging="3686"/>
        <w:rPr>
          <w:lang w:val="en-GB" w:eastAsia="fr-FR"/>
        </w:rPr>
      </w:pPr>
      <w:r w:rsidRPr="00304846">
        <w:rPr>
          <w:lang w:val="en-GB" w:eastAsia="fr-FR"/>
        </w:rPr>
        <w:tab/>
      </w:r>
      <w:r w:rsidRPr="00304846">
        <w:rPr>
          <w:i/>
          <w:iCs/>
          <w:lang w:val="en-GB" w:eastAsia="fr-FR"/>
        </w:rPr>
        <w:t>P</w:t>
      </w:r>
      <w:r w:rsidRPr="00304846">
        <w:rPr>
          <w:i/>
          <w:iCs/>
          <w:vertAlign w:val="subscript"/>
          <w:lang w:val="en-GB" w:eastAsia="fr-FR"/>
        </w:rPr>
        <w:t>point-to-point FS Tx</w:t>
      </w:r>
      <w:r w:rsidR="00E777AF" w:rsidRPr="00304846">
        <w:rPr>
          <w:lang w:val="en-GB" w:eastAsia="fr-FR"/>
        </w:rPr>
        <w:t xml:space="preserve"> (dBW) : </w:t>
      </w:r>
      <w:r w:rsidR="00E777AF" w:rsidRPr="00304846">
        <w:rPr>
          <w:lang w:val="en-GB" w:eastAsia="fr-FR"/>
        </w:rPr>
        <w:tab/>
      </w:r>
      <w:r w:rsidRPr="00304846">
        <w:rPr>
          <w:lang w:val="en-GB" w:eastAsia="fr-FR"/>
        </w:rPr>
        <w:t>transmitter power level point-to-point FS system;</w:t>
      </w:r>
    </w:p>
    <w:p w:rsidR="00AF59A0" w:rsidRPr="00304846" w:rsidRDefault="00AF59A0" w:rsidP="00E777AF">
      <w:pPr>
        <w:pStyle w:val="Equationlegend"/>
        <w:tabs>
          <w:tab w:val="clear" w:pos="1701"/>
          <w:tab w:val="clear" w:pos="1985"/>
          <w:tab w:val="right" w:pos="3402"/>
          <w:tab w:val="left" w:pos="3686"/>
        </w:tabs>
        <w:ind w:left="3686" w:hanging="3686"/>
        <w:rPr>
          <w:lang w:val="en-GB" w:eastAsia="fr-FR"/>
        </w:rPr>
      </w:pPr>
      <w:r w:rsidRPr="00304846">
        <w:rPr>
          <w:lang w:val="en-GB" w:eastAsia="fr-FR"/>
        </w:rPr>
        <w:tab/>
      </w:r>
      <w:r w:rsidRPr="00304846">
        <w:rPr>
          <w:i/>
          <w:iCs/>
          <w:lang w:val="en-GB" w:eastAsia="fr-FR"/>
        </w:rPr>
        <w:t>G</w:t>
      </w:r>
      <w:r w:rsidRPr="00304846">
        <w:rPr>
          <w:i/>
          <w:iCs/>
          <w:vertAlign w:val="subscript"/>
          <w:lang w:val="en-GB" w:eastAsia="fr-FR"/>
        </w:rPr>
        <w:t>max</w:t>
      </w:r>
      <w:r w:rsidRPr="00304846">
        <w:rPr>
          <w:i/>
          <w:iCs/>
          <w:lang w:val="en-GB" w:eastAsia="fr-FR"/>
        </w:rPr>
        <w:t xml:space="preserve"> </w:t>
      </w:r>
      <w:r w:rsidRPr="00304846">
        <w:rPr>
          <w:i/>
          <w:iCs/>
          <w:vertAlign w:val="subscript"/>
          <w:lang w:val="en-GB" w:eastAsia="fr-FR"/>
        </w:rPr>
        <w:t>point-to-point FS Tx</w:t>
      </w:r>
      <w:r w:rsidRPr="00304846">
        <w:rPr>
          <w:lang w:val="en-GB" w:eastAsia="fr-FR"/>
        </w:rPr>
        <w:t xml:space="preserve"> (dB) : </w:t>
      </w:r>
      <w:r w:rsidRPr="00304846">
        <w:rPr>
          <w:lang w:val="en-GB" w:eastAsia="fr-FR"/>
        </w:rPr>
        <w:tab/>
        <w:t xml:space="preserve">transmitter </w:t>
      </w:r>
      <w:r w:rsidRPr="00304846">
        <w:rPr>
          <w:lang w:val="en-GB"/>
        </w:rPr>
        <w:t>maximum</w:t>
      </w:r>
      <w:r w:rsidRPr="00304846">
        <w:rPr>
          <w:lang w:val="en-GB" w:eastAsia="fr-FR"/>
        </w:rPr>
        <w:t xml:space="preserve"> antenna gain point-to-point FS system;</w:t>
      </w:r>
    </w:p>
    <w:p w:rsidR="00AF59A0" w:rsidRPr="00304846" w:rsidRDefault="00AF59A0" w:rsidP="00E777AF">
      <w:pPr>
        <w:pStyle w:val="Equationlegend"/>
        <w:tabs>
          <w:tab w:val="clear" w:pos="1701"/>
          <w:tab w:val="clear" w:pos="1985"/>
          <w:tab w:val="right" w:pos="3402"/>
          <w:tab w:val="left" w:pos="3686"/>
        </w:tabs>
        <w:ind w:left="3686" w:hanging="3686"/>
        <w:rPr>
          <w:lang w:val="en-GB" w:eastAsia="fr-FR"/>
        </w:rPr>
      </w:pPr>
      <w:r w:rsidRPr="00304846">
        <w:rPr>
          <w:lang w:val="en-GB" w:eastAsia="fr-FR"/>
        </w:rPr>
        <w:tab/>
      </w:r>
      <w:r w:rsidRPr="00304846">
        <w:rPr>
          <w:i/>
          <w:iCs/>
          <w:lang w:val="en-GB" w:eastAsia="fr-FR"/>
        </w:rPr>
        <w:t>a</w:t>
      </w:r>
      <w:r w:rsidRPr="00304846">
        <w:rPr>
          <w:i/>
          <w:iCs/>
          <w:vertAlign w:val="subscript"/>
          <w:lang w:val="en-GB" w:eastAsia="fr-FR"/>
        </w:rPr>
        <w:t>point-to-point FS Tx</w:t>
      </w:r>
      <w:r w:rsidRPr="00304846">
        <w:rPr>
          <w:lang w:val="en-GB" w:eastAsia="fr-FR"/>
        </w:rPr>
        <w:t xml:space="preserve"> (dB) : </w:t>
      </w:r>
      <w:r w:rsidRPr="00304846">
        <w:rPr>
          <w:lang w:val="en-GB" w:eastAsia="fr-FR"/>
        </w:rPr>
        <w:tab/>
        <w:t>all losses between the antenna flange and the output of the transmitter point-to-point FS system;</w:t>
      </w:r>
    </w:p>
    <w:p w:rsidR="00AF59A0" w:rsidRPr="00304846" w:rsidRDefault="00AF59A0" w:rsidP="00E777AF">
      <w:pPr>
        <w:pStyle w:val="Equationlegend"/>
        <w:tabs>
          <w:tab w:val="clear" w:pos="1701"/>
          <w:tab w:val="clear" w:pos="1985"/>
          <w:tab w:val="right" w:pos="3402"/>
          <w:tab w:val="left" w:pos="3686"/>
        </w:tabs>
        <w:ind w:left="3686" w:hanging="3686"/>
        <w:rPr>
          <w:lang w:val="en-GB" w:eastAsia="fr-FR"/>
        </w:rPr>
      </w:pPr>
      <w:r w:rsidRPr="00304846">
        <w:rPr>
          <w:lang w:val="en-GB" w:eastAsia="fr-FR"/>
        </w:rPr>
        <w:tab/>
      </w:r>
      <w:r w:rsidRPr="00304846">
        <w:rPr>
          <w:i/>
          <w:iCs/>
          <w:lang w:val="en-GB" w:eastAsia="fr-FR"/>
        </w:rPr>
        <w:t>G</w:t>
      </w:r>
      <w:r w:rsidRPr="00304846">
        <w:rPr>
          <w:i/>
          <w:iCs/>
          <w:vertAlign w:val="subscript"/>
          <w:lang w:val="en-GB" w:eastAsia="fr-FR"/>
        </w:rPr>
        <w:t>max</w:t>
      </w:r>
      <w:r w:rsidRPr="00304846">
        <w:rPr>
          <w:i/>
          <w:iCs/>
          <w:lang w:val="en-GB" w:eastAsia="fr-FR"/>
        </w:rPr>
        <w:t xml:space="preserve"> </w:t>
      </w:r>
      <w:r w:rsidRPr="00304846">
        <w:rPr>
          <w:i/>
          <w:iCs/>
          <w:vertAlign w:val="subscript"/>
          <w:lang w:val="en-GB" w:eastAsia="fr-FR"/>
        </w:rPr>
        <w:t>point-to-point FS Rx</w:t>
      </w:r>
      <w:r w:rsidRPr="00304846">
        <w:rPr>
          <w:lang w:val="en-GB" w:eastAsia="fr-FR"/>
        </w:rPr>
        <w:t xml:space="preserve"> (dB) : </w:t>
      </w:r>
      <w:r w:rsidRPr="00304846">
        <w:rPr>
          <w:lang w:val="en-GB" w:eastAsia="fr-FR"/>
        </w:rPr>
        <w:tab/>
        <w:t xml:space="preserve">receiver </w:t>
      </w:r>
      <w:r w:rsidRPr="00304846">
        <w:rPr>
          <w:lang w:val="en-GB"/>
        </w:rPr>
        <w:t>maximum</w:t>
      </w:r>
      <w:r w:rsidRPr="00304846">
        <w:rPr>
          <w:lang w:val="en-GB" w:eastAsia="fr-FR"/>
        </w:rPr>
        <w:t xml:space="preserve"> antenna gain point-to-point FS system;</w:t>
      </w:r>
    </w:p>
    <w:p w:rsidR="00AF59A0" w:rsidRPr="00304846" w:rsidRDefault="00AF59A0" w:rsidP="00E777AF">
      <w:pPr>
        <w:pStyle w:val="Equationlegend"/>
        <w:tabs>
          <w:tab w:val="clear" w:pos="1701"/>
          <w:tab w:val="clear" w:pos="1985"/>
          <w:tab w:val="right" w:pos="3402"/>
          <w:tab w:val="left" w:pos="3686"/>
        </w:tabs>
        <w:ind w:left="3686" w:hanging="3686"/>
        <w:rPr>
          <w:lang w:val="en-GB" w:eastAsia="fr-FR"/>
        </w:rPr>
      </w:pPr>
      <w:r w:rsidRPr="00304846">
        <w:rPr>
          <w:lang w:val="en-GB" w:eastAsia="fr-FR"/>
        </w:rPr>
        <w:tab/>
      </w:r>
      <w:r w:rsidRPr="00304846">
        <w:rPr>
          <w:i/>
          <w:iCs/>
          <w:lang w:val="en-GB" w:eastAsia="fr-FR"/>
        </w:rPr>
        <w:t>a</w:t>
      </w:r>
      <w:r w:rsidRPr="00304846">
        <w:rPr>
          <w:i/>
          <w:iCs/>
          <w:vertAlign w:val="subscript"/>
          <w:lang w:val="en-GB" w:eastAsia="fr-FR"/>
        </w:rPr>
        <w:t>point-to-point FS Rx</w:t>
      </w:r>
      <w:r w:rsidRPr="00304846">
        <w:rPr>
          <w:lang w:val="en-GB" w:eastAsia="fr-FR"/>
        </w:rPr>
        <w:t xml:space="preserve"> (dB) : </w:t>
      </w:r>
      <w:r w:rsidRPr="00304846">
        <w:rPr>
          <w:lang w:val="en-GB" w:eastAsia="fr-FR"/>
        </w:rPr>
        <w:tab/>
        <w:t>all losses between the antenna flange and the input of the receiver point-to-point FS system;</w:t>
      </w:r>
    </w:p>
    <w:p w:rsidR="00AF59A0" w:rsidRPr="00304846" w:rsidRDefault="00AF59A0" w:rsidP="00E777AF">
      <w:pPr>
        <w:pStyle w:val="Equationlegend"/>
        <w:tabs>
          <w:tab w:val="clear" w:pos="1701"/>
          <w:tab w:val="clear" w:pos="1985"/>
          <w:tab w:val="right" w:pos="3402"/>
          <w:tab w:val="left" w:pos="3686"/>
        </w:tabs>
        <w:ind w:left="3686" w:hanging="3686"/>
        <w:rPr>
          <w:lang w:val="en-GB" w:eastAsia="fr-FR"/>
        </w:rPr>
      </w:pPr>
      <w:r w:rsidRPr="00304846">
        <w:rPr>
          <w:lang w:val="en-GB" w:eastAsia="fr-FR"/>
        </w:rPr>
        <w:tab/>
      </w:r>
      <w:r w:rsidRPr="00304846">
        <w:rPr>
          <w:i/>
          <w:iCs/>
          <w:lang w:val="en-GB" w:eastAsia="fr-FR"/>
        </w:rPr>
        <w:t>L</w:t>
      </w:r>
      <w:r w:rsidRPr="00304846">
        <w:rPr>
          <w:i/>
          <w:iCs/>
          <w:vertAlign w:val="subscript"/>
          <w:lang w:val="en-GB" w:eastAsia="fr-FR"/>
        </w:rPr>
        <w:t>prop</w:t>
      </w:r>
      <w:r w:rsidRPr="00304846">
        <w:rPr>
          <w:lang w:val="en-GB" w:eastAsia="fr-FR"/>
        </w:rPr>
        <w:t>(</w:t>
      </w:r>
      <w:r w:rsidRPr="00304846">
        <w:rPr>
          <w:lang w:val="en-GB"/>
        </w:rPr>
        <w:t>Link Length</w:t>
      </w:r>
      <w:r w:rsidRPr="00304846">
        <w:rPr>
          <w:lang w:val="en-GB" w:eastAsia="fr-FR"/>
        </w:rPr>
        <w:t xml:space="preserve">): </w:t>
      </w:r>
      <w:r w:rsidRPr="00304846">
        <w:rPr>
          <w:lang w:val="en-GB" w:eastAsia="fr-FR"/>
        </w:rPr>
        <w:tab/>
        <w:t>propagation attenuation be</w:t>
      </w:r>
      <w:r w:rsidR="00CA785C" w:rsidRPr="00304846">
        <w:rPr>
          <w:lang w:val="en-GB" w:eastAsia="fr-FR"/>
        </w:rPr>
        <w:t xml:space="preserve">tween antennas transmitter and </w:t>
      </w:r>
      <w:r w:rsidRPr="00304846">
        <w:rPr>
          <w:lang w:val="en-GB" w:eastAsia="fr-FR"/>
        </w:rPr>
        <w:t>receiver point-to-point FS system (Rec. ITU-R P.525, Rec. ITU-R P.530);</w:t>
      </w:r>
    </w:p>
    <w:p w:rsidR="00AF59A0" w:rsidRPr="00304846" w:rsidRDefault="00AF59A0" w:rsidP="00E777AF">
      <w:pPr>
        <w:pStyle w:val="Equationlegend"/>
        <w:tabs>
          <w:tab w:val="clear" w:pos="1701"/>
          <w:tab w:val="clear" w:pos="1985"/>
          <w:tab w:val="right" w:pos="3402"/>
          <w:tab w:val="left" w:pos="3686"/>
        </w:tabs>
        <w:ind w:left="3686" w:hanging="3686"/>
        <w:rPr>
          <w:lang w:val="en-GB" w:eastAsia="zh-CN"/>
        </w:rPr>
      </w:pPr>
      <w:r w:rsidRPr="00304846">
        <w:rPr>
          <w:lang w:val="en-GB"/>
        </w:rPr>
        <w:tab/>
        <w:t>Link Length (km)</w:t>
      </w:r>
      <w:r w:rsidRPr="00304846">
        <w:rPr>
          <w:iCs/>
          <w:lang w:val="en-GB"/>
        </w:rPr>
        <w:t xml:space="preserve">: </w:t>
      </w:r>
      <w:r w:rsidRPr="00304846">
        <w:rPr>
          <w:iCs/>
          <w:lang w:val="en-GB"/>
        </w:rPr>
        <w:tab/>
      </w:r>
      <w:r w:rsidRPr="00304846">
        <w:rPr>
          <w:lang w:val="en-GB"/>
        </w:rPr>
        <w:t>link length point-to-point FS system;</w:t>
      </w:r>
    </w:p>
    <w:p w:rsidR="00AF59A0" w:rsidRPr="00304846" w:rsidRDefault="00AF59A0" w:rsidP="00E777AF">
      <w:pPr>
        <w:pStyle w:val="Equationlegend"/>
        <w:tabs>
          <w:tab w:val="clear" w:pos="1701"/>
          <w:tab w:val="clear" w:pos="1985"/>
          <w:tab w:val="right" w:pos="3402"/>
          <w:tab w:val="left" w:pos="3686"/>
        </w:tabs>
        <w:ind w:left="3686" w:hanging="3686"/>
        <w:rPr>
          <w:lang w:val="en-GB"/>
        </w:rPr>
      </w:pPr>
      <w:r w:rsidRPr="00304846">
        <w:rPr>
          <w:lang w:val="en-GB" w:eastAsia="fr-FR"/>
        </w:rPr>
        <w:tab/>
      </w:r>
      <w:r w:rsidRPr="00304846">
        <w:rPr>
          <w:i/>
          <w:iCs/>
          <w:lang w:val="en-GB" w:eastAsia="fr-FR"/>
        </w:rPr>
        <w:t>L</w:t>
      </w:r>
      <w:r w:rsidRPr="00304846">
        <w:rPr>
          <w:i/>
          <w:iCs/>
          <w:vertAlign w:val="subscript"/>
          <w:lang w:val="en-GB" w:eastAsia="fr-FR"/>
        </w:rPr>
        <w:t>prop</w:t>
      </w:r>
      <w:r w:rsidRPr="00304846">
        <w:rPr>
          <w:lang w:val="en-GB" w:eastAsia="fr-FR"/>
        </w:rPr>
        <w:t>(</w:t>
      </w:r>
      <w:r w:rsidRPr="00304846">
        <w:rPr>
          <w:lang w:val="en-GB"/>
        </w:rPr>
        <w:t>Link Length</w:t>
      </w:r>
      <w:r w:rsidR="00E777AF" w:rsidRPr="00304846">
        <w:rPr>
          <w:lang w:val="en-GB" w:eastAsia="fr-FR"/>
        </w:rPr>
        <w:t xml:space="preserve">) = </w:t>
      </w:r>
      <w:r w:rsidR="00E777AF" w:rsidRPr="00304846">
        <w:rPr>
          <w:lang w:val="en-GB" w:eastAsia="fr-FR"/>
        </w:rPr>
        <w:tab/>
      </w:r>
      <w:r w:rsidRPr="00304846">
        <w:rPr>
          <w:lang w:val="en-GB"/>
        </w:rPr>
        <w:t xml:space="preserve">92.5 + 20 log </w:t>
      </w:r>
      <w:r w:rsidRPr="00304846">
        <w:rPr>
          <w:i/>
          <w:lang w:val="en-GB"/>
        </w:rPr>
        <w:t xml:space="preserve">f </w:t>
      </w:r>
      <w:r w:rsidRPr="00304846">
        <w:rPr>
          <w:lang w:val="en-GB"/>
        </w:rPr>
        <w:t xml:space="preserve"> + 20 log(Link Length);</w:t>
      </w:r>
    </w:p>
    <w:p w:rsidR="00AF59A0" w:rsidRPr="00304846" w:rsidRDefault="00AF59A0" w:rsidP="00AF59A0">
      <w:pPr>
        <w:rPr>
          <w:rFonts w:asciiTheme="majorBidi" w:hAnsiTheme="majorBidi" w:cstheme="majorBidi"/>
          <w:lang w:val="en-GB" w:eastAsia="fr-FR"/>
        </w:rPr>
      </w:pPr>
      <w:r w:rsidRPr="00304846">
        <w:rPr>
          <w:rFonts w:asciiTheme="majorBidi" w:hAnsiTheme="majorBidi" w:cstheme="majorBidi"/>
          <w:lang w:val="en-GB" w:eastAsia="fr-FR"/>
        </w:rPr>
        <w:t>where:</w:t>
      </w:r>
    </w:p>
    <w:p w:rsidR="00AF59A0" w:rsidRPr="00304846" w:rsidRDefault="00AF59A0" w:rsidP="00CA785C">
      <w:pPr>
        <w:pStyle w:val="Equationlegend"/>
        <w:tabs>
          <w:tab w:val="clear" w:pos="1701"/>
          <w:tab w:val="clear" w:pos="1985"/>
          <w:tab w:val="right" w:pos="3402"/>
          <w:tab w:val="left" w:pos="3686"/>
        </w:tabs>
        <w:ind w:left="3686" w:hanging="3686"/>
        <w:rPr>
          <w:lang w:val="en-GB" w:eastAsia="zh-CN"/>
        </w:rPr>
      </w:pPr>
      <w:r w:rsidRPr="00304846">
        <w:rPr>
          <w:lang w:val="en-GB"/>
        </w:rPr>
        <w:tab/>
      </w:r>
      <w:r w:rsidRPr="00304846">
        <w:rPr>
          <w:i/>
          <w:iCs/>
          <w:lang w:val="en-GB"/>
        </w:rPr>
        <w:t>f</w:t>
      </w:r>
      <w:r w:rsidRPr="00304846">
        <w:rPr>
          <w:lang w:val="en-GB"/>
        </w:rPr>
        <w:t xml:space="preserve"> </w:t>
      </w:r>
      <w:r w:rsidRPr="00304846">
        <w:rPr>
          <w:iCs/>
          <w:lang w:val="en-GB"/>
        </w:rPr>
        <w:t xml:space="preserve">: </w:t>
      </w:r>
      <w:r w:rsidRPr="00304846">
        <w:rPr>
          <w:lang w:val="en-GB"/>
        </w:rPr>
        <w:tab/>
        <w:t>frequency (GHz).</w:t>
      </w:r>
    </w:p>
    <w:p w:rsidR="00AF59A0" w:rsidRPr="00304846" w:rsidRDefault="00AF59A0" w:rsidP="00AF59A0">
      <w:pPr>
        <w:pStyle w:val="Heading4"/>
        <w:rPr>
          <w:lang w:val="en-GB" w:eastAsia="fr-FR"/>
        </w:rPr>
      </w:pPr>
      <w:r w:rsidRPr="00304846">
        <w:rPr>
          <w:lang w:val="en-GB" w:eastAsia="fr-FR"/>
        </w:rPr>
        <w:t>4.2.2.3</w:t>
      </w:r>
      <w:r w:rsidRPr="00304846">
        <w:rPr>
          <w:lang w:val="en-GB" w:eastAsia="fr-FR"/>
        </w:rPr>
        <w:tab/>
        <w:t>Baseline case #1 (</w:t>
      </w:r>
      <w:r w:rsidRPr="00304846">
        <w:rPr>
          <w:lang w:val="en-GB"/>
        </w:rPr>
        <w:t>(</w:t>
      </w:r>
      <w:r w:rsidRPr="00304846">
        <w:rPr>
          <w:i/>
          <w:iCs/>
          <w:lang w:val="en-GB"/>
        </w:rPr>
        <w:t>I</w:t>
      </w:r>
      <w:r w:rsidRPr="00304846">
        <w:rPr>
          <w:lang w:val="en-GB"/>
        </w:rPr>
        <w:t>/</w:t>
      </w:r>
      <w:r w:rsidRPr="00304846">
        <w:rPr>
          <w:i/>
          <w:iCs/>
          <w:lang w:val="en-GB"/>
        </w:rPr>
        <w:t>N</w:t>
      </w:r>
      <w:r w:rsidRPr="00304846">
        <w:rPr>
          <w:lang w:val="en-GB"/>
        </w:rPr>
        <w:t>)</w:t>
      </w:r>
      <w:r w:rsidRPr="00304846">
        <w:rPr>
          <w:i/>
          <w:iCs/>
          <w:vertAlign w:val="subscript"/>
          <w:lang w:val="en-GB"/>
        </w:rPr>
        <w:t>required</w:t>
      </w:r>
      <w:r w:rsidRPr="00304846">
        <w:rPr>
          <w:lang w:val="en-GB"/>
        </w:rPr>
        <w:t>)</w:t>
      </w:r>
    </w:p>
    <w:p w:rsidR="00AF59A0" w:rsidRPr="00304846" w:rsidRDefault="00AF59A0" w:rsidP="00AF59A0">
      <w:pPr>
        <w:rPr>
          <w:rFonts w:asciiTheme="majorBidi" w:hAnsiTheme="majorBidi" w:cstheme="majorBidi"/>
          <w:lang w:val="en-GB"/>
        </w:rPr>
      </w:pPr>
      <w:r w:rsidRPr="00304846">
        <w:rPr>
          <w:rFonts w:asciiTheme="majorBidi" w:hAnsiTheme="majorBidi" w:cstheme="majorBidi"/>
          <w:lang w:val="en-GB"/>
        </w:rPr>
        <w:t>The method consists in calculating the resulting (</w:t>
      </w:r>
      <w:r w:rsidRPr="00304846">
        <w:rPr>
          <w:rFonts w:asciiTheme="majorBidi" w:hAnsiTheme="majorBidi" w:cstheme="majorBidi"/>
          <w:i/>
          <w:iCs/>
          <w:lang w:val="en-GB"/>
        </w:rPr>
        <w:t>I</w:t>
      </w:r>
      <w:r w:rsidRPr="00304846">
        <w:rPr>
          <w:rFonts w:asciiTheme="majorBidi" w:hAnsiTheme="majorBidi" w:cstheme="majorBidi"/>
          <w:lang w:val="en-GB"/>
        </w:rPr>
        <w:t>/</w:t>
      </w:r>
      <w:r w:rsidRPr="00304846">
        <w:rPr>
          <w:rFonts w:asciiTheme="majorBidi" w:hAnsiTheme="majorBidi" w:cstheme="majorBidi"/>
          <w:i/>
          <w:iCs/>
          <w:lang w:val="en-GB"/>
        </w:rPr>
        <w:t>N</w:t>
      </w:r>
      <w:r w:rsidRPr="00304846">
        <w:rPr>
          <w:rFonts w:asciiTheme="majorBidi" w:hAnsiTheme="majorBidi" w:cstheme="majorBidi"/>
          <w:lang w:val="en-GB"/>
        </w:rPr>
        <w:t>) and then comparing it with the required (</w:t>
      </w:r>
      <w:r w:rsidRPr="00304846">
        <w:rPr>
          <w:rFonts w:asciiTheme="majorBidi" w:hAnsiTheme="majorBidi" w:cstheme="majorBidi"/>
          <w:i/>
          <w:iCs/>
          <w:lang w:val="en-GB"/>
        </w:rPr>
        <w:t>I</w:t>
      </w:r>
      <w:r w:rsidRPr="00304846">
        <w:rPr>
          <w:rFonts w:asciiTheme="majorBidi" w:hAnsiTheme="majorBidi" w:cstheme="majorBidi"/>
          <w:lang w:val="en-GB"/>
        </w:rPr>
        <w:t>/</w:t>
      </w:r>
      <w:r w:rsidRPr="00304846">
        <w:rPr>
          <w:rFonts w:asciiTheme="majorBidi" w:hAnsiTheme="majorBidi" w:cstheme="majorBidi"/>
          <w:i/>
          <w:iCs/>
          <w:lang w:val="en-GB"/>
        </w:rPr>
        <w:t>N</w:t>
      </w:r>
      <w:r w:rsidRPr="00304846">
        <w:rPr>
          <w:rFonts w:asciiTheme="majorBidi" w:hAnsiTheme="majorBidi" w:cstheme="majorBidi"/>
          <w:lang w:val="en-GB"/>
        </w:rPr>
        <w:t>)</w:t>
      </w:r>
      <w:r w:rsidRPr="00304846">
        <w:rPr>
          <w:rFonts w:asciiTheme="majorBidi" w:hAnsiTheme="majorBidi" w:cstheme="majorBidi"/>
          <w:i/>
          <w:iCs/>
          <w:vertAlign w:val="subscript"/>
          <w:lang w:val="en-GB"/>
        </w:rPr>
        <w:t>required</w:t>
      </w:r>
      <w:r w:rsidRPr="00304846">
        <w:rPr>
          <w:rFonts w:asciiTheme="majorBidi" w:hAnsiTheme="majorBidi" w:cstheme="majorBidi"/>
          <w:lang w:val="en-GB"/>
        </w:rPr>
        <w:t xml:space="preserve"> at the </w:t>
      </w:r>
      <w:r w:rsidRPr="00304846">
        <w:rPr>
          <w:rFonts w:asciiTheme="majorBidi" w:hAnsiTheme="majorBidi" w:cstheme="majorBidi"/>
          <w:lang w:val="en-GB" w:eastAsia="fr-FR"/>
        </w:rPr>
        <w:t>interfered receiver point-to-point FS systems</w:t>
      </w:r>
      <w:r w:rsidRPr="00304846">
        <w:rPr>
          <w:rFonts w:asciiTheme="majorBidi" w:hAnsiTheme="majorBidi" w:cstheme="majorBidi"/>
          <w:lang w:val="en-GB"/>
        </w:rPr>
        <w:t xml:space="preserve"> (</w:t>
      </w:r>
      <w:r w:rsidRPr="00304846">
        <w:rPr>
          <w:rFonts w:asciiTheme="majorBidi" w:hAnsiTheme="majorBidi" w:cstheme="majorBidi"/>
          <w:lang w:val="en-GB" w:eastAsia="fr-FR"/>
        </w:rPr>
        <w:t>(</w:t>
      </w:r>
      <w:r w:rsidRPr="00304846">
        <w:rPr>
          <w:rFonts w:asciiTheme="majorBidi" w:hAnsiTheme="majorBidi" w:cstheme="majorBidi"/>
          <w:i/>
          <w:iCs/>
          <w:lang w:val="en-GB"/>
        </w:rPr>
        <w:t>I</w:t>
      </w:r>
      <w:r w:rsidRPr="00304846">
        <w:rPr>
          <w:rFonts w:asciiTheme="majorBidi" w:hAnsiTheme="majorBidi" w:cstheme="majorBidi"/>
          <w:lang w:val="en-GB"/>
        </w:rPr>
        <w:t>/</w:t>
      </w:r>
      <w:r w:rsidRPr="00304846">
        <w:rPr>
          <w:rFonts w:asciiTheme="majorBidi" w:hAnsiTheme="majorBidi" w:cstheme="majorBidi"/>
          <w:i/>
          <w:iCs/>
          <w:lang w:val="en-GB"/>
        </w:rPr>
        <w:t>N</w:t>
      </w:r>
      <w:r w:rsidRPr="00304846">
        <w:rPr>
          <w:rFonts w:asciiTheme="majorBidi" w:hAnsiTheme="majorBidi" w:cstheme="majorBidi"/>
          <w:lang w:val="en-GB"/>
        </w:rPr>
        <w:t>)</w:t>
      </w:r>
      <w:r w:rsidRPr="00304846">
        <w:rPr>
          <w:rFonts w:asciiTheme="majorBidi" w:hAnsiTheme="majorBidi" w:cstheme="majorBidi"/>
          <w:i/>
          <w:iCs/>
          <w:vertAlign w:val="subscript"/>
          <w:lang w:val="en-GB"/>
        </w:rPr>
        <w:t>required</w:t>
      </w:r>
      <w:r w:rsidRPr="00304846">
        <w:rPr>
          <w:rFonts w:asciiTheme="majorBidi" w:hAnsiTheme="majorBidi" w:cstheme="majorBidi"/>
          <w:i/>
          <w:iCs/>
          <w:lang w:val="en-GB"/>
        </w:rPr>
        <w:t xml:space="preserve"> </w:t>
      </w:r>
      <w:r w:rsidR="00004394" w:rsidRPr="00304846">
        <w:rPr>
          <w:rFonts w:asciiTheme="majorBidi" w:hAnsiTheme="majorBidi" w:cstheme="majorBidi"/>
          <w:lang w:val="en-GB"/>
        </w:rPr>
        <w:t>= –</w:t>
      </w:r>
      <w:r w:rsidRPr="00304846">
        <w:rPr>
          <w:rFonts w:asciiTheme="majorBidi" w:hAnsiTheme="majorBidi" w:cstheme="majorBidi"/>
          <w:lang w:val="en-GB"/>
        </w:rPr>
        <w:t xml:space="preserve">10 dB). </w:t>
      </w:r>
    </w:p>
    <w:p w:rsidR="00AF59A0" w:rsidRPr="00304846" w:rsidRDefault="00AF59A0" w:rsidP="00004394">
      <w:pPr>
        <w:pStyle w:val="Equation"/>
        <w:jc w:val="center"/>
        <w:rPr>
          <w:lang w:val="en-GB" w:eastAsia="fr-FR"/>
        </w:rPr>
      </w:pPr>
      <w:r w:rsidRPr="00304846">
        <w:rPr>
          <w:b/>
          <w:lang w:val="en-GB"/>
        </w:rPr>
        <w:t>(</w:t>
      </w:r>
      <w:r w:rsidRPr="00304846">
        <w:rPr>
          <w:i/>
          <w:iCs/>
          <w:lang w:val="en-GB"/>
        </w:rPr>
        <w:t>I</w:t>
      </w:r>
      <w:r w:rsidRPr="00304846">
        <w:rPr>
          <w:lang w:val="en-GB"/>
        </w:rPr>
        <w:t>/</w:t>
      </w:r>
      <w:r w:rsidRPr="00304846">
        <w:rPr>
          <w:i/>
          <w:iCs/>
          <w:lang w:val="en-GB"/>
        </w:rPr>
        <w:t>N</w:t>
      </w:r>
      <w:r w:rsidRPr="00304846">
        <w:rPr>
          <w:lang w:val="en-GB"/>
        </w:rPr>
        <w:t>)</w:t>
      </w:r>
      <w:r w:rsidRPr="00304846">
        <w:rPr>
          <w:i/>
          <w:iCs/>
          <w:vertAlign w:val="subscript"/>
          <w:lang w:val="en-GB"/>
        </w:rPr>
        <w:t>required</w:t>
      </w:r>
      <w:r w:rsidRPr="00304846">
        <w:rPr>
          <w:lang w:val="en-GB"/>
        </w:rPr>
        <w:t xml:space="preserve"> =</w:t>
      </w:r>
      <w:r w:rsidR="00004394" w:rsidRPr="00304846">
        <w:rPr>
          <w:lang w:val="en-GB"/>
        </w:rPr>
        <w:t xml:space="preserve"> </w:t>
      </w:r>
      <w:r w:rsidRPr="00304846">
        <w:rPr>
          <w:lang w:val="en-GB"/>
        </w:rPr>
        <w:t xml:space="preserve">[ </w:t>
      </w:r>
      <w:r w:rsidRPr="00304846">
        <w:rPr>
          <w:rFonts w:eastAsiaTheme="minorHAnsi"/>
          <w:i/>
          <w:iCs/>
          <w:lang w:val="en-GB"/>
        </w:rPr>
        <w:t>P</w:t>
      </w:r>
      <w:r w:rsidRPr="00304846">
        <w:rPr>
          <w:rFonts w:eastAsiaTheme="minorHAnsi"/>
          <w:i/>
          <w:iCs/>
          <w:vertAlign w:val="subscript"/>
          <w:lang w:val="en-GB"/>
        </w:rPr>
        <w:t>Tx</w:t>
      </w:r>
      <w:r w:rsidRPr="00304846">
        <w:rPr>
          <w:rFonts w:eastAsiaTheme="minorHAnsi"/>
          <w:lang w:val="en-GB"/>
        </w:rPr>
        <w:t xml:space="preserve"> </w:t>
      </w:r>
      <w:r w:rsidR="00004394" w:rsidRPr="00304846">
        <w:rPr>
          <w:rFonts w:eastAsiaTheme="minorHAnsi"/>
          <w:lang w:val="en-GB"/>
        </w:rPr>
        <w:t>–</w:t>
      </w:r>
      <w:r w:rsidRPr="00304846">
        <w:rPr>
          <w:lang w:val="en-GB" w:eastAsia="fr-FR"/>
        </w:rPr>
        <w:t xml:space="preserve"> </w:t>
      </w:r>
      <w:r w:rsidRPr="00304846">
        <w:rPr>
          <w:i/>
          <w:iCs/>
          <w:lang w:val="en-GB" w:eastAsia="fr-FR"/>
        </w:rPr>
        <w:t>a</w:t>
      </w:r>
      <w:r w:rsidRPr="00304846">
        <w:rPr>
          <w:i/>
          <w:iCs/>
          <w:vertAlign w:val="subscript"/>
          <w:lang w:val="en-GB" w:eastAsia="fr-FR"/>
        </w:rPr>
        <w:t>Tx</w:t>
      </w:r>
      <w:r w:rsidRPr="00304846">
        <w:rPr>
          <w:lang w:val="en-GB" w:eastAsia="fr-FR"/>
        </w:rPr>
        <w:t xml:space="preserve"> + </w:t>
      </w:r>
      <w:r w:rsidRPr="00304846">
        <w:rPr>
          <w:i/>
          <w:iCs/>
          <w:lang w:val="en-GB" w:eastAsia="fr-FR"/>
        </w:rPr>
        <w:t>G</w:t>
      </w:r>
      <w:r w:rsidRPr="00304846">
        <w:rPr>
          <w:i/>
          <w:iCs/>
          <w:vertAlign w:val="subscript"/>
          <w:lang w:val="en-GB" w:eastAsia="fr-FR"/>
        </w:rPr>
        <w:t>Tx</w:t>
      </w:r>
      <w:r w:rsidRPr="00304846">
        <w:rPr>
          <w:lang w:val="en-GB" w:eastAsia="fr-FR"/>
        </w:rPr>
        <w:t xml:space="preserve"> </w:t>
      </w:r>
      <w:r w:rsidR="00004394" w:rsidRPr="00304846">
        <w:rPr>
          <w:lang w:val="en-GB" w:eastAsia="fr-FR"/>
        </w:rPr>
        <w:t>–</w:t>
      </w:r>
      <w:r w:rsidRPr="00304846">
        <w:rPr>
          <w:lang w:val="en-GB" w:eastAsia="fr-FR"/>
        </w:rPr>
        <w:t xml:space="preserve"> </w:t>
      </w:r>
      <w:r w:rsidRPr="00304846">
        <w:rPr>
          <w:i/>
          <w:iCs/>
          <w:lang w:val="en-GB" w:eastAsia="fr-FR"/>
        </w:rPr>
        <w:t>L</w:t>
      </w:r>
      <w:r w:rsidRPr="00304846">
        <w:rPr>
          <w:i/>
          <w:iCs/>
          <w:vertAlign w:val="subscript"/>
          <w:lang w:val="en-GB" w:eastAsia="fr-FR"/>
        </w:rPr>
        <w:t>prop</w:t>
      </w:r>
      <w:r w:rsidRPr="00304846">
        <w:rPr>
          <w:lang w:val="en-GB" w:eastAsia="fr-FR"/>
        </w:rPr>
        <w:t>(</w:t>
      </w:r>
      <w:r w:rsidRPr="00304846">
        <w:rPr>
          <w:i/>
          <w:iCs/>
          <w:lang w:val="en-GB" w:eastAsia="fr-FR"/>
        </w:rPr>
        <w:t>d</w:t>
      </w:r>
      <w:r w:rsidRPr="00304846">
        <w:rPr>
          <w:i/>
          <w:iCs/>
          <w:vertAlign w:val="subscript"/>
          <w:lang w:val="en-GB" w:eastAsia="fr-FR"/>
        </w:rPr>
        <w:t>IMT-FS</w:t>
      </w:r>
      <w:r w:rsidRPr="00304846">
        <w:rPr>
          <w:lang w:val="en-GB" w:eastAsia="fr-FR"/>
        </w:rPr>
        <w:t xml:space="preserve">) + </w:t>
      </w:r>
      <w:r w:rsidRPr="00304846">
        <w:rPr>
          <w:i/>
          <w:iCs/>
          <w:lang w:val="en-GB" w:eastAsia="fr-FR"/>
        </w:rPr>
        <w:t>G</w:t>
      </w:r>
      <w:r w:rsidRPr="00304846">
        <w:rPr>
          <w:i/>
          <w:iCs/>
          <w:vertAlign w:val="subscript"/>
          <w:lang w:val="en-GB" w:eastAsia="fr-FR"/>
        </w:rPr>
        <w:t>Rx</w:t>
      </w:r>
      <w:r w:rsidRPr="00304846">
        <w:rPr>
          <w:lang w:val="en-GB" w:eastAsia="fr-FR"/>
        </w:rPr>
        <w:t xml:space="preserve"> </w:t>
      </w:r>
      <w:r w:rsidR="00004394" w:rsidRPr="00304846">
        <w:rPr>
          <w:lang w:val="en-GB" w:eastAsia="fr-FR"/>
        </w:rPr>
        <w:t>–</w:t>
      </w:r>
      <w:r w:rsidRPr="00304846">
        <w:rPr>
          <w:lang w:val="en-GB" w:eastAsia="fr-FR"/>
        </w:rPr>
        <w:t xml:space="preserve"> </w:t>
      </w:r>
      <w:r w:rsidRPr="00304846">
        <w:rPr>
          <w:i/>
          <w:iCs/>
          <w:lang w:val="en-GB" w:eastAsia="fr-FR"/>
        </w:rPr>
        <w:t>a</w:t>
      </w:r>
      <w:r w:rsidRPr="00304846">
        <w:rPr>
          <w:i/>
          <w:iCs/>
          <w:vertAlign w:val="subscript"/>
          <w:lang w:val="en-GB" w:eastAsia="fr-FR"/>
        </w:rPr>
        <w:t>Rx</w:t>
      </w:r>
      <w:r w:rsidR="00004394" w:rsidRPr="00304846">
        <w:rPr>
          <w:lang w:val="en-GB" w:eastAsia="fr-FR"/>
        </w:rPr>
        <w:t xml:space="preserve"> –</w:t>
      </w:r>
      <w:r w:rsidRPr="00304846">
        <w:rPr>
          <w:lang w:val="en-GB" w:eastAsia="fr-FR"/>
        </w:rPr>
        <w:t xml:space="preserve"> </w:t>
      </w:r>
      <w:r w:rsidRPr="00304846">
        <w:rPr>
          <w:i/>
          <w:iCs/>
          <w:lang w:val="en-GB" w:eastAsia="fr-FR"/>
        </w:rPr>
        <w:t>a</w:t>
      </w:r>
      <w:r w:rsidRPr="00304846">
        <w:rPr>
          <w:i/>
          <w:iCs/>
          <w:vertAlign w:val="subscript"/>
          <w:lang w:val="en-GB" w:eastAsia="fr-FR"/>
        </w:rPr>
        <w:t>ant</w:t>
      </w:r>
      <w:r w:rsidRPr="00304846">
        <w:rPr>
          <w:lang w:val="en-GB" w:eastAsia="fr-FR"/>
        </w:rPr>
        <w:t>(</w:t>
      </w:r>
      <w:r w:rsidRPr="00304846">
        <w:rPr>
          <w:rFonts w:ascii="Symbol" w:hAnsi="Symbol"/>
          <w:lang w:val="en-GB" w:eastAsia="fr-FR"/>
        </w:rPr>
        <w:t></w:t>
      </w:r>
      <w:r w:rsidRPr="00304846">
        <w:rPr>
          <w:i/>
          <w:iCs/>
          <w:vertAlign w:val="subscript"/>
          <w:lang w:val="en-GB" w:eastAsia="fr-FR"/>
        </w:rPr>
        <w:t>az</w:t>
      </w:r>
      <w:r w:rsidRPr="00304846">
        <w:rPr>
          <w:lang w:val="en-GB" w:eastAsia="fr-FR"/>
        </w:rPr>
        <w:t>) – (</w:t>
      </w:r>
      <w:r w:rsidRPr="00304846">
        <w:rPr>
          <w:i/>
          <w:iCs/>
          <w:lang w:val="en-GB" w:eastAsia="fr-FR"/>
        </w:rPr>
        <w:t>MD</w:t>
      </w:r>
      <w:r w:rsidRPr="00304846">
        <w:rPr>
          <w:lang w:val="en-GB" w:eastAsia="fr-FR"/>
        </w:rPr>
        <w:t xml:space="preserve"> + </w:t>
      </w:r>
      <w:r w:rsidRPr="00304846">
        <w:rPr>
          <w:i/>
          <w:iCs/>
          <w:lang w:val="en-GB" w:eastAsia="fr-FR"/>
        </w:rPr>
        <w:t>NFD</w:t>
      </w:r>
      <w:r w:rsidRPr="00304846">
        <w:rPr>
          <w:lang w:val="en-GB" w:eastAsia="fr-FR"/>
        </w:rPr>
        <w:t>(</w:t>
      </w:r>
      <w:r w:rsidRPr="00304846">
        <w:rPr>
          <w:rFonts w:ascii="Calibri" w:hAnsi="Calibri"/>
          <w:lang w:val="en-GB" w:eastAsia="fr-FR"/>
        </w:rPr>
        <w:t>Δ</w:t>
      </w:r>
      <w:r w:rsidRPr="00304846">
        <w:rPr>
          <w:i/>
          <w:iCs/>
          <w:lang w:val="en-GB" w:eastAsia="fr-FR"/>
        </w:rPr>
        <w:t>f</w:t>
      </w:r>
      <w:r w:rsidRPr="00304846">
        <w:rPr>
          <w:lang w:val="en-GB" w:eastAsia="fr-FR"/>
        </w:rPr>
        <w:t xml:space="preserve">)) – </w:t>
      </w:r>
      <w:r w:rsidRPr="00304846">
        <w:rPr>
          <w:lang w:val="en-GB" w:eastAsia="fr-FR"/>
        </w:rPr>
        <w:br/>
        <w:t xml:space="preserve"> </w:t>
      </w:r>
      <w:r w:rsidR="00004394" w:rsidRPr="00304846">
        <w:rPr>
          <w:lang w:val="en-GB" w:eastAsia="fr-FR"/>
        </w:rPr>
        <w:t>–</w:t>
      </w:r>
      <w:r w:rsidRPr="00304846">
        <w:rPr>
          <w:lang w:val="en-GB" w:eastAsia="fr-FR"/>
        </w:rPr>
        <w:t xml:space="preserve"> </w:t>
      </w:r>
      <w:r w:rsidRPr="00304846">
        <w:rPr>
          <w:i/>
          <w:iCs/>
          <w:lang w:val="en-GB" w:eastAsia="fr-FR"/>
        </w:rPr>
        <w:t>a</w:t>
      </w:r>
      <w:r w:rsidRPr="00304846">
        <w:rPr>
          <w:i/>
          <w:iCs/>
          <w:vertAlign w:val="subscript"/>
          <w:lang w:val="en-GB" w:eastAsia="fr-FR"/>
        </w:rPr>
        <w:t>indoor</w:t>
      </w:r>
      <w:r w:rsidRPr="00304846">
        <w:rPr>
          <w:lang w:val="en-GB" w:eastAsia="fr-FR"/>
        </w:rPr>
        <w:t>] – [10log(</w:t>
      </w:r>
      <w:r w:rsidRPr="00304846">
        <w:rPr>
          <w:i/>
          <w:iCs/>
          <w:lang w:val="en-GB" w:eastAsia="fr-FR"/>
        </w:rPr>
        <w:t>kT</w:t>
      </w:r>
      <w:r w:rsidRPr="00304846">
        <w:rPr>
          <w:vertAlign w:val="subscript"/>
          <w:lang w:val="en-GB" w:eastAsia="fr-FR"/>
        </w:rPr>
        <w:t>0</w:t>
      </w:r>
      <w:r w:rsidRPr="00304846">
        <w:rPr>
          <w:i/>
          <w:iCs/>
          <w:lang w:val="en-GB" w:eastAsia="fr-FR"/>
        </w:rPr>
        <w:t>B</w:t>
      </w:r>
      <w:r w:rsidRPr="00304846">
        <w:rPr>
          <w:lang w:val="en-GB" w:eastAsia="fr-FR"/>
        </w:rPr>
        <w:t>)</w:t>
      </w:r>
      <w:r w:rsidR="00004394" w:rsidRPr="00304846">
        <w:rPr>
          <w:lang w:val="en-GB" w:eastAsia="fr-FR"/>
        </w:rPr>
        <w:t xml:space="preserve"> </w:t>
      </w:r>
      <w:r w:rsidRPr="00304846">
        <w:rPr>
          <w:lang w:val="en-GB" w:eastAsia="fr-FR"/>
        </w:rPr>
        <w:t>+</w:t>
      </w:r>
      <w:r w:rsidR="00004394" w:rsidRPr="00304846">
        <w:rPr>
          <w:lang w:val="en-GB" w:eastAsia="fr-FR"/>
        </w:rPr>
        <w:t xml:space="preserve"> </w:t>
      </w:r>
      <w:r w:rsidRPr="00304846">
        <w:rPr>
          <w:i/>
          <w:iCs/>
          <w:lang w:val="en-GB" w:eastAsia="fr-FR"/>
        </w:rPr>
        <w:t>NF</w:t>
      </w:r>
      <w:r w:rsidRPr="00304846">
        <w:rPr>
          <w:lang w:val="en-GB" w:eastAsia="fr-FR"/>
        </w:rPr>
        <w:t>].</w:t>
      </w:r>
    </w:p>
    <w:p w:rsidR="00AF59A0" w:rsidRPr="00304846" w:rsidRDefault="00AF59A0" w:rsidP="004823B7">
      <w:pPr>
        <w:pStyle w:val="Heading4"/>
        <w:rPr>
          <w:lang w:val="en-GB" w:eastAsia="fr-FR"/>
        </w:rPr>
      </w:pPr>
      <w:r w:rsidRPr="00304846">
        <w:rPr>
          <w:lang w:val="en-GB" w:eastAsia="fr-FR"/>
        </w:rPr>
        <w:t>4.2.2.4</w:t>
      </w:r>
      <w:r w:rsidRPr="00304846">
        <w:rPr>
          <w:lang w:val="en-GB" w:eastAsia="fr-FR"/>
        </w:rPr>
        <w:tab/>
      </w:r>
      <w:r w:rsidRPr="00304846">
        <w:rPr>
          <w:lang w:val="en-GB"/>
        </w:rPr>
        <w:t>Additional</w:t>
      </w:r>
      <w:r w:rsidRPr="00304846">
        <w:rPr>
          <w:lang w:val="en-GB" w:eastAsia="fr-FR"/>
        </w:rPr>
        <w:t xml:space="preserve"> case #2 (</w:t>
      </w:r>
      <w:r w:rsidRPr="00304846">
        <w:rPr>
          <w:lang w:val="en-GB"/>
        </w:rPr>
        <w:t>(</w:t>
      </w:r>
      <w:r w:rsidRPr="00304846">
        <w:rPr>
          <w:i/>
          <w:iCs/>
          <w:lang w:val="en-GB"/>
        </w:rPr>
        <w:t>C</w:t>
      </w:r>
      <w:r w:rsidRPr="00304846">
        <w:rPr>
          <w:lang w:val="en-GB"/>
        </w:rPr>
        <w:t>/</w:t>
      </w:r>
      <w:r w:rsidRPr="00304846">
        <w:rPr>
          <w:i/>
          <w:iCs/>
          <w:lang w:val="en-GB"/>
        </w:rPr>
        <w:t>I</w:t>
      </w:r>
      <w:r w:rsidRPr="00304846">
        <w:rPr>
          <w:lang w:val="en-GB"/>
        </w:rPr>
        <w:t>)</w:t>
      </w:r>
      <w:r w:rsidRPr="00304846">
        <w:rPr>
          <w:i/>
          <w:iCs/>
          <w:vertAlign w:val="subscript"/>
          <w:lang w:val="en-GB"/>
        </w:rPr>
        <w:t>required</w:t>
      </w:r>
      <w:r w:rsidRPr="00304846">
        <w:rPr>
          <w:lang w:val="en-GB"/>
        </w:rPr>
        <w:t>)</w:t>
      </w:r>
    </w:p>
    <w:p w:rsidR="00AF59A0" w:rsidRPr="00304846" w:rsidRDefault="00AF59A0" w:rsidP="00491AFF">
      <w:pPr>
        <w:rPr>
          <w:lang w:val="en-GB"/>
        </w:rPr>
      </w:pPr>
      <w:r w:rsidRPr="00304846">
        <w:rPr>
          <w:lang w:val="en-GB"/>
        </w:rPr>
        <w:t>The method consists in calculating the resulting (</w:t>
      </w:r>
      <w:r w:rsidRPr="00304846">
        <w:rPr>
          <w:i/>
          <w:iCs/>
          <w:lang w:val="en-GB"/>
        </w:rPr>
        <w:t>C</w:t>
      </w:r>
      <w:r w:rsidRPr="00304846">
        <w:rPr>
          <w:lang w:val="en-GB"/>
        </w:rPr>
        <w:t>/</w:t>
      </w:r>
      <w:r w:rsidRPr="00304846">
        <w:rPr>
          <w:i/>
          <w:iCs/>
          <w:lang w:val="en-GB"/>
        </w:rPr>
        <w:t>I</w:t>
      </w:r>
      <w:r w:rsidRPr="00304846">
        <w:rPr>
          <w:lang w:val="en-GB"/>
        </w:rPr>
        <w:t>) and then comparing it with the required (</w:t>
      </w:r>
      <w:r w:rsidRPr="00304846">
        <w:rPr>
          <w:i/>
          <w:iCs/>
          <w:lang w:val="en-GB"/>
        </w:rPr>
        <w:t>C</w:t>
      </w:r>
      <w:r w:rsidRPr="00304846">
        <w:rPr>
          <w:lang w:val="en-GB"/>
        </w:rPr>
        <w:t>/</w:t>
      </w:r>
      <w:r w:rsidRPr="00304846">
        <w:rPr>
          <w:i/>
          <w:iCs/>
          <w:lang w:val="en-GB"/>
        </w:rPr>
        <w:t>I</w:t>
      </w:r>
      <w:r w:rsidRPr="00304846">
        <w:rPr>
          <w:lang w:val="en-GB"/>
        </w:rPr>
        <w:t>)</w:t>
      </w:r>
      <w:r w:rsidRPr="00304846">
        <w:rPr>
          <w:i/>
          <w:iCs/>
          <w:vertAlign w:val="subscript"/>
          <w:lang w:val="en-GB"/>
        </w:rPr>
        <w:t>required</w:t>
      </w:r>
      <w:r w:rsidRPr="00304846">
        <w:rPr>
          <w:lang w:val="en-GB"/>
        </w:rPr>
        <w:t xml:space="preserve"> at the </w:t>
      </w:r>
      <w:r w:rsidRPr="00304846">
        <w:rPr>
          <w:lang w:val="en-GB" w:eastAsia="fr-FR"/>
        </w:rPr>
        <w:t>interfered receiver point-to-point FS systems</w:t>
      </w:r>
      <w:r w:rsidRPr="00304846">
        <w:rPr>
          <w:lang w:val="en-GB"/>
        </w:rPr>
        <w:t xml:space="preserve"> ((</w:t>
      </w:r>
      <w:r w:rsidRPr="00304846">
        <w:rPr>
          <w:i/>
          <w:iCs/>
          <w:lang w:val="en-GB"/>
        </w:rPr>
        <w:t>C</w:t>
      </w:r>
      <w:r w:rsidRPr="00304846">
        <w:rPr>
          <w:lang w:val="en-GB"/>
        </w:rPr>
        <w:t>/</w:t>
      </w:r>
      <w:r w:rsidRPr="00304846">
        <w:rPr>
          <w:i/>
          <w:iCs/>
          <w:lang w:val="en-GB"/>
        </w:rPr>
        <w:t>I</w:t>
      </w:r>
      <w:r w:rsidRPr="00304846">
        <w:rPr>
          <w:lang w:val="en-GB"/>
        </w:rPr>
        <w:t>)</w:t>
      </w:r>
      <w:r w:rsidRPr="00304846">
        <w:rPr>
          <w:i/>
          <w:iCs/>
          <w:vertAlign w:val="subscript"/>
          <w:lang w:val="en-GB"/>
        </w:rPr>
        <w:t>required</w:t>
      </w:r>
      <w:r w:rsidRPr="00304846">
        <w:rPr>
          <w:lang w:val="en-GB"/>
        </w:rPr>
        <w:t xml:space="preserve"> =</w:t>
      </w:r>
      <w:r w:rsidR="00491AFF" w:rsidRPr="00304846">
        <w:rPr>
          <w:lang w:val="en-GB"/>
        </w:rPr>
        <w:t xml:space="preserve"> –</w:t>
      </w:r>
      <w:r w:rsidRPr="00304846">
        <w:rPr>
          <w:lang w:val="en-GB"/>
        </w:rPr>
        <w:t xml:space="preserve">55 dB and </w:t>
      </w:r>
      <w:r w:rsidR="00FD0810" w:rsidRPr="00304846">
        <w:rPr>
          <w:lang w:val="en-GB"/>
        </w:rPr>
        <w:t>(</w:t>
      </w:r>
      <w:r w:rsidRPr="00304846">
        <w:rPr>
          <w:i/>
          <w:iCs/>
          <w:lang w:val="en-GB"/>
        </w:rPr>
        <w:t>C</w:t>
      </w:r>
      <w:r w:rsidRPr="00304846">
        <w:rPr>
          <w:lang w:val="en-GB"/>
        </w:rPr>
        <w:t>/</w:t>
      </w:r>
      <w:r w:rsidRPr="00304846">
        <w:rPr>
          <w:i/>
          <w:iCs/>
          <w:lang w:val="en-GB"/>
        </w:rPr>
        <w:t>I</w:t>
      </w:r>
      <w:r w:rsidRPr="00304846">
        <w:rPr>
          <w:lang w:val="en-GB"/>
        </w:rPr>
        <w:t>)</w:t>
      </w:r>
      <w:r w:rsidRPr="00304846">
        <w:rPr>
          <w:i/>
          <w:iCs/>
          <w:vertAlign w:val="subscript"/>
          <w:lang w:val="en-GB"/>
        </w:rPr>
        <w:t>required</w:t>
      </w:r>
      <w:r w:rsidR="00491AFF" w:rsidRPr="00304846">
        <w:rPr>
          <w:lang w:val="en-GB"/>
        </w:rPr>
        <w:t> </w:t>
      </w:r>
      <w:r w:rsidRPr="00304846">
        <w:rPr>
          <w:lang w:val="en-GB"/>
        </w:rPr>
        <w:t>=</w:t>
      </w:r>
      <w:r w:rsidR="00491AFF" w:rsidRPr="00304846">
        <w:rPr>
          <w:lang w:val="en-GB"/>
        </w:rPr>
        <w:t xml:space="preserve"> –</w:t>
      </w:r>
      <w:r w:rsidRPr="00304846">
        <w:rPr>
          <w:lang w:val="en-GB"/>
        </w:rPr>
        <w:t xml:space="preserve">40 dB). </w:t>
      </w:r>
    </w:p>
    <w:p w:rsidR="00AF59A0" w:rsidRPr="00304846" w:rsidRDefault="00AF59A0" w:rsidP="00491AFF">
      <w:pPr>
        <w:pStyle w:val="Equation"/>
        <w:jc w:val="center"/>
        <w:rPr>
          <w:lang w:val="en-GB"/>
        </w:rPr>
      </w:pPr>
      <w:r w:rsidRPr="00304846">
        <w:rPr>
          <w:bCs/>
          <w:lang w:val="en-GB"/>
        </w:rPr>
        <w:t>(</w:t>
      </w:r>
      <w:r w:rsidRPr="00304846">
        <w:rPr>
          <w:i/>
          <w:iCs/>
          <w:lang w:val="en-GB"/>
        </w:rPr>
        <w:t>C</w:t>
      </w:r>
      <w:r w:rsidRPr="00304846">
        <w:rPr>
          <w:lang w:val="en-GB"/>
        </w:rPr>
        <w:t>/</w:t>
      </w:r>
      <w:r w:rsidRPr="00304846">
        <w:rPr>
          <w:i/>
          <w:iCs/>
          <w:lang w:val="en-GB"/>
        </w:rPr>
        <w:t>I</w:t>
      </w:r>
      <w:r w:rsidRPr="00304846">
        <w:rPr>
          <w:lang w:val="en-GB"/>
        </w:rPr>
        <w:t>)</w:t>
      </w:r>
      <w:r w:rsidRPr="00304846">
        <w:rPr>
          <w:i/>
          <w:iCs/>
          <w:vertAlign w:val="subscript"/>
          <w:lang w:val="en-GB"/>
        </w:rPr>
        <w:t>required</w:t>
      </w:r>
      <w:r w:rsidRPr="00304846">
        <w:rPr>
          <w:lang w:val="en-GB"/>
        </w:rPr>
        <w:t xml:space="preserve"> =</w:t>
      </w:r>
      <w:r w:rsidR="00491AFF" w:rsidRPr="00304846">
        <w:rPr>
          <w:lang w:val="en-GB"/>
        </w:rPr>
        <w:t xml:space="preserve"> </w:t>
      </w:r>
      <w:r w:rsidRPr="00304846">
        <w:rPr>
          <w:lang w:val="en-GB"/>
        </w:rPr>
        <w:t xml:space="preserve">[ </w:t>
      </w:r>
      <w:r w:rsidRPr="00304846">
        <w:rPr>
          <w:i/>
          <w:iCs/>
          <w:lang w:val="en-GB" w:eastAsia="fr-FR"/>
        </w:rPr>
        <w:t>P</w:t>
      </w:r>
      <w:r w:rsidRPr="00304846">
        <w:rPr>
          <w:i/>
          <w:iCs/>
          <w:vertAlign w:val="subscript"/>
          <w:lang w:val="en-GB" w:eastAsia="fr-FR"/>
        </w:rPr>
        <w:t>point-to-point FS Tx</w:t>
      </w:r>
      <w:r w:rsidRPr="00304846">
        <w:rPr>
          <w:rFonts w:eastAsiaTheme="minorHAnsi"/>
          <w:lang w:val="en-GB"/>
        </w:rPr>
        <w:t xml:space="preserve"> </w:t>
      </w:r>
      <w:r w:rsidR="00491AFF" w:rsidRPr="00304846">
        <w:rPr>
          <w:rFonts w:eastAsiaTheme="minorHAnsi"/>
          <w:lang w:val="en-GB"/>
        </w:rPr>
        <w:t>–</w:t>
      </w:r>
      <w:r w:rsidRPr="00304846">
        <w:rPr>
          <w:lang w:val="en-GB" w:eastAsia="fr-FR"/>
        </w:rPr>
        <w:t xml:space="preserve"> </w:t>
      </w:r>
      <w:r w:rsidRPr="00304846">
        <w:rPr>
          <w:i/>
          <w:iCs/>
          <w:lang w:val="en-GB" w:eastAsia="fr-FR"/>
        </w:rPr>
        <w:t>a</w:t>
      </w:r>
      <w:r w:rsidRPr="00304846">
        <w:rPr>
          <w:i/>
          <w:iCs/>
          <w:vertAlign w:val="subscript"/>
          <w:lang w:val="en-GB" w:eastAsia="fr-FR"/>
        </w:rPr>
        <w:t>point-to-point FS Tx</w:t>
      </w:r>
      <w:r w:rsidRPr="00304846">
        <w:rPr>
          <w:lang w:val="en-GB" w:eastAsia="fr-FR"/>
        </w:rPr>
        <w:t xml:space="preserve"> + </w:t>
      </w:r>
      <w:r w:rsidRPr="00304846">
        <w:rPr>
          <w:i/>
          <w:iCs/>
          <w:lang w:val="en-GB" w:eastAsia="fr-FR"/>
        </w:rPr>
        <w:t>G</w:t>
      </w:r>
      <w:r w:rsidRPr="00304846">
        <w:rPr>
          <w:i/>
          <w:iCs/>
          <w:vertAlign w:val="subscript"/>
          <w:lang w:val="en-GB" w:eastAsia="fr-FR"/>
        </w:rPr>
        <w:t>max</w:t>
      </w:r>
      <w:r w:rsidRPr="00304846">
        <w:rPr>
          <w:i/>
          <w:iCs/>
          <w:lang w:val="en-GB" w:eastAsia="fr-FR"/>
        </w:rPr>
        <w:t xml:space="preserve"> </w:t>
      </w:r>
      <w:r w:rsidRPr="00304846">
        <w:rPr>
          <w:i/>
          <w:iCs/>
          <w:vertAlign w:val="subscript"/>
          <w:lang w:val="en-GB" w:eastAsia="fr-FR"/>
        </w:rPr>
        <w:t>point-to-point FS Rx</w:t>
      </w:r>
      <w:r w:rsidRPr="00304846">
        <w:rPr>
          <w:lang w:val="en-GB" w:eastAsia="fr-FR"/>
        </w:rPr>
        <w:t xml:space="preserve"> </w:t>
      </w:r>
      <w:r w:rsidR="00491AFF" w:rsidRPr="00304846">
        <w:rPr>
          <w:lang w:val="en-GB" w:eastAsia="fr-FR"/>
        </w:rPr>
        <w:t>–</w:t>
      </w:r>
      <w:r w:rsidRPr="00304846">
        <w:rPr>
          <w:lang w:val="en-GB" w:eastAsia="fr-FR"/>
        </w:rPr>
        <w:t xml:space="preserve"> </w:t>
      </w:r>
      <w:r w:rsidRPr="00304846">
        <w:rPr>
          <w:i/>
          <w:iCs/>
          <w:lang w:val="en-GB" w:eastAsia="fr-FR"/>
        </w:rPr>
        <w:t>L</w:t>
      </w:r>
      <w:r w:rsidRPr="00304846">
        <w:rPr>
          <w:i/>
          <w:iCs/>
          <w:vertAlign w:val="subscript"/>
          <w:lang w:val="en-GB" w:eastAsia="fr-FR"/>
        </w:rPr>
        <w:t>prop</w:t>
      </w:r>
      <w:r w:rsidRPr="00304846">
        <w:rPr>
          <w:lang w:val="en-GB" w:eastAsia="fr-FR"/>
        </w:rPr>
        <w:t>(</w:t>
      </w:r>
      <w:r w:rsidRPr="00304846">
        <w:rPr>
          <w:lang w:val="en-GB"/>
        </w:rPr>
        <w:t>Link Length</w:t>
      </w:r>
      <w:r w:rsidRPr="00304846">
        <w:rPr>
          <w:lang w:val="en-GB" w:eastAsia="fr-FR"/>
        </w:rPr>
        <w:t xml:space="preserve">) + </w:t>
      </w:r>
      <w:r w:rsidR="00491AFF" w:rsidRPr="00304846">
        <w:rPr>
          <w:lang w:val="en-GB" w:eastAsia="fr-FR"/>
        </w:rPr>
        <w:br/>
        <w:t xml:space="preserve">+ </w:t>
      </w:r>
      <w:r w:rsidRPr="00304846">
        <w:rPr>
          <w:i/>
          <w:iCs/>
          <w:lang w:val="en-GB" w:eastAsia="fr-FR"/>
        </w:rPr>
        <w:t>G</w:t>
      </w:r>
      <w:r w:rsidRPr="00304846">
        <w:rPr>
          <w:i/>
          <w:iCs/>
          <w:vertAlign w:val="subscript"/>
          <w:lang w:val="en-GB" w:eastAsia="fr-FR"/>
        </w:rPr>
        <w:t>max</w:t>
      </w:r>
      <w:r w:rsidRPr="00304846">
        <w:rPr>
          <w:lang w:val="en-GB" w:eastAsia="fr-FR"/>
        </w:rPr>
        <w:t xml:space="preserve"> </w:t>
      </w:r>
      <w:r w:rsidRPr="00304846">
        <w:rPr>
          <w:i/>
          <w:iCs/>
          <w:vertAlign w:val="subscript"/>
          <w:lang w:val="en-GB" w:eastAsia="fr-FR"/>
        </w:rPr>
        <w:t>point-to-point FS Rx</w:t>
      </w:r>
      <w:r w:rsidR="00491AFF" w:rsidRPr="00304846">
        <w:rPr>
          <w:lang w:val="en-GB" w:eastAsia="fr-FR"/>
        </w:rPr>
        <w:t xml:space="preserve"> –</w:t>
      </w:r>
      <w:r w:rsidRPr="00304846">
        <w:rPr>
          <w:lang w:val="en-GB" w:eastAsia="fr-FR"/>
        </w:rPr>
        <w:t xml:space="preserve"> </w:t>
      </w:r>
      <w:r w:rsidRPr="00304846">
        <w:rPr>
          <w:i/>
          <w:iCs/>
          <w:lang w:val="en-GB" w:eastAsia="fr-FR"/>
        </w:rPr>
        <w:t xml:space="preserve">a </w:t>
      </w:r>
      <w:r w:rsidRPr="00304846">
        <w:rPr>
          <w:i/>
          <w:iCs/>
          <w:vertAlign w:val="subscript"/>
          <w:lang w:val="en-GB" w:eastAsia="fr-FR"/>
        </w:rPr>
        <w:t>point-to-point FS Rx</w:t>
      </w:r>
      <w:r w:rsidRPr="00304846">
        <w:rPr>
          <w:lang w:val="en-GB" w:eastAsia="fr-FR"/>
        </w:rPr>
        <w:t xml:space="preserve"> ]</w:t>
      </w:r>
      <w:r w:rsidR="00491AFF" w:rsidRPr="00304846">
        <w:rPr>
          <w:lang w:val="en-GB" w:eastAsia="fr-FR"/>
        </w:rPr>
        <w:t xml:space="preserve"> –</w:t>
      </w:r>
      <w:r w:rsidRPr="00304846">
        <w:rPr>
          <w:lang w:val="en-GB" w:eastAsia="fr-FR"/>
        </w:rPr>
        <w:t xml:space="preserve"> </w:t>
      </w:r>
      <w:r w:rsidRPr="00304846">
        <w:rPr>
          <w:lang w:val="en-GB" w:eastAsia="fr-FR"/>
        </w:rPr>
        <w:br/>
      </w:r>
      <w:r w:rsidR="00491AFF" w:rsidRPr="00304846">
        <w:rPr>
          <w:rFonts w:eastAsiaTheme="minorHAnsi"/>
          <w:lang w:val="en-GB"/>
        </w:rPr>
        <w:t xml:space="preserve"> – </w:t>
      </w:r>
      <w:r w:rsidRPr="00304846">
        <w:rPr>
          <w:rFonts w:eastAsiaTheme="minorHAnsi"/>
          <w:lang w:val="en-GB"/>
        </w:rPr>
        <w:t>[</w:t>
      </w:r>
      <w:r w:rsidR="00491AFF" w:rsidRPr="00304846">
        <w:rPr>
          <w:rFonts w:eastAsiaTheme="minorHAnsi"/>
          <w:lang w:val="en-GB"/>
        </w:rPr>
        <w:t xml:space="preserve"> </w:t>
      </w:r>
      <w:r w:rsidRPr="00304846">
        <w:rPr>
          <w:rFonts w:eastAsiaTheme="minorHAnsi"/>
          <w:i/>
          <w:iCs/>
          <w:lang w:val="en-GB"/>
        </w:rPr>
        <w:t>P</w:t>
      </w:r>
      <w:r w:rsidRPr="00304846">
        <w:rPr>
          <w:rFonts w:eastAsiaTheme="minorHAnsi"/>
          <w:i/>
          <w:iCs/>
          <w:vertAlign w:val="subscript"/>
          <w:lang w:val="en-GB"/>
        </w:rPr>
        <w:t>Tx</w:t>
      </w:r>
      <w:r w:rsidR="00491AFF" w:rsidRPr="00304846">
        <w:rPr>
          <w:rFonts w:eastAsiaTheme="minorHAnsi"/>
          <w:i/>
          <w:iCs/>
          <w:lang w:val="en-GB"/>
        </w:rPr>
        <w:t xml:space="preserve"> </w:t>
      </w:r>
      <w:r w:rsidR="00491AFF" w:rsidRPr="00304846">
        <w:rPr>
          <w:lang w:val="en-GB" w:eastAsia="fr-FR"/>
        </w:rPr>
        <w:t>–</w:t>
      </w:r>
      <w:r w:rsidRPr="00304846">
        <w:rPr>
          <w:i/>
          <w:iCs/>
          <w:lang w:val="en-GB" w:eastAsia="fr-FR"/>
        </w:rPr>
        <w:t xml:space="preserve"> a</w:t>
      </w:r>
      <w:r w:rsidRPr="00304846">
        <w:rPr>
          <w:i/>
          <w:iCs/>
          <w:vertAlign w:val="subscript"/>
          <w:lang w:val="en-GB" w:eastAsia="fr-FR"/>
        </w:rPr>
        <w:t>Tx</w:t>
      </w:r>
      <w:r w:rsidRPr="00304846">
        <w:rPr>
          <w:lang w:val="en-GB" w:eastAsia="fr-FR"/>
        </w:rPr>
        <w:t xml:space="preserve">  + </w:t>
      </w:r>
      <w:r w:rsidRPr="00304846">
        <w:rPr>
          <w:i/>
          <w:iCs/>
          <w:lang w:val="en-GB" w:eastAsia="fr-FR"/>
        </w:rPr>
        <w:t>G</w:t>
      </w:r>
      <w:r w:rsidRPr="00304846">
        <w:rPr>
          <w:i/>
          <w:iCs/>
          <w:vertAlign w:val="subscript"/>
          <w:lang w:val="en-GB" w:eastAsia="fr-FR"/>
        </w:rPr>
        <w:t>Tx</w:t>
      </w:r>
      <w:r w:rsidRPr="00304846">
        <w:rPr>
          <w:lang w:val="en-GB" w:eastAsia="fr-FR"/>
        </w:rPr>
        <w:t xml:space="preserve"> </w:t>
      </w:r>
      <w:r w:rsidR="00491AFF" w:rsidRPr="00304846">
        <w:rPr>
          <w:lang w:val="en-GB" w:eastAsia="fr-FR"/>
        </w:rPr>
        <w:t>–</w:t>
      </w:r>
      <w:r w:rsidRPr="00304846">
        <w:rPr>
          <w:lang w:val="en-GB" w:eastAsia="fr-FR"/>
        </w:rPr>
        <w:t xml:space="preserve"> </w:t>
      </w:r>
      <w:r w:rsidRPr="00304846">
        <w:rPr>
          <w:i/>
          <w:iCs/>
          <w:lang w:val="en-GB" w:eastAsia="fr-FR"/>
        </w:rPr>
        <w:t>L</w:t>
      </w:r>
      <w:r w:rsidRPr="00304846">
        <w:rPr>
          <w:i/>
          <w:iCs/>
          <w:vertAlign w:val="subscript"/>
          <w:lang w:val="en-GB" w:eastAsia="fr-FR"/>
        </w:rPr>
        <w:t>prop</w:t>
      </w:r>
      <w:r w:rsidRPr="00304846">
        <w:rPr>
          <w:lang w:val="en-GB" w:eastAsia="fr-FR"/>
        </w:rPr>
        <w:t>(</w:t>
      </w:r>
      <w:r w:rsidRPr="00304846">
        <w:rPr>
          <w:i/>
          <w:iCs/>
          <w:lang w:val="en-GB" w:eastAsia="fr-FR"/>
        </w:rPr>
        <w:t>d</w:t>
      </w:r>
      <w:r w:rsidRPr="00304846">
        <w:rPr>
          <w:i/>
          <w:iCs/>
          <w:vertAlign w:val="subscript"/>
          <w:lang w:val="en-GB" w:eastAsia="fr-FR"/>
        </w:rPr>
        <w:t>IMT-FS</w:t>
      </w:r>
      <w:r w:rsidRPr="00304846">
        <w:rPr>
          <w:lang w:val="en-GB" w:eastAsia="fr-FR"/>
        </w:rPr>
        <w:t xml:space="preserve">) + </w:t>
      </w:r>
      <w:r w:rsidRPr="00304846">
        <w:rPr>
          <w:i/>
          <w:iCs/>
          <w:lang w:val="en-GB" w:eastAsia="fr-FR"/>
        </w:rPr>
        <w:t>G</w:t>
      </w:r>
      <w:r w:rsidRPr="00304846">
        <w:rPr>
          <w:i/>
          <w:iCs/>
          <w:vertAlign w:val="subscript"/>
          <w:lang w:val="en-GB" w:eastAsia="fr-FR"/>
        </w:rPr>
        <w:t>Rx</w:t>
      </w:r>
      <w:r w:rsidRPr="00304846">
        <w:rPr>
          <w:lang w:val="en-GB" w:eastAsia="fr-FR"/>
        </w:rPr>
        <w:t xml:space="preserve"> </w:t>
      </w:r>
      <w:r w:rsidR="00491AFF" w:rsidRPr="00304846">
        <w:rPr>
          <w:lang w:val="en-GB" w:eastAsia="fr-FR"/>
        </w:rPr>
        <w:t>–</w:t>
      </w:r>
      <w:r w:rsidRPr="00304846">
        <w:rPr>
          <w:lang w:val="en-GB" w:eastAsia="fr-FR"/>
        </w:rPr>
        <w:t xml:space="preserve"> </w:t>
      </w:r>
      <w:r w:rsidRPr="00304846">
        <w:rPr>
          <w:i/>
          <w:iCs/>
          <w:lang w:val="en-GB" w:eastAsia="fr-FR"/>
        </w:rPr>
        <w:t>a</w:t>
      </w:r>
      <w:r w:rsidRPr="00304846">
        <w:rPr>
          <w:i/>
          <w:iCs/>
          <w:vertAlign w:val="subscript"/>
          <w:lang w:val="en-GB" w:eastAsia="fr-FR"/>
        </w:rPr>
        <w:t>Rx</w:t>
      </w:r>
      <w:r w:rsidR="00491AFF" w:rsidRPr="00304846">
        <w:rPr>
          <w:lang w:val="en-GB" w:eastAsia="fr-FR"/>
        </w:rPr>
        <w:t xml:space="preserve"> –</w:t>
      </w:r>
      <w:r w:rsidRPr="00304846">
        <w:rPr>
          <w:lang w:val="en-GB" w:eastAsia="fr-FR"/>
        </w:rPr>
        <w:t xml:space="preserve"> </w:t>
      </w:r>
      <w:r w:rsidRPr="00304846">
        <w:rPr>
          <w:i/>
          <w:iCs/>
          <w:lang w:val="en-GB" w:eastAsia="fr-FR"/>
        </w:rPr>
        <w:t>a</w:t>
      </w:r>
      <w:r w:rsidRPr="00304846">
        <w:rPr>
          <w:i/>
          <w:iCs/>
          <w:vertAlign w:val="subscript"/>
          <w:lang w:val="en-GB" w:eastAsia="fr-FR"/>
        </w:rPr>
        <w:t>ant</w:t>
      </w:r>
      <w:r w:rsidRPr="00304846">
        <w:rPr>
          <w:lang w:val="en-GB" w:eastAsia="fr-FR"/>
        </w:rPr>
        <w:t>(</w:t>
      </w:r>
      <w:r w:rsidRPr="00304846">
        <w:rPr>
          <w:rFonts w:ascii="Symbol" w:hAnsi="Symbol"/>
          <w:lang w:val="en-GB" w:eastAsia="fr-FR"/>
        </w:rPr>
        <w:t></w:t>
      </w:r>
      <w:r w:rsidRPr="00304846">
        <w:rPr>
          <w:i/>
          <w:iCs/>
          <w:vertAlign w:val="subscript"/>
          <w:lang w:val="en-GB" w:eastAsia="fr-FR"/>
        </w:rPr>
        <w:t>az</w:t>
      </w:r>
      <w:r w:rsidRPr="00304846">
        <w:rPr>
          <w:lang w:val="en-GB" w:eastAsia="fr-FR"/>
        </w:rPr>
        <w:t xml:space="preserve">) </w:t>
      </w:r>
      <w:r w:rsidR="00491AFF" w:rsidRPr="00304846">
        <w:rPr>
          <w:lang w:val="en-GB" w:eastAsia="fr-FR"/>
        </w:rPr>
        <w:t>–</w:t>
      </w:r>
      <w:r w:rsidRPr="00304846">
        <w:rPr>
          <w:lang w:val="en-GB" w:eastAsia="fr-FR"/>
        </w:rPr>
        <w:t xml:space="preserve"> (</w:t>
      </w:r>
      <w:r w:rsidRPr="00304846">
        <w:rPr>
          <w:i/>
          <w:iCs/>
          <w:lang w:val="en-GB" w:eastAsia="fr-FR"/>
        </w:rPr>
        <w:t>MD</w:t>
      </w:r>
      <w:r w:rsidRPr="00304846">
        <w:rPr>
          <w:lang w:val="en-GB" w:eastAsia="fr-FR"/>
        </w:rPr>
        <w:t xml:space="preserve"> + </w:t>
      </w:r>
      <w:r w:rsidRPr="00304846">
        <w:rPr>
          <w:i/>
          <w:iCs/>
          <w:lang w:val="en-GB" w:eastAsia="fr-FR"/>
        </w:rPr>
        <w:t>NFD</w:t>
      </w:r>
      <w:r w:rsidRPr="00304846">
        <w:rPr>
          <w:lang w:val="en-GB" w:eastAsia="fr-FR"/>
        </w:rPr>
        <w:t>(</w:t>
      </w:r>
      <w:r w:rsidRPr="00304846">
        <w:rPr>
          <w:rFonts w:ascii="Symbol" w:hAnsi="Symbol"/>
          <w:lang w:val="en-GB" w:eastAsia="fr-FR"/>
        </w:rPr>
        <w:t></w:t>
      </w:r>
      <w:r w:rsidRPr="00304846">
        <w:rPr>
          <w:i/>
          <w:iCs/>
          <w:lang w:val="en-GB" w:eastAsia="fr-FR"/>
        </w:rPr>
        <w:t>f</w:t>
      </w:r>
      <w:r w:rsidRPr="00304846">
        <w:rPr>
          <w:lang w:val="en-GB" w:eastAsia="fr-FR"/>
        </w:rPr>
        <w:t xml:space="preserve">)) </w:t>
      </w:r>
      <w:r w:rsidR="00491AFF" w:rsidRPr="00304846">
        <w:rPr>
          <w:lang w:val="en-GB" w:eastAsia="fr-FR"/>
        </w:rPr>
        <w:t>–</w:t>
      </w:r>
      <w:r w:rsidRPr="00304846">
        <w:rPr>
          <w:lang w:val="en-GB" w:eastAsia="fr-FR"/>
        </w:rPr>
        <w:t xml:space="preserve"> </w:t>
      </w:r>
      <w:r w:rsidRPr="00304846">
        <w:rPr>
          <w:i/>
          <w:iCs/>
          <w:lang w:val="en-GB" w:eastAsia="fr-FR"/>
        </w:rPr>
        <w:t>a</w:t>
      </w:r>
      <w:r w:rsidRPr="00304846">
        <w:rPr>
          <w:i/>
          <w:iCs/>
          <w:vertAlign w:val="subscript"/>
          <w:lang w:val="en-GB" w:eastAsia="fr-FR"/>
        </w:rPr>
        <w:t>indoor</w:t>
      </w:r>
      <w:r w:rsidR="00491AFF" w:rsidRPr="00304846">
        <w:rPr>
          <w:lang w:val="en-GB" w:eastAsia="fr-FR"/>
        </w:rPr>
        <w:t xml:space="preserve"> </w:t>
      </w:r>
      <w:r w:rsidRPr="00304846">
        <w:rPr>
          <w:lang w:val="en-GB" w:eastAsia="fr-FR"/>
        </w:rPr>
        <w:t>]</w:t>
      </w:r>
    </w:p>
    <w:p w:rsidR="00AF59A0" w:rsidRPr="00304846" w:rsidRDefault="00AF59A0" w:rsidP="00E3505E">
      <w:pPr>
        <w:pStyle w:val="Heading2"/>
        <w:rPr>
          <w:lang w:val="en-GB"/>
        </w:rPr>
      </w:pPr>
      <w:r w:rsidRPr="00304846">
        <w:rPr>
          <w:lang w:val="en-GB"/>
        </w:rPr>
        <w:lastRenderedPageBreak/>
        <w:t>4.3</w:t>
      </w:r>
      <w:r w:rsidRPr="00304846">
        <w:rPr>
          <w:lang w:val="en-GB"/>
        </w:rPr>
        <w:tab/>
        <w:t>Calculations</w:t>
      </w:r>
    </w:p>
    <w:p w:rsidR="00AF59A0" w:rsidRPr="00304846" w:rsidRDefault="00AF59A0" w:rsidP="003E7A02">
      <w:pPr>
        <w:pStyle w:val="Heading3"/>
        <w:rPr>
          <w:lang w:val="en-GB"/>
        </w:rPr>
      </w:pPr>
      <w:r w:rsidRPr="00304846">
        <w:rPr>
          <w:lang w:val="en-GB" w:eastAsia="fr-FR"/>
        </w:rPr>
        <w:t>4.3.1</w:t>
      </w:r>
      <w:r w:rsidRPr="00304846">
        <w:rPr>
          <w:lang w:val="en-GB" w:eastAsia="fr-FR"/>
        </w:rPr>
        <w:tab/>
      </w:r>
      <w:r w:rsidRPr="00304846">
        <w:rPr>
          <w:lang w:val="en-GB"/>
        </w:rPr>
        <w:t>Case</w:t>
      </w:r>
      <w:r w:rsidRPr="00304846">
        <w:rPr>
          <w:lang w:val="en-GB" w:eastAsia="fr-FR"/>
        </w:rPr>
        <w:t xml:space="preserve"> #1 (</w:t>
      </w:r>
      <w:r w:rsidRPr="00304846">
        <w:rPr>
          <w:lang w:val="en-GB"/>
        </w:rPr>
        <w:t>(</w:t>
      </w:r>
      <w:r w:rsidRPr="00304846">
        <w:rPr>
          <w:i/>
          <w:iCs/>
          <w:lang w:val="en-GB"/>
        </w:rPr>
        <w:t>I</w:t>
      </w:r>
      <w:r w:rsidRPr="00304846">
        <w:rPr>
          <w:lang w:val="en-GB"/>
        </w:rPr>
        <w:t>/</w:t>
      </w:r>
      <w:r w:rsidRPr="00304846">
        <w:rPr>
          <w:i/>
          <w:iCs/>
          <w:lang w:val="en-GB"/>
        </w:rPr>
        <w:t>N</w:t>
      </w:r>
      <w:r w:rsidRPr="00304846">
        <w:rPr>
          <w:lang w:val="en-GB"/>
        </w:rPr>
        <w:t>)</w:t>
      </w:r>
      <w:r w:rsidRPr="00304846">
        <w:rPr>
          <w:i/>
          <w:iCs/>
          <w:vertAlign w:val="subscript"/>
          <w:lang w:val="en-GB"/>
        </w:rPr>
        <w:t>required</w:t>
      </w:r>
      <w:r w:rsidR="00E3505E" w:rsidRPr="00304846">
        <w:rPr>
          <w:vertAlign w:val="subscript"/>
          <w:lang w:val="en-GB"/>
        </w:rPr>
        <w:t xml:space="preserve"> </w:t>
      </w:r>
      <w:r w:rsidRPr="00304846">
        <w:rPr>
          <w:lang w:val="en-GB"/>
        </w:rPr>
        <w:t xml:space="preserve">= </w:t>
      </w:r>
      <w:r w:rsidR="003E7A02" w:rsidRPr="00304846">
        <w:rPr>
          <w:lang w:val="en-GB"/>
        </w:rPr>
        <w:t>–</w:t>
      </w:r>
      <w:r w:rsidRPr="00304846">
        <w:rPr>
          <w:lang w:val="en-GB"/>
        </w:rPr>
        <w:t>10 dB)</w:t>
      </w:r>
    </w:p>
    <w:p w:rsidR="00AF59A0" w:rsidRPr="00304846" w:rsidRDefault="00AF59A0" w:rsidP="00EE137B">
      <w:pPr>
        <w:rPr>
          <w:lang w:val="en-GB"/>
        </w:rPr>
      </w:pPr>
      <w:r w:rsidRPr="00304846">
        <w:rPr>
          <w:rFonts w:asciiTheme="majorBidi" w:hAnsiTheme="majorBidi" w:cstheme="majorBidi"/>
          <w:lang w:val="en-GB"/>
        </w:rPr>
        <w:t>The results of the required</w:t>
      </w:r>
      <w:r w:rsidRPr="00304846">
        <w:rPr>
          <w:rFonts w:asciiTheme="majorBidi" w:hAnsiTheme="majorBidi" w:cstheme="majorBidi"/>
          <w:lang w:val="en-GB" w:eastAsia="fr-FR"/>
        </w:rPr>
        <w:t xml:space="preserve"> </w:t>
      </w:r>
      <w:r w:rsidRPr="00304846">
        <w:rPr>
          <w:rFonts w:asciiTheme="majorBidi" w:hAnsiTheme="majorBidi" w:cstheme="majorBidi"/>
          <w:lang w:val="en-GB"/>
        </w:rPr>
        <w:t xml:space="preserve">distance between the </w:t>
      </w:r>
      <w:r w:rsidRPr="00304846">
        <w:rPr>
          <w:rFonts w:asciiTheme="majorBidi" w:hAnsiTheme="majorBidi" w:cstheme="majorBidi"/>
          <w:lang w:val="en-GB" w:eastAsia="fr-FR"/>
        </w:rPr>
        <w:t>interfering transmitter base station IMT systems</w:t>
      </w:r>
      <w:r w:rsidRPr="00304846">
        <w:rPr>
          <w:rFonts w:asciiTheme="majorBidi" w:hAnsiTheme="majorBidi" w:cstheme="majorBidi"/>
          <w:lang w:val="en-GB"/>
        </w:rPr>
        <w:t xml:space="preserve"> and the </w:t>
      </w:r>
      <w:r w:rsidRPr="00304846">
        <w:rPr>
          <w:rFonts w:asciiTheme="majorBidi" w:hAnsiTheme="majorBidi" w:cstheme="majorBidi"/>
          <w:lang w:val="en-GB" w:eastAsia="fr-FR"/>
        </w:rPr>
        <w:t xml:space="preserve">interfered receiver point-to-point FS systems d </w:t>
      </w:r>
      <w:r w:rsidRPr="00304846">
        <w:rPr>
          <w:rFonts w:asciiTheme="majorBidi" w:hAnsiTheme="majorBidi" w:cstheme="majorBidi"/>
          <w:vertAlign w:val="subscript"/>
          <w:lang w:val="en-GB" w:eastAsia="fr-FR"/>
        </w:rPr>
        <w:t xml:space="preserve">FS-IMT </w:t>
      </w:r>
      <w:r w:rsidRPr="00304846">
        <w:rPr>
          <w:rFonts w:asciiTheme="majorBidi" w:hAnsiTheme="majorBidi" w:cstheme="majorBidi"/>
          <w:lang w:val="en-GB" w:eastAsia="fr-FR"/>
        </w:rPr>
        <w:t xml:space="preserve">which is a function of angle between the main axis of the point-to-point FS system and the axis between the base station IMT system and the point-to-point FS system </w:t>
      </w:r>
      <w:r w:rsidRPr="00304846">
        <w:rPr>
          <w:rFonts w:ascii="Symbol" w:hAnsi="Symbol" w:cstheme="majorBidi"/>
          <w:lang w:val="en-GB" w:eastAsia="fr-FR"/>
        </w:rPr>
        <w:t></w:t>
      </w:r>
      <w:r w:rsidRPr="00304846">
        <w:rPr>
          <w:rFonts w:asciiTheme="majorBidi" w:hAnsiTheme="majorBidi" w:cstheme="majorBidi"/>
          <w:i/>
          <w:iCs/>
          <w:vertAlign w:val="subscript"/>
          <w:lang w:val="en-GB" w:eastAsia="fr-FR"/>
        </w:rPr>
        <w:t>az FS-IMT</w:t>
      </w:r>
      <w:r w:rsidRPr="00304846">
        <w:rPr>
          <w:rFonts w:asciiTheme="majorBidi" w:hAnsiTheme="majorBidi" w:cstheme="majorBidi"/>
          <w:lang w:val="en-GB" w:eastAsia="fr-FR"/>
        </w:rPr>
        <w:t xml:space="preserve"> </w:t>
      </w:r>
      <w:r w:rsidRPr="00304846">
        <w:rPr>
          <w:rFonts w:asciiTheme="majorBidi" w:hAnsiTheme="majorBidi" w:cstheme="majorBidi"/>
          <w:lang w:val="en-GB"/>
        </w:rPr>
        <w:t>are</w:t>
      </w:r>
      <w:r w:rsidR="00E3505E" w:rsidRPr="00304846">
        <w:rPr>
          <w:lang w:val="en-GB"/>
        </w:rPr>
        <w:t xml:space="preserve"> provided in Figs 12 to </w:t>
      </w:r>
      <w:r w:rsidRPr="00304846">
        <w:rPr>
          <w:lang w:val="en-GB"/>
        </w:rPr>
        <w:t>15. (A</w:t>
      </w:r>
      <w:r w:rsidRPr="00304846">
        <w:rPr>
          <w:i/>
          <w:iCs/>
          <w:vertAlign w:val="subscript"/>
          <w:lang w:val="en-GB"/>
        </w:rPr>
        <w:t>hTx</w:t>
      </w:r>
      <w:r w:rsidRPr="00304846">
        <w:rPr>
          <w:lang w:val="en-GB"/>
        </w:rPr>
        <w:t xml:space="preserve"> = 0, 10, 19 dB;</w:t>
      </w:r>
      <w:r w:rsidRPr="00304846">
        <w:rPr>
          <w:b/>
          <w:bCs/>
          <w:sz w:val="14"/>
          <w:szCs w:val="14"/>
          <w:lang w:val="en-GB"/>
        </w:rPr>
        <w:t xml:space="preserve"> </w:t>
      </w:r>
      <w:r w:rsidRPr="00304846">
        <w:rPr>
          <w:bCs/>
          <w:lang w:val="en-GB"/>
        </w:rPr>
        <w:t>Co</w:t>
      </w:r>
      <w:r w:rsidRPr="00304846">
        <w:rPr>
          <w:bCs/>
          <w:lang w:val="en-GB"/>
        </w:rPr>
        <w:noBreakHyphen/>
        <w:t>channel (</w:t>
      </w:r>
      <w:r w:rsidRPr="00304846">
        <w:rPr>
          <w:bCs/>
          <w:i/>
          <w:iCs/>
          <w:lang w:val="en-GB"/>
        </w:rPr>
        <w:t>MD</w:t>
      </w:r>
      <w:r w:rsidR="00E3505E" w:rsidRPr="00304846">
        <w:rPr>
          <w:bCs/>
          <w:lang w:val="en-GB"/>
        </w:rPr>
        <w:t xml:space="preserve"> </w:t>
      </w:r>
      <w:r w:rsidRPr="00304846">
        <w:rPr>
          <w:bCs/>
          <w:lang w:val="en-GB"/>
        </w:rPr>
        <w:t>+</w:t>
      </w:r>
      <w:r w:rsidR="00E3505E" w:rsidRPr="00304846">
        <w:rPr>
          <w:bCs/>
          <w:lang w:val="en-GB"/>
        </w:rPr>
        <w:t xml:space="preserve"> </w:t>
      </w:r>
      <w:r w:rsidRPr="00304846">
        <w:rPr>
          <w:bCs/>
          <w:i/>
          <w:iCs/>
          <w:lang w:val="en-GB"/>
        </w:rPr>
        <w:t>NFD</w:t>
      </w:r>
      <w:r w:rsidRPr="00304846">
        <w:rPr>
          <w:bCs/>
          <w:lang w:val="en-GB"/>
        </w:rPr>
        <w:t>(</w:t>
      </w:r>
      <w:r w:rsidRPr="00304846">
        <w:rPr>
          <w:rFonts w:ascii="Symbol" w:hAnsi="Symbol"/>
          <w:bCs/>
          <w:lang w:val="en-GB"/>
        </w:rPr>
        <w:t></w:t>
      </w:r>
      <w:r w:rsidRPr="00304846">
        <w:rPr>
          <w:bCs/>
          <w:i/>
          <w:iCs/>
          <w:lang w:val="en-GB"/>
        </w:rPr>
        <w:t>f</w:t>
      </w:r>
      <w:r w:rsidRPr="00304846">
        <w:rPr>
          <w:bCs/>
          <w:lang w:val="en-GB"/>
        </w:rPr>
        <w:t>) = 0 dB, First adjacent channel (</w:t>
      </w:r>
      <w:r w:rsidRPr="00304846">
        <w:rPr>
          <w:bCs/>
          <w:i/>
          <w:iCs/>
          <w:lang w:val="en-GB"/>
        </w:rPr>
        <w:t>MD</w:t>
      </w:r>
      <w:r w:rsidR="00E3505E" w:rsidRPr="00304846">
        <w:rPr>
          <w:bCs/>
          <w:lang w:val="en-GB"/>
        </w:rPr>
        <w:t xml:space="preserve"> </w:t>
      </w:r>
      <w:r w:rsidRPr="00304846">
        <w:rPr>
          <w:bCs/>
          <w:lang w:val="en-GB"/>
        </w:rPr>
        <w:t>+</w:t>
      </w:r>
      <w:r w:rsidR="00E3505E" w:rsidRPr="00304846">
        <w:rPr>
          <w:bCs/>
          <w:lang w:val="en-GB"/>
        </w:rPr>
        <w:t xml:space="preserve"> </w:t>
      </w:r>
      <w:r w:rsidRPr="00304846">
        <w:rPr>
          <w:bCs/>
          <w:i/>
          <w:iCs/>
          <w:lang w:val="en-GB"/>
        </w:rPr>
        <w:t>NFD</w:t>
      </w:r>
      <w:r w:rsidRPr="00304846">
        <w:rPr>
          <w:bCs/>
          <w:lang w:val="en-GB"/>
        </w:rPr>
        <w:t>(</w:t>
      </w:r>
      <w:r w:rsidRPr="00304846">
        <w:rPr>
          <w:rFonts w:ascii="Symbol" w:hAnsi="Symbol"/>
          <w:bCs/>
          <w:lang w:val="en-GB"/>
        </w:rPr>
        <w:t></w:t>
      </w:r>
      <w:r w:rsidRPr="00304846">
        <w:rPr>
          <w:bCs/>
          <w:i/>
          <w:iCs/>
          <w:lang w:val="en-GB"/>
        </w:rPr>
        <w:t>f</w:t>
      </w:r>
      <w:r w:rsidRPr="00304846">
        <w:rPr>
          <w:bCs/>
          <w:lang w:val="en-GB"/>
        </w:rPr>
        <w:t>) = 45 dB</w:t>
      </w:r>
      <w:r w:rsidRPr="00304846">
        <w:rPr>
          <w:lang w:val="en-GB"/>
        </w:rPr>
        <w:t>).</w:t>
      </w:r>
    </w:p>
    <w:p w:rsidR="00AF59A0" w:rsidRPr="00304846" w:rsidRDefault="00AF59A0" w:rsidP="00E3505E">
      <w:pPr>
        <w:pStyle w:val="FigureNo"/>
        <w:rPr>
          <w:lang w:val="en-GB"/>
        </w:rPr>
      </w:pPr>
      <w:r w:rsidRPr="00304846">
        <w:rPr>
          <w:lang w:val="en-GB"/>
        </w:rPr>
        <w:t>FIGURE 12</w:t>
      </w:r>
    </w:p>
    <w:p w:rsidR="00AF59A0" w:rsidRPr="00304846" w:rsidRDefault="00AF59A0" w:rsidP="00E3505E">
      <w:pPr>
        <w:pStyle w:val="Figuretitle"/>
        <w:rPr>
          <w:lang w:val="en-GB"/>
        </w:rPr>
      </w:pPr>
      <w:r w:rsidRPr="00304846">
        <w:rPr>
          <w:lang w:val="en-GB"/>
        </w:rPr>
        <w:t>Required</w:t>
      </w:r>
      <w:r w:rsidR="00E3505E" w:rsidRPr="00304846">
        <w:rPr>
          <w:lang w:val="en-GB" w:eastAsia="fr-FR"/>
        </w:rPr>
        <w:t xml:space="preserve"> </w:t>
      </w:r>
      <w:r w:rsidR="00E3505E" w:rsidRPr="00304846">
        <w:rPr>
          <w:i/>
          <w:iCs/>
          <w:lang w:val="en-GB" w:eastAsia="fr-FR"/>
        </w:rPr>
        <w:t>d</w:t>
      </w:r>
      <w:r w:rsidRPr="00304846">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function of angle </w:t>
      </w:r>
      <w:r w:rsidRPr="00304846">
        <w:rPr>
          <w:rFonts w:ascii="Symbol" w:hAnsi="Symbol"/>
          <w:lang w:val="en-GB" w:eastAsia="fr-FR"/>
        </w:rPr>
        <w:t></w:t>
      </w:r>
      <w:r w:rsidRPr="00304846">
        <w:rPr>
          <w:i/>
          <w:iCs/>
          <w:vertAlign w:val="subscript"/>
          <w:lang w:val="en-GB" w:eastAsia="fr-FR"/>
        </w:rPr>
        <w:t>az FS-IMT</w:t>
      </w:r>
      <w:r w:rsidRPr="00304846">
        <w:rPr>
          <w:vertAlign w:val="subscript"/>
          <w:lang w:val="en-GB" w:eastAsia="fr-FR"/>
        </w:rPr>
        <w:t xml:space="preserve"> </w:t>
      </w:r>
      <w:r w:rsidRPr="00304846">
        <w:rPr>
          <w:lang w:val="en-GB" w:eastAsia="fr-FR"/>
        </w:rPr>
        <w:t>(</w:t>
      </w:r>
      <w:r w:rsidRPr="00304846">
        <w:rPr>
          <w:color w:val="000000"/>
          <w:lang w:val="en-GB" w:eastAsia="ar-SA"/>
        </w:rPr>
        <w:t>PP FS System type 1)</w:t>
      </w:r>
    </w:p>
    <w:p w:rsidR="00AF59A0" w:rsidRPr="00304846" w:rsidRDefault="00AF59A0" w:rsidP="00AF59A0">
      <w:pPr>
        <w:keepNext/>
        <w:keepLines/>
        <w:spacing w:before="0" w:after="480"/>
        <w:jc w:val="center"/>
        <w:rPr>
          <w:rFonts w:ascii="Times New Roman Bold" w:eastAsiaTheme="minorHAnsi" w:hAnsi="Times New Roman Bold" w:cstheme="minorBidi"/>
          <w:b/>
          <w:color w:val="000000" w:themeColor="text1"/>
          <w:sz w:val="20"/>
          <w:lang w:val="en-GB"/>
        </w:rPr>
      </w:pPr>
      <w:r w:rsidRPr="006C4C52">
        <w:rPr>
          <w:rFonts w:ascii="Times New Roman Bold" w:hAnsi="Times New Roman Bold"/>
          <w:b/>
          <w:noProof/>
          <w:color w:val="000000" w:themeColor="text1"/>
          <w:sz w:val="20"/>
          <w:szCs w:val="24"/>
          <w:lang w:val="en-US" w:eastAsia="zh-CN"/>
        </w:rPr>
        <w:drawing>
          <wp:inline distT="0" distB="0" distL="0" distR="0" wp14:anchorId="4C579AC1" wp14:editId="57D8B421">
            <wp:extent cx="5760720" cy="3376930"/>
            <wp:effectExtent l="0" t="0" r="11430" b="13970"/>
            <wp:docPr id="1" name="Диаграмма 216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F59A0" w:rsidRPr="00304846" w:rsidRDefault="00AF59A0" w:rsidP="00AF59A0">
      <w:pPr>
        <w:overflowPunct/>
        <w:autoSpaceDE/>
        <w:autoSpaceDN/>
        <w:adjustRightInd/>
        <w:spacing w:before="0"/>
        <w:textAlignment w:val="auto"/>
        <w:rPr>
          <w:caps/>
          <w:sz w:val="20"/>
          <w:lang w:val="en-GB"/>
        </w:rPr>
      </w:pPr>
      <w:r w:rsidRPr="00304846">
        <w:rPr>
          <w:lang w:val="en-GB"/>
        </w:rPr>
        <w:br w:type="page"/>
      </w:r>
    </w:p>
    <w:p w:rsidR="00AF59A0" w:rsidRPr="00304846" w:rsidRDefault="00AF59A0" w:rsidP="0092698F">
      <w:pPr>
        <w:pStyle w:val="FigureNo"/>
        <w:rPr>
          <w:b/>
          <w:lang w:val="en-GB"/>
        </w:rPr>
      </w:pPr>
      <w:r w:rsidRPr="00304846">
        <w:rPr>
          <w:lang w:val="en-GB"/>
        </w:rPr>
        <w:lastRenderedPageBreak/>
        <w:t>FIGURE 13</w:t>
      </w:r>
    </w:p>
    <w:p w:rsidR="00AF59A0" w:rsidRPr="00304846" w:rsidRDefault="00AF59A0" w:rsidP="00304846">
      <w:pPr>
        <w:pStyle w:val="Figuretitle"/>
        <w:rPr>
          <w:caps/>
          <w:lang w:val="en-GB"/>
        </w:rPr>
      </w:pPr>
      <w:r w:rsidRPr="00304846">
        <w:rPr>
          <w:lang w:val="en-GB"/>
        </w:rPr>
        <w:t>Required</w:t>
      </w:r>
      <w:r w:rsidRPr="00304846">
        <w:rPr>
          <w:lang w:val="en-GB" w:eastAsia="fr-FR"/>
        </w:rPr>
        <w:t xml:space="preserve"> </w:t>
      </w:r>
      <w:r w:rsidRPr="00304846">
        <w:rPr>
          <w:i/>
          <w:iCs/>
          <w:lang w:val="en-GB" w:eastAsia="fr-FR"/>
        </w:rPr>
        <w:t>d</w:t>
      </w:r>
      <w:r w:rsidRPr="00304846">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w:t>
      </w:r>
      <w:r w:rsidRPr="00304846">
        <w:rPr>
          <w:lang w:val="en-GB"/>
        </w:rPr>
        <w:t>function</w:t>
      </w:r>
      <w:r w:rsidRPr="00304846">
        <w:rPr>
          <w:lang w:val="en-GB" w:eastAsia="fr-FR"/>
        </w:rPr>
        <w:t xml:space="preserve"> of </w:t>
      </w:r>
      <w:r w:rsidRPr="00304846">
        <w:rPr>
          <w:lang w:val="en-GB"/>
        </w:rPr>
        <w:t>angle</w:t>
      </w:r>
      <w:r w:rsidRPr="00304846">
        <w:rPr>
          <w:lang w:val="en-GB" w:eastAsia="fr-FR"/>
        </w:rPr>
        <w:t xml:space="preserve"> </w:t>
      </w:r>
      <w:r w:rsidRPr="00304846">
        <w:rPr>
          <w:rFonts w:ascii="Symbol" w:hAnsi="Symbol"/>
          <w:lang w:val="en-GB" w:eastAsia="fr-FR"/>
        </w:rPr>
        <w:t></w:t>
      </w:r>
      <w:r w:rsidRPr="00304846">
        <w:rPr>
          <w:i/>
          <w:iCs/>
          <w:vertAlign w:val="subscript"/>
          <w:lang w:val="en-GB" w:eastAsia="fr-FR"/>
        </w:rPr>
        <w:t>az FS-IMT</w:t>
      </w:r>
      <w:r w:rsidR="00304846">
        <w:rPr>
          <w:rFonts w:eastAsiaTheme="minorHAnsi" w:cstheme="minorBidi"/>
          <w:lang w:val="en-GB" w:eastAsia="ru-RU"/>
        </w:rPr>
        <w:t xml:space="preserve"> (PP FS S</w:t>
      </w:r>
      <w:r w:rsidRPr="00304846">
        <w:rPr>
          <w:rFonts w:eastAsiaTheme="minorHAnsi" w:cstheme="minorBidi"/>
          <w:lang w:val="en-GB" w:eastAsia="ru-RU"/>
        </w:rPr>
        <w:t>ystem type 1)</w:t>
      </w:r>
    </w:p>
    <w:p w:rsidR="00FB1E5D" w:rsidRPr="00304846" w:rsidRDefault="00AF59A0" w:rsidP="00304846">
      <w:pPr>
        <w:pStyle w:val="Figure"/>
        <w:rPr>
          <w:lang w:val="en-GB"/>
        </w:rPr>
      </w:pPr>
      <w:r w:rsidRPr="0037365B">
        <w:rPr>
          <w:noProof/>
          <w:lang w:val="en-US" w:eastAsia="zh-CN"/>
        </w:rPr>
        <w:drawing>
          <wp:inline distT="0" distB="0" distL="0" distR="0" wp14:anchorId="2F8343E9" wp14:editId="59D10707">
            <wp:extent cx="5760720" cy="3322320"/>
            <wp:effectExtent l="0" t="0" r="11430" b="11430"/>
            <wp:docPr id="4" name="Диаграмма 216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F4450" w:rsidRDefault="00EF4450" w:rsidP="00EF4450">
      <w:pPr>
        <w:rPr>
          <w:lang w:val="en-GB"/>
        </w:rPr>
      </w:pPr>
    </w:p>
    <w:p w:rsidR="00AF59A0" w:rsidRPr="00304846" w:rsidRDefault="00AF59A0" w:rsidP="00FB1E5D">
      <w:pPr>
        <w:pStyle w:val="FigureNo"/>
        <w:rPr>
          <w:lang w:val="en-GB"/>
        </w:rPr>
      </w:pPr>
      <w:r w:rsidRPr="00304846">
        <w:rPr>
          <w:lang w:val="en-GB"/>
        </w:rPr>
        <w:t>FIGURE 14</w:t>
      </w:r>
    </w:p>
    <w:p w:rsidR="00852FC1" w:rsidRDefault="00AF59A0" w:rsidP="00FB1E5D">
      <w:pPr>
        <w:pStyle w:val="Figuretitle"/>
        <w:rPr>
          <w:color w:val="000000"/>
          <w:lang w:val="en-GB" w:eastAsia="ar-SA"/>
        </w:rPr>
      </w:pPr>
      <w:r w:rsidRPr="00304846">
        <w:rPr>
          <w:lang w:val="en-GB"/>
        </w:rPr>
        <w:t>Require</w:t>
      </w:r>
      <w:r w:rsidR="00FB1E5D" w:rsidRPr="00304846">
        <w:rPr>
          <w:lang w:val="en-GB"/>
        </w:rPr>
        <w:t xml:space="preserve">d </w:t>
      </w:r>
      <w:r w:rsidR="00FB1E5D" w:rsidRPr="00304846">
        <w:rPr>
          <w:i/>
          <w:iCs/>
          <w:lang w:val="en-GB"/>
        </w:rPr>
        <w:t>d</w:t>
      </w:r>
      <w:r w:rsidRPr="00304846">
        <w:rPr>
          <w:i/>
          <w:iCs/>
          <w:vertAlign w:val="subscript"/>
          <w:lang w:val="en-GB"/>
        </w:rPr>
        <w:t>FS-IMT</w:t>
      </w:r>
      <w:r w:rsidRPr="00304846">
        <w:rPr>
          <w:vertAlign w:val="subscript"/>
          <w:lang w:val="en-GB"/>
        </w:rPr>
        <w:t xml:space="preserve"> </w:t>
      </w:r>
      <w:r w:rsidRPr="00304846">
        <w:rPr>
          <w:lang w:val="en-GB"/>
        </w:rPr>
        <w:t xml:space="preserve">which is a function of angle </w:t>
      </w:r>
      <w:r w:rsidRPr="00304846">
        <w:rPr>
          <w:rFonts w:ascii="Symbol" w:hAnsi="Symbol"/>
          <w:lang w:val="en-GB"/>
        </w:rPr>
        <w:t></w:t>
      </w:r>
      <w:r w:rsidRPr="00304846">
        <w:rPr>
          <w:i/>
          <w:iCs/>
          <w:vertAlign w:val="subscript"/>
          <w:lang w:val="en-GB"/>
        </w:rPr>
        <w:t>az FS-IMT</w:t>
      </w:r>
      <w:r w:rsidRPr="00304846">
        <w:rPr>
          <w:rFonts w:eastAsiaTheme="minorHAnsi" w:cstheme="minorBidi"/>
          <w:lang w:val="en-GB" w:eastAsia="ru-RU"/>
        </w:rPr>
        <w:t xml:space="preserve"> </w:t>
      </w:r>
      <w:r w:rsidRPr="00304846">
        <w:rPr>
          <w:lang w:val="en-GB"/>
        </w:rPr>
        <w:t>(</w:t>
      </w:r>
      <w:r w:rsidRPr="00304846">
        <w:rPr>
          <w:color w:val="000000"/>
          <w:lang w:val="en-GB" w:eastAsia="ar-SA"/>
        </w:rPr>
        <w:t>PP FS System type 2)</w:t>
      </w:r>
    </w:p>
    <w:p w:rsidR="00AF59A0" w:rsidRPr="00852FC1" w:rsidRDefault="00AF59A0" w:rsidP="00852FC1">
      <w:pPr>
        <w:pStyle w:val="Figure"/>
      </w:pPr>
      <w:r w:rsidRPr="0037365B" w:rsidDel="00DD301F">
        <w:rPr>
          <w:noProof/>
          <w:lang w:val="en-US" w:eastAsia="zh-CN"/>
        </w:rPr>
        <w:drawing>
          <wp:inline distT="0" distB="0" distL="0" distR="0" wp14:anchorId="43077906" wp14:editId="10BAC116">
            <wp:extent cx="5797550" cy="3023870"/>
            <wp:effectExtent l="0" t="0" r="12700" b="5080"/>
            <wp:docPr id="6" name="Диаграмма 216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B1E5D" w:rsidRPr="00304846" w:rsidRDefault="00FB1E5D" w:rsidP="006A3BDF">
      <w:pPr>
        <w:rPr>
          <w:lang w:val="en-GB"/>
        </w:rPr>
      </w:pPr>
      <w:r w:rsidRPr="00304846">
        <w:rPr>
          <w:lang w:val="en-GB"/>
        </w:rPr>
        <w:br w:type="page"/>
      </w:r>
    </w:p>
    <w:p w:rsidR="00AF59A0" w:rsidRPr="00304846" w:rsidRDefault="00AF59A0" w:rsidP="00FB1E5D">
      <w:pPr>
        <w:pStyle w:val="FigureNo"/>
        <w:rPr>
          <w:lang w:val="en-GB"/>
        </w:rPr>
      </w:pPr>
      <w:r w:rsidRPr="00304846">
        <w:rPr>
          <w:lang w:val="en-GB"/>
        </w:rPr>
        <w:lastRenderedPageBreak/>
        <w:t>FIGURE 15</w:t>
      </w:r>
    </w:p>
    <w:p w:rsidR="006A3BDF" w:rsidRDefault="00AF59A0" w:rsidP="006A3BDF">
      <w:pPr>
        <w:pStyle w:val="Figuretitle"/>
        <w:rPr>
          <w:color w:val="000000"/>
          <w:lang w:val="en-GB" w:eastAsia="ar-SA"/>
        </w:rPr>
      </w:pPr>
      <w:r w:rsidRPr="00304846">
        <w:rPr>
          <w:lang w:val="en-GB"/>
        </w:rPr>
        <w:t>Required</w:t>
      </w:r>
      <w:r w:rsidRPr="00304846">
        <w:rPr>
          <w:lang w:val="en-GB" w:eastAsia="fr-FR"/>
        </w:rPr>
        <w:t xml:space="preserve"> </w:t>
      </w:r>
      <w:r w:rsidRPr="00304846">
        <w:rPr>
          <w:i/>
          <w:iCs/>
          <w:lang w:val="en-GB" w:eastAsia="fr-FR"/>
        </w:rPr>
        <w:t>d</w:t>
      </w:r>
      <w:r w:rsidRPr="00304846">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function of angle </w:t>
      </w:r>
      <w:r w:rsidRPr="00304846">
        <w:rPr>
          <w:rFonts w:ascii="Symbol" w:hAnsi="Symbol"/>
          <w:lang w:val="en-GB" w:eastAsia="fr-FR"/>
        </w:rPr>
        <w:t></w:t>
      </w:r>
      <w:r w:rsidRPr="00304846">
        <w:rPr>
          <w:i/>
          <w:iCs/>
          <w:vertAlign w:val="subscript"/>
          <w:lang w:val="en-GB" w:eastAsia="fr-FR"/>
        </w:rPr>
        <w:t>az FS-IMT</w:t>
      </w:r>
      <w:r w:rsidRPr="00304846">
        <w:rPr>
          <w:rFonts w:eastAsiaTheme="minorHAnsi" w:cstheme="minorBidi"/>
          <w:lang w:val="en-GB" w:eastAsia="ru-RU"/>
        </w:rPr>
        <w:t xml:space="preserve"> </w:t>
      </w:r>
      <w:r w:rsidRPr="00304846">
        <w:rPr>
          <w:lang w:val="en-GB" w:eastAsia="fr-FR"/>
        </w:rPr>
        <w:t>(</w:t>
      </w:r>
      <w:r w:rsidRPr="00304846">
        <w:rPr>
          <w:color w:val="000000"/>
          <w:lang w:val="en-GB" w:eastAsia="ar-SA"/>
        </w:rPr>
        <w:t>PP FS System type 2)</w:t>
      </w:r>
    </w:p>
    <w:p w:rsidR="006A3BDF" w:rsidRDefault="00AF59A0" w:rsidP="006A3BDF">
      <w:pPr>
        <w:pStyle w:val="Figure"/>
        <w:rPr>
          <w:lang w:val="en-GB"/>
        </w:rPr>
      </w:pPr>
      <w:r w:rsidRPr="00304846">
        <w:rPr>
          <w:noProof/>
          <w:lang w:val="en-US" w:eastAsia="zh-CN"/>
        </w:rPr>
        <w:drawing>
          <wp:inline distT="0" distB="0" distL="0" distR="0" wp14:anchorId="678E1DAA" wp14:editId="5214F732">
            <wp:extent cx="5852160" cy="3102610"/>
            <wp:effectExtent l="0" t="0" r="15240" b="2540"/>
            <wp:docPr id="22106" name="Диаграмма 216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E314A" w:rsidRDefault="00FE314A" w:rsidP="00FE314A">
      <w:pPr>
        <w:rPr>
          <w:lang w:val="en-GB" w:eastAsia="fr-FR"/>
        </w:rPr>
      </w:pPr>
    </w:p>
    <w:p w:rsidR="00AF59A0" w:rsidRPr="00304846" w:rsidRDefault="00AF59A0" w:rsidP="00FE314A">
      <w:pPr>
        <w:pStyle w:val="Heading4"/>
        <w:rPr>
          <w:lang w:val="en-GB"/>
        </w:rPr>
      </w:pPr>
      <w:r w:rsidRPr="00304846">
        <w:rPr>
          <w:lang w:val="en-GB" w:eastAsia="fr-FR"/>
        </w:rPr>
        <w:t>4.3.1.1</w:t>
      </w:r>
      <w:r w:rsidRPr="00304846">
        <w:rPr>
          <w:lang w:val="en-GB" w:eastAsia="fr-FR"/>
        </w:rPr>
        <w:tab/>
        <w:t>Case #2.1 (</w:t>
      </w:r>
      <w:r w:rsidRPr="00304846">
        <w:rPr>
          <w:lang w:val="en-GB"/>
        </w:rPr>
        <w:t>(</w:t>
      </w:r>
      <w:r w:rsidRPr="00304846">
        <w:rPr>
          <w:i/>
          <w:iCs/>
          <w:lang w:val="en-GB"/>
        </w:rPr>
        <w:t>C</w:t>
      </w:r>
      <w:r w:rsidRPr="00304846">
        <w:rPr>
          <w:lang w:val="en-GB"/>
        </w:rPr>
        <w:t>/</w:t>
      </w:r>
      <w:r w:rsidRPr="00304846">
        <w:rPr>
          <w:i/>
          <w:iCs/>
          <w:lang w:val="en-GB"/>
        </w:rPr>
        <w:t>I</w:t>
      </w:r>
      <w:r w:rsidRPr="00304846">
        <w:rPr>
          <w:lang w:val="en-GB"/>
        </w:rPr>
        <w:t>)</w:t>
      </w:r>
      <w:r w:rsidRPr="00304846">
        <w:rPr>
          <w:i/>
          <w:iCs/>
          <w:vertAlign w:val="subscript"/>
          <w:lang w:val="en-GB"/>
        </w:rPr>
        <w:t>required</w:t>
      </w:r>
      <w:r w:rsidR="00B54A57" w:rsidRPr="00304846">
        <w:rPr>
          <w:lang w:val="en-GB"/>
        </w:rPr>
        <w:t xml:space="preserve"> </w:t>
      </w:r>
      <w:r w:rsidRPr="00304846">
        <w:rPr>
          <w:lang w:val="en-GB"/>
        </w:rPr>
        <w:t>=</w:t>
      </w:r>
      <w:r w:rsidR="00B54A57" w:rsidRPr="00304846">
        <w:rPr>
          <w:lang w:val="en-GB"/>
        </w:rPr>
        <w:t xml:space="preserve"> </w:t>
      </w:r>
      <w:r w:rsidRPr="00304846">
        <w:rPr>
          <w:lang w:val="en-GB"/>
        </w:rPr>
        <w:t>55 dB)</w:t>
      </w:r>
    </w:p>
    <w:p w:rsidR="00AF59A0" w:rsidRPr="00304846" w:rsidRDefault="00AF59A0" w:rsidP="0090130C">
      <w:pPr>
        <w:rPr>
          <w:rFonts w:asciiTheme="majorBidi" w:hAnsiTheme="majorBidi" w:cstheme="majorBidi"/>
          <w:lang w:val="en-GB"/>
        </w:rPr>
      </w:pPr>
      <w:r w:rsidRPr="00304846">
        <w:rPr>
          <w:rFonts w:asciiTheme="majorBidi" w:hAnsiTheme="majorBidi" w:cstheme="majorBidi"/>
          <w:lang w:val="en-GB"/>
        </w:rPr>
        <w:t>The results of the required</w:t>
      </w:r>
      <w:r w:rsidRPr="00304846">
        <w:rPr>
          <w:rFonts w:asciiTheme="majorBidi" w:hAnsiTheme="majorBidi" w:cstheme="majorBidi"/>
          <w:lang w:val="en-GB" w:eastAsia="fr-FR"/>
        </w:rPr>
        <w:t xml:space="preserve"> </w:t>
      </w:r>
      <w:r w:rsidRPr="00304846">
        <w:rPr>
          <w:rFonts w:asciiTheme="majorBidi" w:hAnsiTheme="majorBidi" w:cstheme="majorBidi"/>
          <w:lang w:val="en-GB"/>
        </w:rPr>
        <w:t xml:space="preserve">distance between the </w:t>
      </w:r>
      <w:r w:rsidRPr="00304846">
        <w:rPr>
          <w:rFonts w:asciiTheme="majorBidi" w:hAnsiTheme="majorBidi" w:cstheme="majorBidi"/>
          <w:lang w:val="en-GB" w:eastAsia="fr-FR"/>
        </w:rPr>
        <w:t>interfering transmitter base station IMT systems</w:t>
      </w:r>
      <w:r w:rsidRPr="00304846">
        <w:rPr>
          <w:rFonts w:asciiTheme="majorBidi" w:hAnsiTheme="majorBidi" w:cstheme="majorBidi"/>
          <w:lang w:val="en-GB"/>
        </w:rPr>
        <w:t xml:space="preserve"> and the </w:t>
      </w:r>
      <w:r w:rsidRPr="00304846">
        <w:rPr>
          <w:rFonts w:asciiTheme="majorBidi" w:hAnsiTheme="majorBidi" w:cstheme="majorBidi"/>
          <w:lang w:val="en-GB" w:eastAsia="fr-FR"/>
        </w:rPr>
        <w:t xml:space="preserve">interfered receiver point-to-point FS systems d </w:t>
      </w:r>
      <w:r w:rsidRPr="00304846">
        <w:rPr>
          <w:rFonts w:asciiTheme="majorBidi" w:hAnsiTheme="majorBidi" w:cstheme="majorBidi"/>
          <w:vertAlign w:val="subscript"/>
          <w:lang w:val="en-GB" w:eastAsia="fr-FR"/>
        </w:rPr>
        <w:t xml:space="preserve">FS-IMT </w:t>
      </w:r>
      <w:r w:rsidRPr="00304846">
        <w:rPr>
          <w:rFonts w:asciiTheme="majorBidi" w:hAnsiTheme="majorBidi" w:cstheme="majorBidi"/>
          <w:lang w:val="en-GB" w:eastAsia="fr-FR"/>
        </w:rPr>
        <w:t xml:space="preserve">which is a function of angle between the main axis of the point-to-point FS system and the axis between the base station IMT system and the point-to-point FS system </w:t>
      </w:r>
      <w:r w:rsidRPr="00304846">
        <w:rPr>
          <w:rFonts w:ascii="Symbol" w:hAnsi="Symbol" w:cstheme="majorBidi"/>
          <w:lang w:val="en-GB" w:eastAsia="fr-FR"/>
        </w:rPr>
        <w:t></w:t>
      </w:r>
      <w:r w:rsidRPr="00304846">
        <w:rPr>
          <w:rFonts w:asciiTheme="majorBidi" w:hAnsiTheme="majorBidi" w:cstheme="majorBidi"/>
          <w:i/>
          <w:iCs/>
          <w:vertAlign w:val="subscript"/>
          <w:lang w:val="en-GB" w:eastAsia="fr-FR"/>
        </w:rPr>
        <w:t>az FS-IMT</w:t>
      </w:r>
      <w:r w:rsidRPr="00304846">
        <w:rPr>
          <w:rFonts w:asciiTheme="majorBidi" w:hAnsiTheme="majorBidi" w:cstheme="majorBidi"/>
          <w:lang w:val="en-GB" w:eastAsia="fr-FR"/>
        </w:rPr>
        <w:t xml:space="preserve"> </w:t>
      </w:r>
      <w:r w:rsidR="005D119B">
        <w:rPr>
          <w:rFonts w:asciiTheme="majorBidi" w:hAnsiTheme="majorBidi" w:cstheme="majorBidi"/>
          <w:lang w:val="en-GB"/>
        </w:rPr>
        <w:t>are provided in</w:t>
      </w:r>
      <w:r w:rsidRPr="00304846">
        <w:rPr>
          <w:rFonts w:asciiTheme="majorBidi" w:hAnsiTheme="majorBidi" w:cstheme="majorBidi"/>
          <w:lang w:val="en-GB"/>
        </w:rPr>
        <w:t xml:space="preserve"> Figs 16</w:t>
      </w:r>
      <w:r w:rsidR="0090130C" w:rsidRPr="00304846">
        <w:rPr>
          <w:rFonts w:asciiTheme="majorBidi" w:hAnsiTheme="majorBidi" w:cstheme="majorBidi"/>
          <w:lang w:val="en-GB"/>
        </w:rPr>
        <w:t xml:space="preserve"> to </w:t>
      </w:r>
      <w:r w:rsidRPr="00304846">
        <w:rPr>
          <w:rFonts w:asciiTheme="majorBidi" w:hAnsiTheme="majorBidi" w:cstheme="majorBidi"/>
          <w:lang w:val="en-GB"/>
        </w:rPr>
        <w:t xml:space="preserve">27. (Link Length = 10, 30, 50, 70 km; </w:t>
      </w:r>
      <w:r w:rsidRPr="00304846">
        <w:rPr>
          <w:rFonts w:asciiTheme="majorBidi" w:hAnsiTheme="majorBidi" w:cstheme="majorBidi"/>
          <w:i/>
          <w:iCs/>
          <w:lang w:val="en-GB"/>
        </w:rPr>
        <w:t>A</w:t>
      </w:r>
      <w:r w:rsidRPr="00304846">
        <w:rPr>
          <w:rFonts w:asciiTheme="majorBidi" w:hAnsiTheme="majorBidi" w:cstheme="majorBidi"/>
          <w:i/>
          <w:iCs/>
          <w:vertAlign w:val="subscript"/>
          <w:lang w:val="en-GB"/>
        </w:rPr>
        <w:t>hTx</w:t>
      </w:r>
      <w:r w:rsidRPr="00304846">
        <w:rPr>
          <w:rFonts w:asciiTheme="majorBidi" w:hAnsiTheme="majorBidi" w:cstheme="majorBidi"/>
          <w:lang w:val="en-GB"/>
        </w:rPr>
        <w:t xml:space="preserve"> = 0, 10, 19 dB;</w:t>
      </w:r>
      <w:r w:rsidRPr="00304846">
        <w:rPr>
          <w:rFonts w:asciiTheme="majorBidi" w:hAnsiTheme="majorBidi" w:cstheme="majorBidi"/>
          <w:b/>
          <w:bCs/>
          <w:sz w:val="14"/>
          <w:szCs w:val="14"/>
          <w:lang w:val="en-GB"/>
        </w:rPr>
        <w:t xml:space="preserve"> </w:t>
      </w:r>
      <w:r w:rsidRPr="00304846">
        <w:rPr>
          <w:rFonts w:asciiTheme="majorBidi" w:hAnsiTheme="majorBidi" w:cstheme="majorBidi"/>
          <w:bCs/>
          <w:lang w:val="en-GB"/>
        </w:rPr>
        <w:t>Co</w:t>
      </w:r>
      <w:r w:rsidRPr="00304846">
        <w:rPr>
          <w:rFonts w:asciiTheme="majorBidi" w:hAnsiTheme="majorBidi" w:cstheme="majorBidi"/>
          <w:bCs/>
          <w:lang w:val="en-GB"/>
        </w:rPr>
        <w:noBreakHyphen/>
        <w:t>channel (</w:t>
      </w:r>
      <w:r w:rsidRPr="00304846">
        <w:rPr>
          <w:rFonts w:asciiTheme="majorBidi" w:hAnsiTheme="majorBidi" w:cstheme="majorBidi"/>
          <w:bCs/>
          <w:i/>
          <w:iCs/>
          <w:lang w:val="en-GB"/>
        </w:rPr>
        <w:t>MD</w:t>
      </w:r>
      <w:r w:rsidR="0090130C" w:rsidRPr="00304846">
        <w:rPr>
          <w:rFonts w:asciiTheme="majorBidi" w:hAnsiTheme="majorBidi" w:cstheme="majorBidi"/>
          <w:bCs/>
          <w:lang w:val="en-GB"/>
        </w:rPr>
        <w:t xml:space="preserve"> </w:t>
      </w:r>
      <w:r w:rsidRPr="00304846">
        <w:rPr>
          <w:rFonts w:asciiTheme="majorBidi" w:hAnsiTheme="majorBidi" w:cstheme="majorBidi"/>
          <w:bCs/>
          <w:lang w:val="en-GB"/>
        </w:rPr>
        <w:t>+</w:t>
      </w:r>
      <w:r w:rsidR="0090130C" w:rsidRPr="00304846">
        <w:rPr>
          <w:rFonts w:asciiTheme="majorBidi" w:hAnsiTheme="majorBidi" w:cstheme="majorBidi"/>
          <w:bCs/>
          <w:lang w:val="en-GB"/>
        </w:rPr>
        <w:t xml:space="preserve"> </w:t>
      </w:r>
      <w:r w:rsidRPr="00304846">
        <w:rPr>
          <w:rFonts w:asciiTheme="majorBidi" w:hAnsiTheme="majorBidi" w:cstheme="majorBidi"/>
          <w:bCs/>
          <w:i/>
          <w:iCs/>
          <w:lang w:val="en-GB"/>
        </w:rPr>
        <w:t>NFD</w:t>
      </w:r>
      <w:r w:rsidRPr="00304846">
        <w:rPr>
          <w:rFonts w:asciiTheme="majorBidi" w:hAnsiTheme="majorBidi" w:cstheme="majorBidi"/>
          <w:bCs/>
          <w:lang w:val="en-GB"/>
        </w:rPr>
        <w:t>(</w:t>
      </w:r>
      <w:r w:rsidRPr="00304846">
        <w:rPr>
          <w:rFonts w:ascii="Symbol" w:hAnsi="Symbol" w:cstheme="majorBidi"/>
          <w:bCs/>
          <w:lang w:val="en-GB"/>
        </w:rPr>
        <w:t></w:t>
      </w:r>
      <w:r w:rsidRPr="00304846">
        <w:rPr>
          <w:rFonts w:asciiTheme="majorBidi" w:hAnsiTheme="majorBidi" w:cstheme="majorBidi"/>
          <w:bCs/>
          <w:i/>
          <w:iCs/>
          <w:lang w:val="en-GB"/>
        </w:rPr>
        <w:t>f</w:t>
      </w:r>
      <w:r w:rsidRPr="00304846">
        <w:rPr>
          <w:rFonts w:asciiTheme="majorBidi" w:hAnsiTheme="majorBidi" w:cstheme="majorBidi"/>
          <w:bCs/>
          <w:lang w:val="en-GB"/>
        </w:rPr>
        <w:t xml:space="preserve">) </w:t>
      </w:r>
      <w:r w:rsidR="0090130C" w:rsidRPr="00304846">
        <w:rPr>
          <w:rFonts w:asciiTheme="majorBidi" w:hAnsiTheme="majorBidi" w:cstheme="majorBidi"/>
          <w:bCs/>
          <w:lang w:val="en-GB"/>
        </w:rPr>
        <w:t xml:space="preserve">= 0 dB, First adjacent channel </w:t>
      </w:r>
      <w:r w:rsidRPr="00304846">
        <w:rPr>
          <w:rFonts w:asciiTheme="majorBidi" w:hAnsiTheme="majorBidi" w:cstheme="majorBidi"/>
          <w:bCs/>
          <w:lang w:val="en-GB"/>
        </w:rPr>
        <w:t>(</w:t>
      </w:r>
      <w:r w:rsidRPr="00304846">
        <w:rPr>
          <w:rFonts w:asciiTheme="majorBidi" w:hAnsiTheme="majorBidi" w:cstheme="majorBidi"/>
          <w:bCs/>
          <w:i/>
          <w:iCs/>
          <w:lang w:val="en-GB"/>
        </w:rPr>
        <w:t>MD</w:t>
      </w:r>
      <w:r w:rsidR="0090130C" w:rsidRPr="00304846">
        <w:rPr>
          <w:rFonts w:asciiTheme="majorBidi" w:hAnsiTheme="majorBidi" w:cstheme="majorBidi"/>
          <w:bCs/>
          <w:lang w:val="en-GB"/>
        </w:rPr>
        <w:t> </w:t>
      </w:r>
      <w:r w:rsidRPr="00304846">
        <w:rPr>
          <w:rFonts w:asciiTheme="majorBidi" w:hAnsiTheme="majorBidi" w:cstheme="majorBidi"/>
          <w:bCs/>
          <w:lang w:val="en-GB"/>
        </w:rPr>
        <w:t>+</w:t>
      </w:r>
      <w:r w:rsidR="0090130C" w:rsidRPr="00304846">
        <w:rPr>
          <w:rFonts w:asciiTheme="majorBidi" w:hAnsiTheme="majorBidi" w:cstheme="majorBidi"/>
          <w:bCs/>
          <w:lang w:val="en-GB"/>
        </w:rPr>
        <w:t> </w:t>
      </w:r>
      <w:r w:rsidRPr="00304846">
        <w:rPr>
          <w:rFonts w:asciiTheme="majorBidi" w:hAnsiTheme="majorBidi" w:cstheme="majorBidi"/>
          <w:bCs/>
          <w:i/>
          <w:iCs/>
          <w:lang w:val="en-GB"/>
        </w:rPr>
        <w:t>NFD</w:t>
      </w:r>
      <w:r w:rsidRPr="00304846">
        <w:rPr>
          <w:rFonts w:asciiTheme="majorBidi" w:hAnsiTheme="majorBidi" w:cstheme="majorBidi"/>
          <w:bCs/>
          <w:lang w:val="en-GB"/>
        </w:rPr>
        <w:t>(</w:t>
      </w:r>
      <w:r w:rsidRPr="00304846">
        <w:rPr>
          <w:rFonts w:ascii="Symbol" w:hAnsi="Symbol" w:cstheme="majorBidi"/>
          <w:bCs/>
          <w:lang w:val="en-GB"/>
        </w:rPr>
        <w:t></w:t>
      </w:r>
      <w:r w:rsidRPr="00304846">
        <w:rPr>
          <w:rFonts w:asciiTheme="majorBidi" w:hAnsiTheme="majorBidi" w:cstheme="majorBidi"/>
          <w:bCs/>
          <w:i/>
          <w:iCs/>
          <w:lang w:val="en-GB"/>
        </w:rPr>
        <w:t>f</w:t>
      </w:r>
      <w:r w:rsidRPr="00304846">
        <w:rPr>
          <w:rFonts w:asciiTheme="majorBidi" w:hAnsiTheme="majorBidi" w:cstheme="majorBidi"/>
          <w:bCs/>
          <w:lang w:val="en-GB"/>
        </w:rPr>
        <w:t>) = 45 dB</w:t>
      </w:r>
      <w:r w:rsidRPr="00304846">
        <w:rPr>
          <w:rFonts w:asciiTheme="majorBidi" w:hAnsiTheme="majorBidi" w:cstheme="majorBidi"/>
          <w:lang w:val="en-GB"/>
        </w:rPr>
        <w:t>)</w:t>
      </w:r>
      <w:r w:rsidR="000A1F30" w:rsidRPr="00304846">
        <w:rPr>
          <w:rFonts w:asciiTheme="majorBidi" w:hAnsiTheme="majorBidi" w:cstheme="majorBidi"/>
          <w:lang w:val="en-GB"/>
        </w:rPr>
        <w:t>.</w:t>
      </w:r>
    </w:p>
    <w:p w:rsidR="00AF59A0" w:rsidRPr="00304846" w:rsidRDefault="00AF59A0" w:rsidP="00AF59A0">
      <w:pPr>
        <w:pStyle w:val="FigureNo"/>
        <w:rPr>
          <w:lang w:val="en-GB"/>
        </w:rPr>
      </w:pPr>
      <w:r w:rsidRPr="00304846">
        <w:rPr>
          <w:lang w:val="en-GB"/>
        </w:rPr>
        <w:t>FIGURE 16</w:t>
      </w:r>
    </w:p>
    <w:p w:rsidR="00AF59A0" w:rsidRDefault="00AF59A0" w:rsidP="00FE314A">
      <w:pPr>
        <w:pStyle w:val="Figuretitle"/>
        <w:rPr>
          <w:color w:val="000000"/>
          <w:lang w:val="en-GB" w:eastAsia="ar-SA"/>
        </w:rPr>
      </w:pPr>
      <w:r w:rsidRPr="00FE314A">
        <w:rPr>
          <w:lang w:val="en-US"/>
        </w:rPr>
        <w:t>Required</w:t>
      </w:r>
      <w:r w:rsidR="00FE314A">
        <w:rPr>
          <w:lang w:val="en-GB" w:eastAsia="fr-FR"/>
        </w:rPr>
        <w:t xml:space="preserve"> </w:t>
      </w:r>
      <w:r w:rsidR="00FE314A" w:rsidRPr="00FE314A">
        <w:rPr>
          <w:i/>
          <w:iCs/>
          <w:lang w:val="en-GB" w:eastAsia="fr-FR"/>
        </w:rPr>
        <w:t>d</w:t>
      </w:r>
      <w:r w:rsidRPr="00FE314A">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function of angle </w:t>
      </w:r>
      <w:r w:rsidRPr="00304846">
        <w:rPr>
          <w:rFonts w:ascii="Symbol" w:hAnsi="Symbol"/>
          <w:lang w:val="en-GB" w:eastAsia="fr-FR"/>
        </w:rPr>
        <w:t></w:t>
      </w:r>
      <w:r w:rsidRPr="00FE314A">
        <w:rPr>
          <w:i/>
          <w:iCs/>
          <w:vertAlign w:val="subscript"/>
          <w:lang w:val="en-GB" w:eastAsia="fr-FR"/>
        </w:rPr>
        <w:t>az FS-IMT</w:t>
      </w:r>
      <w:r w:rsidRPr="00304846">
        <w:rPr>
          <w:vertAlign w:val="subscript"/>
          <w:lang w:val="en-GB" w:eastAsia="fr-FR"/>
        </w:rPr>
        <w:t xml:space="preserve"> </w:t>
      </w:r>
      <w:r w:rsidRPr="00304846">
        <w:rPr>
          <w:lang w:val="en-GB" w:eastAsia="fr-FR"/>
        </w:rPr>
        <w:t>(</w:t>
      </w:r>
      <w:r w:rsidRPr="00304846">
        <w:rPr>
          <w:color w:val="000000"/>
          <w:lang w:val="en-GB" w:eastAsia="ar-SA"/>
        </w:rPr>
        <w:t>PP FS System type 1)</w:t>
      </w:r>
    </w:p>
    <w:p w:rsidR="00FE314A" w:rsidRDefault="00FE314A" w:rsidP="00FE314A">
      <w:pPr>
        <w:pStyle w:val="Figure"/>
        <w:rPr>
          <w:lang w:val="en-GB" w:eastAsia="ar-SA"/>
        </w:rPr>
      </w:pPr>
      <w:r w:rsidRPr="00304846">
        <w:rPr>
          <w:noProof/>
          <w:lang w:val="en-US" w:eastAsia="zh-CN"/>
        </w:rPr>
        <w:drawing>
          <wp:inline distT="0" distB="0" distL="0" distR="0" wp14:anchorId="095C1D59" wp14:editId="2DDE8D31">
            <wp:extent cx="5669280" cy="2794000"/>
            <wp:effectExtent l="0" t="0" r="7620" b="6350"/>
            <wp:docPr id="21595" name="Диаграмма 215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F59A0" w:rsidRPr="00304846" w:rsidRDefault="00AF59A0" w:rsidP="00AF59A0">
      <w:pPr>
        <w:pStyle w:val="FigureNo"/>
        <w:rPr>
          <w:lang w:val="en-GB"/>
        </w:rPr>
      </w:pPr>
      <w:r w:rsidRPr="00304846">
        <w:rPr>
          <w:lang w:val="en-GB"/>
        </w:rPr>
        <w:lastRenderedPageBreak/>
        <w:t>FIGURE 17</w:t>
      </w:r>
    </w:p>
    <w:p w:rsidR="00AF59A0" w:rsidRPr="00304846" w:rsidRDefault="00AF59A0" w:rsidP="00AF59A0">
      <w:pPr>
        <w:pStyle w:val="Figuretitle"/>
        <w:rPr>
          <w:lang w:val="en-GB"/>
        </w:rPr>
      </w:pPr>
      <w:r w:rsidRPr="00304846">
        <w:rPr>
          <w:lang w:val="en-GB"/>
        </w:rPr>
        <w:t xml:space="preserve">Required </w:t>
      </w:r>
      <w:r w:rsidRPr="00A218CE">
        <w:rPr>
          <w:i/>
          <w:iCs/>
          <w:szCs w:val="16"/>
          <w:lang w:val="en-GB" w:eastAsia="fr-FR"/>
        </w:rPr>
        <w:t>d</w:t>
      </w:r>
      <w:r w:rsidRPr="00A218CE">
        <w:rPr>
          <w:i/>
          <w:iCs/>
          <w:szCs w:val="16"/>
          <w:vertAlign w:val="subscript"/>
          <w:lang w:val="en-GB" w:eastAsia="fr-FR"/>
        </w:rPr>
        <w:t>FS-IMT</w:t>
      </w:r>
      <w:r w:rsidRPr="00304846">
        <w:rPr>
          <w:szCs w:val="16"/>
          <w:vertAlign w:val="subscript"/>
          <w:lang w:val="en-GB" w:eastAsia="fr-FR"/>
        </w:rPr>
        <w:t xml:space="preserve"> </w:t>
      </w:r>
      <w:r w:rsidRPr="00304846">
        <w:rPr>
          <w:lang w:val="en-GB"/>
        </w:rPr>
        <w:t xml:space="preserve">which is a function of angle </w:t>
      </w:r>
      <w:r w:rsidRPr="00304846">
        <w:rPr>
          <w:rFonts w:ascii="Symbol" w:hAnsi="Symbol"/>
          <w:szCs w:val="16"/>
          <w:lang w:val="en-GB" w:eastAsia="fr-FR"/>
        </w:rPr>
        <w:t></w:t>
      </w:r>
      <w:r w:rsidRPr="00A218CE">
        <w:rPr>
          <w:i/>
          <w:iCs/>
          <w:szCs w:val="16"/>
          <w:vertAlign w:val="subscript"/>
          <w:lang w:val="en-GB" w:eastAsia="fr-FR"/>
        </w:rPr>
        <w:t>az FS-IMT</w:t>
      </w:r>
      <w:r w:rsidRPr="00304846">
        <w:rPr>
          <w:szCs w:val="16"/>
          <w:vertAlign w:val="subscript"/>
          <w:lang w:val="en-GB" w:eastAsia="fr-FR"/>
        </w:rPr>
        <w:t xml:space="preserve"> </w:t>
      </w:r>
      <w:r w:rsidRPr="00304846">
        <w:rPr>
          <w:lang w:val="en-GB"/>
        </w:rPr>
        <w:t>(PP FS System type 1)</w:t>
      </w:r>
    </w:p>
    <w:p w:rsidR="00AF59A0" w:rsidRPr="00304846" w:rsidRDefault="00F56314" w:rsidP="00770013">
      <w:pPr>
        <w:pStyle w:val="Figure"/>
        <w:rPr>
          <w:lang w:val="en-GB"/>
        </w:rPr>
      </w:pPr>
      <w:r w:rsidRPr="00F56314">
        <w:rPr>
          <w:noProof/>
          <w:lang w:val="en-US" w:eastAsia="zh-CN"/>
        </w:rPr>
        <w:drawing>
          <wp:anchor distT="0" distB="0" distL="114300" distR="114300" simplePos="0" relativeHeight="251653632" behindDoc="0" locked="0" layoutInCell="1" allowOverlap="1" wp14:anchorId="47C4CF13" wp14:editId="6448E0B8">
            <wp:simplePos x="0" y="0"/>
            <wp:positionH relativeFrom="column">
              <wp:posOffset>486410</wp:posOffset>
            </wp:positionH>
            <wp:positionV relativeFrom="paragraph">
              <wp:posOffset>237490</wp:posOffset>
            </wp:positionV>
            <wp:extent cx="5105400" cy="3035300"/>
            <wp:effectExtent l="0" t="0" r="0" b="12700"/>
            <wp:wrapTopAndBottom/>
            <wp:docPr id="12" name="Диаграмма 215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p w:rsidR="008418C2" w:rsidRDefault="008418C2" w:rsidP="008418C2">
      <w:pPr>
        <w:rPr>
          <w:lang w:val="en-GB"/>
        </w:rPr>
      </w:pPr>
    </w:p>
    <w:p w:rsidR="00AF59A0" w:rsidRPr="00304846" w:rsidRDefault="00AF59A0" w:rsidP="00797CFE">
      <w:pPr>
        <w:pStyle w:val="FigureNo"/>
        <w:rPr>
          <w:lang w:val="en-GB"/>
        </w:rPr>
      </w:pPr>
      <w:r w:rsidRPr="00304846">
        <w:rPr>
          <w:lang w:val="en-GB"/>
        </w:rPr>
        <w:t>FIGURE 18</w:t>
      </w:r>
    </w:p>
    <w:p w:rsidR="00AF59A0" w:rsidRDefault="00AF59A0" w:rsidP="00797CFE">
      <w:pPr>
        <w:pStyle w:val="Figuretitle"/>
        <w:rPr>
          <w:color w:val="000000"/>
          <w:lang w:val="en-GB" w:eastAsia="ar-SA"/>
        </w:rPr>
      </w:pPr>
      <w:r w:rsidRPr="00304846">
        <w:rPr>
          <w:lang w:val="en-GB"/>
        </w:rPr>
        <w:t>Required</w:t>
      </w:r>
      <w:r w:rsidR="00797CFE">
        <w:rPr>
          <w:lang w:val="en-GB" w:eastAsia="fr-FR"/>
        </w:rPr>
        <w:t xml:space="preserve"> </w:t>
      </w:r>
      <w:r w:rsidR="00797CFE" w:rsidRPr="00797CFE">
        <w:rPr>
          <w:i/>
          <w:iCs/>
          <w:lang w:val="en-GB" w:eastAsia="fr-FR"/>
        </w:rPr>
        <w:t>d</w:t>
      </w:r>
      <w:r w:rsidRPr="00797CFE">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function of angle </w:t>
      </w:r>
      <w:r w:rsidRPr="00304846">
        <w:rPr>
          <w:rFonts w:ascii="Symbol" w:hAnsi="Symbol"/>
          <w:szCs w:val="16"/>
          <w:lang w:val="en-GB" w:eastAsia="fr-FR"/>
        </w:rPr>
        <w:t></w:t>
      </w:r>
      <w:r w:rsidRPr="00797CFE">
        <w:rPr>
          <w:i/>
          <w:iCs/>
          <w:vertAlign w:val="subscript"/>
          <w:lang w:val="en-GB" w:eastAsia="fr-FR"/>
        </w:rPr>
        <w:t>az FS-IMT</w:t>
      </w:r>
      <w:r w:rsidRPr="00304846">
        <w:rPr>
          <w:lang w:val="en-GB" w:eastAsia="fr-FR"/>
        </w:rPr>
        <w:t xml:space="preserve"> (</w:t>
      </w:r>
      <w:r w:rsidRPr="00304846">
        <w:rPr>
          <w:color w:val="000000"/>
          <w:lang w:val="en-GB" w:eastAsia="ar-SA"/>
        </w:rPr>
        <w:t>PP FS System type 1)</w:t>
      </w:r>
    </w:p>
    <w:p w:rsidR="00797CFE" w:rsidRPr="00797CFE" w:rsidRDefault="00797CFE" w:rsidP="00797CFE">
      <w:pPr>
        <w:pStyle w:val="Figure"/>
        <w:rPr>
          <w:rFonts w:eastAsiaTheme="minorHAnsi"/>
          <w:lang w:val="en-GB" w:eastAsia="ar-SA"/>
        </w:rPr>
      </w:pPr>
      <w:r w:rsidRPr="00304846">
        <w:rPr>
          <w:noProof/>
          <w:lang w:val="en-US" w:eastAsia="zh-CN"/>
        </w:rPr>
        <w:drawing>
          <wp:inline distT="0" distB="0" distL="0" distR="0" wp14:anchorId="5B79526F" wp14:editId="585C5A18">
            <wp:extent cx="5662930" cy="3176270"/>
            <wp:effectExtent l="0" t="0" r="13970" b="5080"/>
            <wp:docPr id="21593" name="Диаграмма 215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F59A0" w:rsidRPr="00304846" w:rsidRDefault="00AF59A0" w:rsidP="00797CFE">
      <w:pPr>
        <w:pStyle w:val="Figure"/>
        <w:rPr>
          <w:lang w:val="en-GB"/>
        </w:rPr>
      </w:pPr>
      <w:r w:rsidRPr="00304846">
        <w:rPr>
          <w:lang w:val="en-GB"/>
        </w:rPr>
        <w:br w:type="page"/>
      </w:r>
    </w:p>
    <w:p w:rsidR="00AF59A0" w:rsidRPr="00304846" w:rsidRDefault="00AF59A0" w:rsidP="008F58B0">
      <w:pPr>
        <w:pStyle w:val="FigureNo"/>
        <w:rPr>
          <w:lang w:val="en-GB"/>
        </w:rPr>
      </w:pPr>
      <w:r w:rsidRPr="00304846">
        <w:rPr>
          <w:lang w:val="en-GB"/>
        </w:rPr>
        <w:lastRenderedPageBreak/>
        <w:t>FIGURE 19</w:t>
      </w:r>
    </w:p>
    <w:p w:rsidR="00AF59A0" w:rsidRDefault="00AF59A0" w:rsidP="008F58B0">
      <w:pPr>
        <w:pStyle w:val="Figuretitle"/>
        <w:rPr>
          <w:rFonts w:asciiTheme="minorHAnsi" w:hAnsiTheme="minorHAnsi" w:cstheme="minorHAnsi"/>
          <w:color w:val="000000"/>
          <w:lang w:val="en-GB" w:eastAsia="ar-SA"/>
        </w:rPr>
      </w:pPr>
      <w:r w:rsidRPr="00304846">
        <w:rPr>
          <w:lang w:val="en-GB"/>
        </w:rPr>
        <w:t>Required</w:t>
      </w:r>
      <w:r w:rsidR="008F58B0">
        <w:rPr>
          <w:lang w:val="en-GB" w:eastAsia="fr-FR"/>
        </w:rPr>
        <w:t xml:space="preserve"> </w:t>
      </w:r>
      <w:r w:rsidR="008F58B0" w:rsidRPr="008F58B0">
        <w:rPr>
          <w:i/>
          <w:iCs/>
          <w:lang w:val="en-GB" w:eastAsia="fr-FR"/>
        </w:rPr>
        <w:t>d</w:t>
      </w:r>
      <w:r w:rsidRPr="008F58B0">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function of angle </w:t>
      </w:r>
      <w:r w:rsidRPr="00304846">
        <w:rPr>
          <w:rFonts w:ascii="Symbol" w:hAnsi="Symbol"/>
          <w:szCs w:val="16"/>
          <w:lang w:val="en-GB" w:eastAsia="fr-FR"/>
        </w:rPr>
        <w:t></w:t>
      </w:r>
      <w:r w:rsidRPr="00615CCD">
        <w:rPr>
          <w:i/>
          <w:iCs/>
          <w:vertAlign w:val="subscript"/>
          <w:lang w:val="en-GB" w:eastAsia="fr-FR"/>
        </w:rPr>
        <w:t>az FS-IMT</w:t>
      </w:r>
      <w:r w:rsidRPr="00304846">
        <w:rPr>
          <w:lang w:val="en-GB" w:eastAsia="fr-FR"/>
        </w:rPr>
        <w:t xml:space="preserve"> (</w:t>
      </w:r>
      <w:r w:rsidRPr="00304846">
        <w:rPr>
          <w:color w:val="000000"/>
          <w:lang w:val="en-GB" w:eastAsia="ar-SA"/>
        </w:rPr>
        <w:t>PP FS System type 1</w:t>
      </w:r>
      <w:r w:rsidRPr="00304846">
        <w:rPr>
          <w:rFonts w:asciiTheme="minorHAnsi" w:hAnsiTheme="minorHAnsi" w:cstheme="minorHAnsi"/>
          <w:color w:val="000000"/>
          <w:lang w:val="en-GB" w:eastAsia="ar-SA"/>
        </w:rPr>
        <w:t>)</w:t>
      </w:r>
    </w:p>
    <w:p w:rsidR="002C6720" w:rsidRPr="002330EA" w:rsidRDefault="006F1CA3" w:rsidP="00DD0201">
      <w:pPr>
        <w:pStyle w:val="Figure"/>
        <w:rPr>
          <w:lang w:val="en-US"/>
        </w:rPr>
      </w:pPr>
      <w:r w:rsidRPr="006F1CA3">
        <w:rPr>
          <w:noProof/>
          <w:lang w:val="en-US" w:eastAsia="zh-CN"/>
        </w:rPr>
        <w:drawing>
          <wp:anchor distT="0" distB="0" distL="114300" distR="114300" simplePos="0" relativeHeight="251655680" behindDoc="0" locked="0" layoutInCell="1" allowOverlap="1" wp14:anchorId="30E95A30" wp14:editId="0335A83A">
            <wp:simplePos x="0" y="0"/>
            <wp:positionH relativeFrom="column">
              <wp:posOffset>738505</wp:posOffset>
            </wp:positionH>
            <wp:positionV relativeFrom="paragraph">
              <wp:posOffset>181610</wp:posOffset>
            </wp:positionV>
            <wp:extent cx="4735195" cy="2900045"/>
            <wp:effectExtent l="0" t="0" r="27305" b="14605"/>
            <wp:wrapTopAndBottom/>
            <wp:docPr id="14" name="Диаграмма 215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1C0389" w:rsidRDefault="001C0389" w:rsidP="001C0389">
      <w:pPr>
        <w:rPr>
          <w:lang w:val="en-GB"/>
        </w:rPr>
      </w:pPr>
    </w:p>
    <w:p w:rsidR="00AF59A0" w:rsidRPr="00304846" w:rsidRDefault="00AF59A0" w:rsidP="008F58B0">
      <w:pPr>
        <w:pStyle w:val="FigureNo"/>
        <w:rPr>
          <w:lang w:val="en-GB"/>
        </w:rPr>
      </w:pPr>
      <w:r w:rsidRPr="00304846">
        <w:rPr>
          <w:lang w:val="en-GB"/>
        </w:rPr>
        <w:t>FIGURE 20</w:t>
      </w:r>
    </w:p>
    <w:p w:rsidR="00AF59A0" w:rsidRDefault="00AF59A0" w:rsidP="00826E2F">
      <w:pPr>
        <w:pStyle w:val="Figuretitle"/>
        <w:rPr>
          <w:color w:val="000000"/>
          <w:lang w:val="en-GB" w:eastAsia="ar-SA"/>
        </w:rPr>
      </w:pPr>
      <w:r w:rsidRPr="00304846">
        <w:rPr>
          <w:lang w:val="en-GB"/>
        </w:rPr>
        <w:t>Required</w:t>
      </w:r>
      <w:r w:rsidRPr="00304846">
        <w:rPr>
          <w:rFonts w:asciiTheme="minorHAnsi" w:hAnsiTheme="minorHAnsi" w:cstheme="minorHAnsi"/>
          <w:lang w:val="en-GB" w:eastAsia="fr-FR"/>
        </w:rPr>
        <w:t xml:space="preserve"> </w:t>
      </w:r>
      <w:r w:rsidR="00826E2F" w:rsidRPr="008F58B0">
        <w:rPr>
          <w:i/>
          <w:iCs/>
          <w:lang w:val="en-GB" w:eastAsia="fr-FR"/>
        </w:rPr>
        <w:t>d</w:t>
      </w:r>
      <w:r w:rsidR="00826E2F" w:rsidRPr="008F58B0">
        <w:rPr>
          <w:i/>
          <w:iCs/>
          <w:vertAlign w:val="subscript"/>
          <w:lang w:val="en-GB" w:eastAsia="fr-FR"/>
        </w:rPr>
        <w:t>FS-IMT</w:t>
      </w:r>
      <w:r w:rsidR="00826E2F" w:rsidRPr="00304846">
        <w:rPr>
          <w:vertAlign w:val="subscript"/>
          <w:lang w:val="en-GB" w:eastAsia="fr-FR"/>
        </w:rPr>
        <w:t xml:space="preserve"> </w:t>
      </w:r>
      <w:r w:rsidRPr="00304846">
        <w:rPr>
          <w:lang w:val="en-GB" w:eastAsia="fr-FR"/>
        </w:rPr>
        <w:t xml:space="preserve">which is a function of angle </w:t>
      </w:r>
      <w:r w:rsidR="00826E2F" w:rsidRPr="00304846">
        <w:rPr>
          <w:rFonts w:ascii="Symbol" w:hAnsi="Symbol"/>
          <w:szCs w:val="16"/>
          <w:lang w:val="en-GB" w:eastAsia="fr-FR"/>
        </w:rPr>
        <w:t></w:t>
      </w:r>
      <w:r w:rsidR="00826E2F" w:rsidRPr="00615CCD">
        <w:rPr>
          <w:i/>
          <w:iCs/>
          <w:vertAlign w:val="subscript"/>
          <w:lang w:val="en-GB" w:eastAsia="fr-FR"/>
        </w:rPr>
        <w:t>az FS-IMT</w:t>
      </w:r>
      <w:r w:rsidR="00826E2F" w:rsidRPr="00304846">
        <w:rPr>
          <w:lang w:val="en-GB" w:eastAsia="fr-FR"/>
        </w:rPr>
        <w:t xml:space="preserve"> </w:t>
      </w:r>
      <w:r w:rsidRPr="00304846">
        <w:rPr>
          <w:lang w:val="en-GB" w:eastAsia="fr-FR"/>
        </w:rPr>
        <w:t>(</w:t>
      </w:r>
      <w:r w:rsidRPr="00304846">
        <w:rPr>
          <w:color w:val="000000"/>
          <w:lang w:val="en-GB" w:eastAsia="ar-SA"/>
        </w:rPr>
        <w:t>PP FS System type 1)</w:t>
      </w:r>
    </w:p>
    <w:p w:rsidR="00DD0201" w:rsidRPr="00DD0201" w:rsidRDefault="00DD0201" w:rsidP="00DD0201">
      <w:pPr>
        <w:pStyle w:val="Figure"/>
        <w:rPr>
          <w:rFonts w:eastAsiaTheme="minorHAnsi"/>
        </w:rPr>
      </w:pPr>
      <w:r w:rsidRPr="00DD0201">
        <w:rPr>
          <w:noProof/>
          <w:lang w:val="en-US" w:eastAsia="zh-CN"/>
        </w:rPr>
        <w:drawing>
          <wp:inline distT="0" distB="0" distL="0" distR="0" wp14:anchorId="60B4C05B" wp14:editId="11444525">
            <wp:extent cx="5699760" cy="3188335"/>
            <wp:effectExtent l="0" t="0" r="15240" b="12065"/>
            <wp:docPr id="21591" name="Диаграмма 215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F59A0" w:rsidRPr="00304846" w:rsidRDefault="00AF59A0" w:rsidP="00AF59A0">
      <w:pPr>
        <w:overflowPunct/>
        <w:autoSpaceDE/>
        <w:autoSpaceDN/>
        <w:adjustRightInd/>
        <w:spacing w:before="0"/>
        <w:textAlignment w:val="auto"/>
        <w:rPr>
          <w:caps/>
          <w:sz w:val="20"/>
          <w:lang w:val="en-GB"/>
        </w:rPr>
      </w:pPr>
      <w:r w:rsidRPr="00304846">
        <w:rPr>
          <w:caps/>
          <w:sz w:val="20"/>
          <w:lang w:val="en-GB"/>
        </w:rPr>
        <w:br w:type="page"/>
      </w:r>
    </w:p>
    <w:p w:rsidR="00AF59A0" w:rsidRPr="00304846" w:rsidRDefault="00AF59A0" w:rsidP="001C0389">
      <w:pPr>
        <w:pStyle w:val="FigureNo"/>
        <w:rPr>
          <w:lang w:val="en-GB"/>
        </w:rPr>
      </w:pPr>
      <w:r w:rsidRPr="00304846">
        <w:rPr>
          <w:lang w:val="en-GB"/>
        </w:rPr>
        <w:lastRenderedPageBreak/>
        <w:t>FIGURE 21</w:t>
      </w:r>
    </w:p>
    <w:p w:rsidR="00AF59A0" w:rsidRPr="00304846" w:rsidRDefault="00AF59A0" w:rsidP="001C0389">
      <w:pPr>
        <w:pStyle w:val="Figuretitle"/>
        <w:rPr>
          <w:color w:val="000000"/>
          <w:lang w:val="en-GB" w:eastAsia="ar-SA"/>
        </w:rPr>
      </w:pPr>
      <w:r w:rsidRPr="00304846">
        <w:rPr>
          <w:lang w:val="en-GB"/>
        </w:rPr>
        <w:t>Required</w:t>
      </w:r>
      <w:r w:rsidR="00826E2F">
        <w:rPr>
          <w:lang w:val="en-GB" w:eastAsia="fr-FR"/>
        </w:rPr>
        <w:t xml:space="preserve"> </w:t>
      </w:r>
      <w:r w:rsidR="00826E2F" w:rsidRPr="00826E2F">
        <w:rPr>
          <w:i/>
          <w:iCs/>
          <w:lang w:val="en-GB" w:eastAsia="fr-FR"/>
        </w:rPr>
        <w:t>d</w:t>
      </w:r>
      <w:r w:rsidRPr="00826E2F">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function </w:t>
      </w:r>
      <w:r w:rsidRPr="00826E2F">
        <w:rPr>
          <w:lang w:val="en-US"/>
        </w:rPr>
        <w:t>of</w:t>
      </w:r>
      <w:r w:rsidRPr="00304846">
        <w:rPr>
          <w:lang w:val="en-GB" w:eastAsia="fr-FR"/>
        </w:rPr>
        <w:t xml:space="preserve"> angle </w:t>
      </w:r>
      <w:r w:rsidRPr="00304846">
        <w:rPr>
          <w:rFonts w:ascii="Symbol" w:hAnsi="Symbol"/>
          <w:lang w:val="en-GB" w:eastAsia="fr-FR"/>
        </w:rPr>
        <w:t></w:t>
      </w:r>
      <w:r w:rsidRPr="00826E2F">
        <w:rPr>
          <w:i/>
          <w:iCs/>
          <w:vertAlign w:val="subscript"/>
          <w:lang w:val="en-GB" w:eastAsia="fr-FR"/>
        </w:rPr>
        <w:t>az FS-IMT</w:t>
      </w:r>
      <w:r w:rsidRPr="00304846">
        <w:rPr>
          <w:lang w:val="en-GB" w:eastAsia="fr-FR"/>
        </w:rPr>
        <w:t xml:space="preserve"> (</w:t>
      </w:r>
      <w:r w:rsidRPr="00304846">
        <w:rPr>
          <w:color w:val="000000"/>
          <w:lang w:val="en-GB" w:eastAsia="ar-SA"/>
        </w:rPr>
        <w:t>PP FS System type 1)</w:t>
      </w:r>
    </w:p>
    <w:p w:rsidR="00AF59A0" w:rsidRPr="00304846" w:rsidRDefault="001C0389" w:rsidP="00D529B7">
      <w:pPr>
        <w:pStyle w:val="Figure"/>
        <w:rPr>
          <w:lang w:val="en-GB"/>
        </w:rPr>
      </w:pPr>
      <w:r w:rsidRPr="00D529B7">
        <w:rPr>
          <w:noProof/>
          <w:lang w:val="en-US" w:eastAsia="zh-CN"/>
        </w:rPr>
        <w:drawing>
          <wp:inline distT="0" distB="0" distL="0" distR="0" wp14:anchorId="031D4701" wp14:editId="1539AB70">
            <wp:extent cx="5699760" cy="3328670"/>
            <wp:effectExtent l="0" t="0" r="15240" b="5080"/>
            <wp:docPr id="16" name="Диаграмма 215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F59A0" w:rsidRPr="00304846" w:rsidRDefault="00AF59A0" w:rsidP="00AF59A0">
      <w:pPr>
        <w:rPr>
          <w:caps/>
          <w:lang w:val="en-GB"/>
        </w:rPr>
      </w:pPr>
    </w:p>
    <w:p w:rsidR="00AF59A0" w:rsidRPr="00304846" w:rsidRDefault="00AF59A0" w:rsidP="00B12570">
      <w:pPr>
        <w:pStyle w:val="FigureNo"/>
        <w:rPr>
          <w:lang w:val="en-GB"/>
        </w:rPr>
      </w:pPr>
      <w:r w:rsidRPr="00304846">
        <w:rPr>
          <w:lang w:val="en-GB"/>
        </w:rPr>
        <w:t>FIGURE 22</w:t>
      </w:r>
    </w:p>
    <w:p w:rsidR="00AF59A0" w:rsidRDefault="00AF59A0" w:rsidP="00B12570">
      <w:pPr>
        <w:pStyle w:val="Figuretitle"/>
        <w:rPr>
          <w:color w:val="000000"/>
          <w:lang w:val="en-GB" w:eastAsia="ar-SA"/>
        </w:rPr>
      </w:pPr>
      <w:r w:rsidRPr="00304846">
        <w:rPr>
          <w:lang w:val="en-GB"/>
        </w:rPr>
        <w:t>Required</w:t>
      </w:r>
      <w:r w:rsidR="00B12570">
        <w:rPr>
          <w:lang w:val="en-GB" w:eastAsia="fr-FR"/>
        </w:rPr>
        <w:t xml:space="preserve"> </w:t>
      </w:r>
      <w:r w:rsidR="00B12570" w:rsidRPr="00B12570">
        <w:rPr>
          <w:i/>
          <w:iCs/>
          <w:lang w:val="en-GB" w:eastAsia="fr-FR"/>
        </w:rPr>
        <w:t>d</w:t>
      </w:r>
      <w:r w:rsidRPr="00B12570">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function of angle </w:t>
      </w:r>
      <w:r w:rsidRPr="00304846">
        <w:rPr>
          <w:rFonts w:ascii="Symbol" w:hAnsi="Symbol"/>
          <w:lang w:val="en-GB" w:eastAsia="fr-FR"/>
        </w:rPr>
        <w:t></w:t>
      </w:r>
      <w:r w:rsidRPr="00B12570">
        <w:rPr>
          <w:i/>
          <w:iCs/>
          <w:vertAlign w:val="subscript"/>
          <w:lang w:val="en-GB" w:eastAsia="fr-FR"/>
        </w:rPr>
        <w:t>az FS-IMT</w:t>
      </w:r>
      <w:r w:rsidRPr="00304846">
        <w:rPr>
          <w:lang w:val="en-GB" w:eastAsia="fr-FR"/>
        </w:rPr>
        <w:t xml:space="preserve"> (</w:t>
      </w:r>
      <w:r w:rsidRPr="00304846">
        <w:rPr>
          <w:color w:val="000000"/>
          <w:lang w:val="en-GB" w:eastAsia="ar-SA"/>
        </w:rPr>
        <w:t>PP FS System type 2)</w:t>
      </w:r>
    </w:p>
    <w:p w:rsidR="00D529B7" w:rsidRPr="00D529B7" w:rsidRDefault="00D529B7" w:rsidP="00D529B7">
      <w:pPr>
        <w:pStyle w:val="Figure"/>
        <w:rPr>
          <w:lang w:val="en-GB" w:eastAsia="ar-SA"/>
        </w:rPr>
      </w:pPr>
      <w:r w:rsidRPr="00304846">
        <w:rPr>
          <w:noProof/>
          <w:lang w:val="en-US" w:eastAsia="zh-CN"/>
        </w:rPr>
        <w:drawing>
          <wp:inline distT="0" distB="0" distL="0" distR="0" wp14:anchorId="60729266" wp14:editId="26673211">
            <wp:extent cx="5577840" cy="3413760"/>
            <wp:effectExtent l="0" t="0" r="3810" b="15240"/>
            <wp:docPr id="21589" name="Диаграмма 215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F59A0" w:rsidRPr="00304846" w:rsidRDefault="00AF59A0" w:rsidP="00D529B7">
      <w:pPr>
        <w:rPr>
          <w:sz w:val="20"/>
          <w:lang w:val="en-GB"/>
        </w:rPr>
      </w:pPr>
    </w:p>
    <w:p w:rsidR="00AF59A0" w:rsidRPr="00304846" w:rsidRDefault="00AF59A0" w:rsidP="0083488C">
      <w:pPr>
        <w:pStyle w:val="FigureNo"/>
        <w:rPr>
          <w:lang w:val="en-GB"/>
        </w:rPr>
      </w:pPr>
      <w:r w:rsidRPr="00304846">
        <w:rPr>
          <w:lang w:val="en-GB"/>
        </w:rPr>
        <w:lastRenderedPageBreak/>
        <w:t>FIGURE 23</w:t>
      </w:r>
    </w:p>
    <w:p w:rsidR="00AF59A0" w:rsidRPr="00304846" w:rsidRDefault="00AF59A0" w:rsidP="0083488C">
      <w:pPr>
        <w:pStyle w:val="Figuretitle"/>
        <w:rPr>
          <w:lang w:val="en-GB"/>
        </w:rPr>
      </w:pPr>
      <w:r w:rsidRPr="00304846">
        <w:rPr>
          <w:lang w:val="en-GB"/>
        </w:rPr>
        <w:t>Required</w:t>
      </w:r>
      <w:r w:rsidRPr="00304846">
        <w:rPr>
          <w:rFonts w:asciiTheme="minorHAnsi" w:hAnsiTheme="minorHAnsi" w:cstheme="minorHAnsi"/>
          <w:lang w:val="en-GB" w:eastAsia="fr-FR"/>
        </w:rPr>
        <w:t xml:space="preserve"> </w:t>
      </w:r>
      <w:r w:rsidRPr="0083488C">
        <w:rPr>
          <w:rFonts w:asciiTheme="minorHAnsi" w:hAnsiTheme="minorHAnsi" w:cstheme="minorHAnsi"/>
          <w:i/>
          <w:iCs/>
          <w:lang w:val="en-GB" w:eastAsia="fr-FR"/>
        </w:rPr>
        <w:t>d</w:t>
      </w:r>
      <w:r w:rsidRPr="0083488C">
        <w:rPr>
          <w:rFonts w:asciiTheme="minorHAnsi" w:hAnsiTheme="minorHAnsi" w:cstheme="minorHAnsi"/>
          <w:i/>
          <w:iCs/>
          <w:vertAlign w:val="subscript"/>
          <w:lang w:val="en-GB" w:eastAsia="fr-FR"/>
        </w:rPr>
        <w:t>FS-IMT</w:t>
      </w:r>
      <w:r w:rsidRPr="00304846">
        <w:rPr>
          <w:rFonts w:asciiTheme="minorHAnsi" w:hAnsiTheme="minorHAnsi" w:cstheme="minorHAnsi"/>
          <w:vertAlign w:val="subscript"/>
          <w:lang w:val="en-GB" w:eastAsia="fr-FR"/>
        </w:rPr>
        <w:t xml:space="preserve"> </w:t>
      </w:r>
      <w:r w:rsidRPr="00304846">
        <w:rPr>
          <w:lang w:val="en-GB" w:eastAsia="fr-FR"/>
        </w:rPr>
        <w:t xml:space="preserve">which is a function of angle </w:t>
      </w:r>
      <w:r w:rsidRPr="00304846">
        <w:rPr>
          <w:rFonts w:ascii="Symbol" w:hAnsi="Symbol" w:cstheme="minorHAnsi"/>
          <w:lang w:val="en-GB" w:eastAsia="fr-FR"/>
        </w:rPr>
        <w:t></w:t>
      </w:r>
      <w:r w:rsidRPr="0083488C">
        <w:rPr>
          <w:rFonts w:asciiTheme="minorHAnsi" w:hAnsiTheme="minorHAnsi" w:cstheme="minorHAnsi"/>
          <w:i/>
          <w:iCs/>
          <w:vertAlign w:val="subscript"/>
          <w:lang w:val="en-GB" w:eastAsia="fr-FR"/>
        </w:rPr>
        <w:t>az FS-IMT</w:t>
      </w:r>
      <w:r w:rsidRPr="00304846">
        <w:rPr>
          <w:rFonts w:asciiTheme="minorHAnsi" w:hAnsiTheme="minorHAnsi" w:cstheme="minorHAnsi"/>
          <w:lang w:val="en-GB" w:eastAsia="fr-FR"/>
        </w:rPr>
        <w:t xml:space="preserve"> </w:t>
      </w:r>
      <w:r w:rsidRPr="00304846">
        <w:rPr>
          <w:lang w:val="en-GB" w:eastAsia="fr-FR"/>
        </w:rPr>
        <w:t>(</w:t>
      </w:r>
      <w:r w:rsidRPr="00304846">
        <w:rPr>
          <w:color w:val="000000"/>
          <w:lang w:val="en-GB" w:eastAsia="ar-SA"/>
        </w:rPr>
        <w:t>PP FS System type 2)</w:t>
      </w:r>
    </w:p>
    <w:p w:rsidR="00AD5667" w:rsidRPr="00FF34AD" w:rsidRDefault="00AD5667" w:rsidP="0028786F">
      <w:pPr>
        <w:pStyle w:val="Figure"/>
        <w:spacing w:after="0"/>
        <w:rPr>
          <w:lang w:val="en-US"/>
        </w:rPr>
      </w:pPr>
      <w:r w:rsidRPr="00AD5667">
        <w:rPr>
          <w:noProof/>
          <w:lang w:val="en-US" w:eastAsia="zh-CN"/>
        </w:rPr>
        <w:drawing>
          <wp:anchor distT="0" distB="0" distL="114300" distR="114300" simplePos="0" relativeHeight="251659776" behindDoc="0" locked="0" layoutInCell="1" allowOverlap="1" wp14:anchorId="158B4E51" wp14:editId="1C482530">
            <wp:simplePos x="0" y="0"/>
            <wp:positionH relativeFrom="column">
              <wp:posOffset>395021</wp:posOffset>
            </wp:positionH>
            <wp:positionV relativeFrom="paragraph">
              <wp:posOffset>457200</wp:posOffset>
            </wp:positionV>
            <wp:extent cx="5528945" cy="3139440"/>
            <wp:effectExtent l="0" t="0" r="14605" b="3810"/>
            <wp:wrapTopAndBottom/>
            <wp:docPr id="18" name="Диаграмма 215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rsidR="00AF59A0" w:rsidRPr="00AD5667" w:rsidRDefault="00AF59A0" w:rsidP="0083488C">
      <w:pPr>
        <w:pStyle w:val="Figure"/>
        <w:rPr>
          <w:lang w:val="en-US"/>
        </w:rPr>
      </w:pPr>
    </w:p>
    <w:p w:rsidR="0083488C" w:rsidRDefault="0083488C" w:rsidP="00DD175E">
      <w:pPr>
        <w:rPr>
          <w:lang w:val="en-GB"/>
        </w:rPr>
      </w:pPr>
    </w:p>
    <w:p w:rsidR="0028786F" w:rsidRPr="00304846" w:rsidRDefault="0028786F" w:rsidP="00DD175E">
      <w:pPr>
        <w:rPr>
          <w:lang w:val="en-GB"/>
        </w:rPr>
      </w:pPr>
    </w:p>
    <w:p w:rsidR="00AF59A0" w:rsidRPr="00304846" w:rsidRDefault="00AF59A0" w:rsidP="00393AEC">
      <w:pPr>
        <w:pStyle w:val="FigureNo"/>
        <w:rPr>
          <w:lang w:val="en-GB"/>
        </w:rPr>
      </w:pPr>
      <w:r w:rsidRPr="00304846">
        <w:rPr>
          <w:lang w:val="en-GB"/>
        </w:rPr>
        <w:t>FIGURE 24</w:t>
      </w:r>
    </w:p>
    <w:p w:rsidR="00AF59A0" w:rsidRPr="00304846" w:rsidRDefault="00AF59A0" w:rsidP="00393AEC">
      <w:pPr>
        <w:pStyle w:val="Figuretitle"/>
        <w:rPr>
          <w:color w:val="000000"/>
          <w:lang w:val="en-GB" w:eastAsia="ar-SA"/>
        </w:rPr>
      </w:pPr>
      <w:r w:rsidRPr="00304846">
        <w:rPr>
          <w:lang w:val="en-GB"/>
        </w:rPr>
        <w:t>Required</w:t>
      </w:r>
      <w:r w:rsidRPr="00304846">
        <w:rPr>
          <w:lang w:val="en-GB" w:eastAsia="fr-FR"/>
        </w:rPr>
        <w:t xml:space="preserve"> </w:t>
      </w:r>
      <w:r w:rsidRPr="00393AEC">
        <w:rPr>
          <w:i/>
          <w:iCs/>
          <w:lang w:val="en-GB" w:eastAsia="fr-FR"/>
        </w:rPr>
        <w:t>d</w:t>
      </w:r>
      <w:r w:rsidRPr="00393AEC">
        <w:rPr>
          <w:i/>
          <w:iCs/>
          <w:vertAlign w:val="subscript"/>
          <w:lang w:val="en-GB" w:eastAsia="fr-FR"/>
        </w:rPr>
        <w:t xml:space="preserve">FS-IMT </w:t>
      </w:r>
      <w:r w:rsidRPr="00304846">
        <w:rPr>
          <w:lang w:val="en-GB" w:eastAsia="fr-FR"/>
        </w:rPr>
        <w:t xml:space="preserve">which is a function of angle </w:t>
      </w:r>
      <w:r w:rsidRPr="00304846">
        <w:rPr>
          <w:rFonts w:ascii="Symbol" w:hAnsi="Symbol"/>
          <w:lang w:val="en-GB" w:eastAsia="fr-FR"/>
        </w:rPr>
        <w:t></w:t>
      </w:r>
      <w:r w:rsidRPr="00393AEC">
        <w:rPr>
          <w:i/>
          <w:iCs/>
          <w:vertAlign w:val="subscript"/>
          <w:lang w:val="en-GB" w:eastAsia="fr-FR"/>
        </w:rPr>
        <w:t>az FS-IMT</w:t>
      </w:r>
      <w:r w:rsidRPr="00304846">
        <w:rPr>
          <w:lang w:val="en-GB" w:eastAsia="fr-FR"/>
        </w:rPr>
        <w:t xml:space="preserve"> </w:t>
      </w:r>
      <w:r w:rsidRPr="00304846">
        <w:rPr>
          <w:rFonts w:asciiTheme="majorBidi" w:hAnsiTheme="majorBidi" w:cstheme="majorBidi"/>
          <w:lang w:val="en-GB" w:eastAsia="fr-FR"/>
        </w:rPr>
        <w:t>(</w:t>
      </w:r>
      <w:r w:rsidRPr="00304846">
        <w:rPr>
          <w:rFonts w:asciiTheme="majorBidi" w:hAnsiTheme="majorBidi" w:cstheme="majorBidi"/>
          <w:color w:val="000000"/>
          <w:lang w:val="en-GB" w:eastAsia="ar-SA"/>
        </w:rPr>
        <w:t>PP FS System type 2)</w:t>
      </w:r>
    </w:p>
    <w:p w:rsidR="00AF59A0" w:rsidRPr="00304846" w:rsidRDefault="00393AEC" w:rsidP="00393AEC">
      <w:pPr>
        <w:pStyle w:val="Figure"/>
        <w:rPr>
          <w:sz w:val="20"/>
          <w:lang w:val="en-GB"/>
        </w:rPr>
      </w:pPr>
      <w:r w:rsidRPr="00304846">
        <w:rPr>
          <w:noProof/>
          <w:lang w:val="en-US" w:eastAsia="zh-CN"/>
        </w:rPr>
        <w:drawing>
          <wp:inline distT="0" distB="0" distL="0" distR="0" wp14:anchorId="5194A210" wp14:editId="4E1A251D">
            <wp:extent cx="5425440" cy="3340735"/>
            <wp:effectExtent l="0" t="0" r="3810" b="12065"/>
            <wp:docPr id="21587" name="Диаграмма 215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62BED" w:rsidRDefault="00562BED" w:rsidP="00562BED">
      <w:pPr>
        <w:pStyle w:val="FigureNo"/>
        <w:rPr>
          <w:lang w:val="en-GB"/>
        </w:rPr>
      </w:pPr>
      <w:r>
        <w:rPr>
          <w:lang w:val="en-GB"/>
        </w:rPr>
        <w:br w:type="page"/>
      </w:r>
    </w:p>
    <w:p w:rsidR="00AF59A0" w:rsidRPr="00304846" w:rsidRDefault="00AF59A0" w:rsidP="00562BED">
      <w:pPr>
        <w:pStyle w:val="FigureNo"/>
        <w:rPr>
          <w:lang w:val="en-GB"/>
        </w:rPr>
      </w:pPr>
      <w:r w:rsidRPr="00304846">
        <w:rPr>
          <w:lang w:val="en-GB"/>
        </w:rPr>
        <w:lastRenderedPageBreak/>
        <w:t>FIGURE 25</w:t>
      </w:r>
    </w:p>
    <w:p w:rsidR="00AF59A0" w:rsidRDefault="00AF59A0" w:rsidP="00562BED">
      <w:pPr>
        <w:pStyle w:val="Figuretitle"/>
        <w:rPr>
          <w:rFonts w:asciiTheme="majorBidi" w:hAnsiTheme="majorBidi" w:cstheme="majorBidi"/>
          <w:color w:val="000000"/>
          <w:lang w:val="en-GB" w:eastAsia="ar-SA"/>
        </w:rPr>
      </w:pPr>
      <w:r w:rsidRPr="00304846">
        <w:rPr>
          <w:lang w:val="en-GB"/>
        </w:rPr>
        <w:t>Required</w:t>
      </w:r>
      <w:r w:rsidR="00562BED">
        <w:rPr>
          <w:lang w:val="en-GB" w:eastAsia="fr-FR"/>
        </w:rPr>
        <w:t xml:space="preserve"> </w:t>
      </w:r>
      <w:r w:rsidR="00562BED" w:rsidRPr="00562BED">
        <w:rPr>
          <w:i/>
          <w:iCs/>
          <w:lang w:val="en-GB" w:eastAsia="fr-FR"/>
        </w:rPr>
        <w:t>d</w:t>
      </w:r>
      <w:r w:rsidRPr="00562BED">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function of angle </w:t>
      </w:r>
      <w:r w:rsidRPr="00304846">
        <w:rPr>
          <w:rFonts w:ascii="Symbol" w:hAnsi="Symbol"/>
          <w:lang w:val="en-GB" w:eastAsia="fr-FR"/>
        </w:rPr>
        <w:t></w:t>
      </w:r>
      <w:r w:rsidRPr="00562BED">
        <w:rPr>
          <w:i/>
          <w:iCs/>
          <w:vertAlign w:val="subscript"/>
          <w:lang w:val="en-GB" w:eastAsia="fr-FR"/>
        </w:rPr>
        <w:t>az FS-IMT</w:t>
      </w:r>
      <w:r w:rsidRPr="00304846">
        <w:rPr>
          <w:lang w:val="en-GB" w:eastAsia="fr-FR"/>
        </w:rPr>
        <w:t xml:space="preserve"> </w:t>
      </w:r>
      <w:r w:rsidRPr="00304846">
        <w:rPr>
          <w:rFonts w:asciiTheme="majorBidi" w:hAnsiTheme="majorBidi" w:cstheme="majorBidi"/>
          <w:lang w:val="en-GB" w:eastAsia="fr-FR"/>
        </w:rPr>
        <w:t>(</w:t>
      </w:r>
      <w:r w:rsidRPr="00304846">
        <w:rPr>
          <w:rFonts w:asciiTheme="majorBidi" w:hAnsiTheme="majorBidi" w:cstheme="majorBidi"/>
          <w:color w:val="000000"/>
          <w:lang w:val="en-GB" w:eastAsia="ar-SA"/>
        </w:rPr>
        <w:t>PP FS System type 2)</w:t>
      </w:r>
    </w:p>
    <w:p w:rsidR="00562BED" w:rsidRPr="00562BED" w:rsidRDefault="00562BED" w:rsidP="00562BED">
      <w:pPr>
        <w:pStyle w:val="Figure"/>
      </w:pPr>
      <w:r w:rsidRPr="00304846">
        <w:rPr>
          <w:noProof/>
          <w:color w:val="000000" w:themeColor="text1"/>
          <w:szCs w:val="24"/>
          <w:lang w:val="en-US" w:eastAsia="zh-CN"/>
        </w:rPr>
        <w:drawing>
          <wp:inline distT="0" distB="0" distL="0" distR="0" wp14:anchorId="5C0EB98D" wp14:editId="3BF14544">
            <wp:extent cx="5425440" cy="3060065"/>
            <wp:effectExtent l="0" t="0" r="3810" b="6985"/>
            <wp:docPr id="21586" name="Диаграмма 215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483641" w:rsidRDefault="00483641" w:rsidP="00483641"/>
    <w:p w:rsidR="00AF59A0" w:rsidRPr="00304846" w:rsidRDefault="00AF59A0" w:rsidP="00483641">
      <w:pPr>
        <w:pStyle w:val="FigureNo"/>
        <w:rPr>
          <w:lang w:val="en-GB"/>
        </w:rPr>
      </w:pPr>
      <w:r w:rsidRPr="00C42727">
        <w:rPr>
          <w:lang w:val="en-US"/>
        </w:rPr>
        <w:t>FIGURE</w:t>
      </w:r>
      <w:r w:rsidRPr="00304846">
        <w:rPr>
          <w:lang w:val="en-GB"/>
        </w:rPr>
        <w:t xml:space="preserve"> 26</w:t>
      </w:r>
    </w:p>
    <w:p w:rsidR="00AF59A0" w:rsidRPr="00304846" w:rsidRDefault="00AF59A0" w:rsidP="00483641">
      <w:pPr>
        <w:pStyle w:val="Figuretitle"/>
        <w:rPr>
          <w:lang w:val="en-GB"/>
        </w:rPr>
      </w:pPr>
      <w:r w:rsidRPr="00304846">
        <w:rPr>
          <w:lang w:val="en-GB"/>
        </w:rPr>
        <w:t>Required</w:t>
      </w:r>
      <w:r w:rsidR="0004392C">
        <w:rPr>
          <w:lang w:val="en-GB" w:eastAsia="fr-FR"/>
        </w:rPr>
        <w:t xml:space="preserve"> </w:t>
      </w:r>
      <w:r w:rsidR="0004392C" w:rsidRPr="0004392C">
        <w:rPr>
          <w:i/>
          <w:iCs/>
          <w:lang w:val="en-GB" w:eastAsia="fr-FR"/>
        </w:rPr>
        <w:t>d</w:t>
      </w:r>
      <w:r w:rsidRPr="0004392C">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w:t>
      </w:r>
      <w:r w:rsidRPr="00C42727">
        <w:rPr>
          <w:lang w:val="en-US"/>
        </w:rPr>
        <w:t>function</w:t>
      </w:r>
      <w:r w:rsidRPr="00304846">
        <w:rPr>
          <w:lang w:val="en-GB" w:eastAsia="fr-FR"/>
        </w:rPr>
        <w:t xml:space="preserve"> of angle </w:t>
      </w:r>
      <w:r w:rsidRPr="00304846">
        <w:rPr>
          <w:rFonts w:ascii="Symbol" w:hAnsi="Symbol"/>
          <w:lang w:val="en-GB" w:eastAsia="fr-FR"/>
        </w:rPr>
        <w:t></w:t>
      </w:r>
      <w:r w:rsidRPr="0004392C">
        <w:rPr>
          <w:i/>
          <w:iCs/>
          <w:vertAlign w:val="subscript"/>
          <w:lang w:val="en-GB" w:eastAsia="fr-FR"/>
        </w:rPr>
        <w:t>az FS-IMT</w:t>
      </w:r>
      <w:r w:rsidRPr="00304846">
        <w:rPr>
          <w:lang w:val="en-GB" w:eastAsia="fr-FR"/>
        </w:rPr>
        <w:t xml:space="preserve"> (</w:t>
      </w:r>
      <w:r w:rsidRPr="00304846">
        <w:rPr>
          <w:color w:val="000000"/>
          <w:lang w:val="en-GB" w:eastAsia="ar-SA"/>
        </w:rPr>
        <w:t>PP FS System type 2)</w:t>
      </w:r>
    </w:p>
    <w:p w:rsidR="00AF59A0" w:rsidRDefault="00AF59A0" w:rsidP="001E7F80">
      <w:pPr>
        <w:pStyle w:val="Figure"/>
        <w:spacing w:after="0"/>
        <w:rPr>
          <w:lang w:val="en-GB"/>
        </w:rPr>
      </w:pPr>
    </w:p>
    <w:p w:rsidR="001E7F80" w:rsidRPr="00FF34AD" w:rsidRDefault="001E7F80" w:rsidP="001E7F80">
      <w:pPr>
        <w:pStyle w:val="Figure"/>
        <w:spacing w:after="0"/>
        <w:rPr>
          <w:sz w:val="20"/>
          <w:szCs w:val="16"/>
          <w:lang w:val="en-US"/>
        </w:rPr>
      </w:pPr>
      <w:r w:rsidRPr="001E7F80">
        <w:rPr>
          <w:noProof/>
          <w:lang w:val="en-US" w:eastAsia="zh-CN"/>
        </w:rPr>
        <w:drawing>
          <wp:anchor distT="0" distB="0" distL="114300" distR="114300" simplePos="0" relativeHeight="251664896" behindDoc="0" locked="0" layoutInCell="1" allowOverlap="1" wp14:anchorId="7A667354" wp14:editId="47635806">
            <wp:simplePos x="0" y="0"/>
            <wp:positionH relativeFrom="column">
              <wp:posOffset>351130</wp:posOffset>
            </wp:positionH>
            <wp:positionV relativeFrom="paragraph">
              <wp:posOffset>396545</wp:posOffset>
            </wp:positionV>
            <wp:extent cx="5596255" cy="3084830"/>
            <wp:effectExtent l="0" t="0" r="23495" b="20320"/>
            <wp:wrapTopAndBottom/>
            <wp:docPr id="21" name="Диаграмма 215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p>
    <w:p w:rsidR="001E7F80" w:rsidRPr="001E7F80" w:rsidRDefault="001E7F80" w:rsidP="001E7F80">
      <w:pPr>
        <w:rPr>
          <w:lang w:val="en-GB"/>
        </w:rPr>
      </w:pPr>
    </w:p>
    <w:p w:rsidR="00D3106D" w:rsidRPr="002330EA" w:rsidRDefault="00D3106D" w:rsidP="00D3106D">
      <w:pPr>
        <w:pStyle w:val="FigureNo"/>
        <w:rPr>
          <w:lang w:val="en-US"/>
        </w:rPr>
      </w:pPr>
      <w:r w:rsidRPr="002330EA">
        <w:rPr>
          <w:lang w:val="en-US"/>
        </w:rPr>
        <w:br w:type="page"/>
      </w:r>
    </w:p>
    <w:p w:rsidR="00AF59A0" w:rsidRPr="00304846" w:rsidRDefault="00AF59A0" w:rsidP="00D3106D">
      <w:pPr>
        <w:pStyle w:val="FigureNo"/>
        <w:rPr>
          <w:lang w:val="en-GB"/>
        </w:rPr>
      </w:pPr>
      <w:r w:rsidRPr="00D3106D">
        <w:rPr>
          <w:lang w:val="en-US"/>
        </w:rPr>
        <w:lastRenderedPageBreak/>
        <w:t>FIGURE</w:t>
      </w:r>
      <w:r w:rsidRPr="00304846">
        <w:rPr>
          <w:lang w:val="en-GB"/>
        </w:rPr>
        <w:t xml:space="preserve"> 27</w:t>
      </w:r>
    </w:p>
    <w:p w:rsidR="00AF59A0" w:rsidRPr="00304846" w:rsidRDefault="00AF59A0" w:rsidP="00AD774B">
      <w:pPr>
        <w:pStyle w:val="Figuretitle"/>
        <w:rPr>
          <w:rFonts w:asciiTheme="minorHAnsi" w:hAnsiTheme="minorHAnsi" w:cstheme="minorHAnsi"/>
          <w:color w:val="000000"/>
          <w:lang w:val="en-GB" w:eastAsia="ar-SA"/>
        </w:rPr>
      </w:pPr>
      <w:r w:rsidRPr="00304846">
        <w:rPr>
          <w:lang w:val="en-GB"/>
        </w:rPr>
        <w:t>Required</w:t>
      </w:r>
      <w:r w:rsidRPr="00304846">
        <w:rPr>
          <w:rFonts w:asciiTheme="minorHAnsi" w:hAnsiTheme="minorHAnsi" w:cstheme="minorHAnsi"/>
          <w:lang w:val="en-GB" w:eastAsia="fr-FR"/>
        </w:rPr>
        <w:t xml:space="preserve"> </w:t>
      </w:r>
      <w:r w:rsidR="00AD774B" w:rsidRPr="0004392C">
        <w:rPr>
          <w:i/>
          <w:iCs/>
          <w:lang w:val="en-GB" w:eastAsia="fr-FR"/>
        </w:rPr>
        <w:t>d</w:t>
      </w:r>
      <w:r w:rsidR="00AD774B" w:rsidRPr="0004392C">
        <w:rPr>
          <w:i/>
          <w:iCs/>
          <w:vertAlign w:val="subscript"/>
          <w:lang w:val="en-GB" w:eastAsia="fr-FR"/>
        </w:rPr>
        <w:t>FS-IMT</w:t>
      </w:r>
      <w:r w:rsidR="00AD774B" w:rsidRPr="00304846">
        <w:rPr>
          <w:vertAlign w:val="subscript"/>
          <w:lang w:val="en-GB" w:eastAsia="fr-FR"/>
        </w:rPr>
        <w:t xml:space="preserve"> </w:t>
      </w:r>
      <w:r w:rsidRPr="00304846">
        <w:rPr>
          <w:lang w:val="en-GB" w:eastAsia="fr-FR"/>
        </w:rPr>
        <w:t xml:space="preserve">which is a function of </w:t>
      </w:r>
      <w:r w:rsidRPr="00D3106D">
        <w:rPr>
          <w:lang w:val="en-US"/>
        </w:rPr>
        <w:t>angle</w:t>
      </w:r>
      <w:r w:rsidRPr="00304846">
        <w:rPr>
          <w:lang w:val="en-GB" w:eastAsia="fr-FR"/>
        </w:rPr>
        <w:t xml:space="preserve"> </w:t>
      </w:r>
      <w:r w:rsidR="00AD774B" w:rsidRPr="00304846">
        <w:rPr>
          <w:rFonts w:ascii="Symbol" w:hAnsi="Symbol"/>
          <w:lang w:val="en-GB" w:eastAsia="fr-FR"/>
        </w:rPr>
        <w:t></w:t>
      </w:r>
      <w:r w:rsidR="00AD774B" w:rsidRPr="0004392C">
        <w:rPr>
          <w:i/>
          <w:iCs/>
          <w:vertAlign w:val="subscript"/>
          <w:lang w:val="en-GB" w:eastAsia="fr-FR"/>
        </w:rPr>
        <w:t>az FS-IMT</w:t>
      </w:r>
      <w:r w:rsidR="00AD774B" w:rsidRPr="00304846">
        <w:rPr>
          <w:lang w:val="en-GB" w:eastAsia="fr-FR"/>
        </w:rPr>
        <w:t xml:space="preserve"> </w:t>
      </w:r>
      <w:r w:rsidRPr="00304846">
        <w:rPr>
          <w:lang w:val="en-GB" w:eastAsia="fr-FR"/>
        </w:rPr>
        <w:t>(</w:t>
      </w:r>
      <w:r w:rsidRPr="00304846">
        <w:rPr>
          <w:color w:val="000000"/>
          <w:lang w:val="en-GB" w:eastAsia="ar-SA"/>
        </w:rPr>
        <w:t>PP FS System type 2)</w:t>
      </w:r>
    </w:p>
    <w:p w:rsidR="00D3106D" w:rsidRDefault="00D3106D" w:rsidP="00D3106D">
      <w:pPr>
        <w:pStyle w:val="Figure"/>
        <w:rPr>
          <w:lang w:val="en-GB" w:eastAsia="fr-FR"/>
        </w:rPr>
      </w:pPr>
      <w:r w:rsidRPr="00D3106D">
        <w:rPr>
          <w:noProof/>
          <w:lang w:val="en-US" w:eastAsia="zh-CN"/>
        </w:rPr>
        <w:drawing>
          <wp:inline distT="0" distB="0" distL="0" distR="0" wp14:anchorId="25796228" wp14:editId="3CB76482">
            <wp:extent cx="5596255" cy="3212465"/>
            <wp:effectExtent l="0" t="0" r="4445" b="6985"/>
            <wp:docPr id="21584" name="Диаграмма 215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679EE" w:rsidRDefault="00D679EE" w:rsidP="00D679EE">
      <w:pPr>
        <w:rPr>
          <w:lang w:val="en-GB" w:eastAsia="fr-FR"/>
        </w:rPr>
      </w:pPr>
    </w:p>
    <w:p w:rsidR="00AF59A0" w:rsidRPr="00304846" w:rsidRDefault="00AF59A0" w:rsidP="00C24737">
      <w:pPr>
        <w:pStyle w:val="Heading4"/>
        <w:rPr>
          <w:lang w:val="en-GB"/>
        </w:rPr>
      </w:pPr>
      <w:r w:rsidRPr="00304846">
        <w:rPr>
          <w:lang w:val="en-GB" w:eastAsia="fr-FR"/>
        </w:rPr>
        <w:t>4.3.1.2</w:t>
      </w:r>
      <w:r w:rsidRPr="00304846">
        <w:rPr>
          <w:lang w:val="en-GB" w:eastAsia="fr-FR"/>
        </w:rPr>
        <w:tab/>
        <w:t>Case #2.2 (</w:t>
      </w:r>
      <w:r w:rsidRPr="00304846">
        <w:rPr>
          <w:lang w:val="en-GB"/>
        </w:rPr>
        <w:t>(</w:t>
      </w:r>
      <w:r w:rsidRPr="00304846">
        <w:rPr>
          <w:i/>
          <w:iCs/>
          <w:lang w:val="en-GB"/>
        </w:rPr>
        <w:t>C</w:t>
      </w:r>
      <w:r w:rsidRPr="00304846">
        <w:rPr>
          <w:lang w:val="en-GB"/>
        </w:rPr>
        <w:t>/</w:t>
      </w:r>
      <w:r w:rsidRPr="00304846">
        <w:rPr>
          <w:i/>
          <w:iCs/>
          <w:lang w:val="en-GB"/>
        </w:rPr>
        <w:t>I</w:t>
      </w:r>
      <w:r w:rsidRPr="00304846">
        <w:rPr>
          <w:lang w:val="en-GB"/>
        </w:rPr>
        <w:t>)</w:t>
      </w:r>
      <w:r w:rsidRPr="00304846">
        <w:rPr>
          <w:i/>
          <w:iCs/>
          <w:vertAlign w:val="subscript"/>
          <w:lang w:val="en-GB"/>
        </w:rPr>
        <w:t>required</w:t>
      </w:r>
      <w:r w:rsidRPr="00304846">
        <w:rPr>
          <w:lang w:val="en-GB"/>
        </w:rPr>
        <w:t xml:space="preserve"> = 40 dB)</w:t>
      </w:r>
    </w:p>
    <w:p w:rsidR="00AF59A0" w:rsidRPr="00304846" w:rsidRDefault="00AF59A0" w:rsidP="00F20184">
      <w:pPr>
        <w:rPr>
          <w:rFonts w:asciiTheme="majorBidi" w:hAnsiTheme="majorBidi" w:cstheme="majorBidi"/>
          <w:szCs w:val="24"/>
          <w:lang w:val="en-GB" w:eastAsia="fr-FR"/>
        </w:rPr>
      </w:pPr>
      <w:r w:rsidRPr="00304846">
        <w:rPr>
          <w:rFonts w:asciiTheme="majorBidi" w:hAnsiTheme="majorBidi" w:cstheme="majorBidi"/>
          <w:lang w:val="en-GB"/>
        </w:rPr>
        <w:t>The results of the required</w:t>
      </w:r>
      <w:r w:rsidRPr="00304846">
        <w:rPr>
          <w:rFonts w:asciiTheme="majorBidi" w:hAnsiTheme="majorBidi" w:cstheme="majorBidi"/>
          <w:lang w:val="en-GB" w:eastAsia="fr-FR"/>
        </w:rPr>
        <w:t xml:space="preserve"> </w:t>
      </w:r>
      <w:r w:rsidRPr="00304846">
        <w:rPr>
          <w:rFonts w:asciiTheme="majorBidi" w:hAnsiTheme="majorBidi" w:cstheme="majorBidi"/>
          <w:lang w:val="en-GB"/>
        </w:rPr>
        <w:t xml:space="preserve">distance between the </w:t>
      </w:r>
      <w:r w:rsidRPr="00304846">
        <w:rPr>
          <w:rFonts w:asciiTheme="majorBidi" w:hAnsiTheme="majorBidi" w:cstheme="majorBidi"/>
          <w:lang w:val="en-GB" w:eastAsia="fr-FR"/>
        </w:rPr>
        <w:t>interfering transmitter base station IMT systems</w:t>
      </w:r>
      <w:r w:rsidRPr="00304846">
        <w:rPr>
          <w:rFonts w:asciiTheme="majorBidi" w:hAnsiTheme="majorBidi" w:cstheme="majorBidi"/>
          <w:lang w:val="en-GB"/>
        </w:rPr>
        <w:t xml:space="preserve"> and the </w:t>
      </w:r>
      <w:r w:rsidRPr="00304846">
        <w:rPr>
          <w:rFonts w:asciiTheme="majorBidi" w:hAnsiTheme="majorBidi" w:cstheme="majorBidi"/>
          <w:lang w:val="en-GB" w:eastAsia="fr-FR"/>
        </w:rPr>
        <w:t xml:space="preserve">interfered receiver point-to-point FS systems </w:t>
      </w:r>
      <w:r w:rsidRPr="00304846">
        <w:rPr>
          <w:rFonts w:asciiTheme="majorBidi" w:hAnsiTheme="majorBidi" w:cstheme="majorBidi"/>
          <w:i/>
          <w:iCs/>
          <w:lang w:val="en-GB" w:eastAsia="fr-FR"/>
        </w:rPr>
        <w:t>d</w:t>
      </w:r>
      <w:r w:rsidRPr="00304846">
        <w:rPr>
          <w:rFonts w:asciiTheme="majorBidi" w:hAnsiTheme="majorBidi" w:cstheme="majorBidi"/>
          <w:i/>
          <w:iCs/>
          <w:vertAlign w:val="subscript"/>
          <w:lang w:val="en-GB" w:eastAsia="fr-FR"/>
        </w:rPr>
        <w:t>FS-IMT</w:t>
      </w:r>
      <w:r w:rsidRPr="00304846">
        <w:rPr>
          <w:rFonts w:asciiTheme="majorBidi" w:hAnsiTheme="majorBidi" w:cstheme="majorBidi"/>
          <w:vertAlign w:val="subscript"/>
          <w:lang w:val="en-GB" w:eastAsia="fr-FR"/>
        </w:rPr>
        <w:t xml:space="preserve"> </w:t>
      </w:r>
      <w:r w:rsidRPr="00304846">
        <w:rPr>
          <w:rFonts w:asciiTheme="majorBidi" w:hAnsiTheme="majorBidi" w:cstheme="majorBidi"/>
          <w:lang w:val="en-GB" w:eastAsia="fr-FR"/>
        </w:rPr>
        <w:t xml:space="preserve">which is a function of angle between the main axis of the point-to-point FS system and the axis between the base station IMT system and the point-to-point FS system </w:t>
      </w:r>
      <w:r w:rsidRPr="00304846">
        <w:rPr>
          <w:rFonts w:ascii="Symbol" w:hAnsi="Symbol" w:cstheme="majorBidi"/>
          <w:lang w:val="en-GB" w:eastAsia="fr-FR"/>
        </w:rPr>
        <w:t></w:t>
      </w:r>
      <w:r w:rsidRPr="00304846">
        <w:rPr>
          <w:rFonts w:asciiTheme="majorBidi" w:hAnsiTheme="majorBidi" w:cstheme="majorBidi"/>
          <w:i/>
          <w:iCs/>
          <w:vertAlign w:val="subscript"/>
          <w:lang w:val="en-GB" w:eastAsia="fr-FR"/>
        </w:rPr>
        <w:t>az FS-IMT</w:t>
      </w:r>
      <w:r w:rsidRPr="00304846">
        <w:rPr>
          <w:rFonts w:asciiTheme="majorBidi" w:hAnsiTheme="majorBidi" w:cstheme="majorBidi"/>
          <w:lang w:val="en-GB" w:eastAsia="fr-FR"/>
        </w:rPr>
        <w:t xml:space="preserve"> </w:t>
      </w:r>
      <w:r w:rsidRPr="00304846">
        <w:rPr>
          <w:rFonts w:asciiTheme="majorBidi" w:hAnsiTheme="majorBidi" w:cstheme="majorBidi"/>
          <w:lang w:val="en-GB"/>
        </w:rPr>
        <w:t>are provided in Figs 28</w:t>
      </w:r>
      <w:r w:rsidR="00F20184" w:rsidRPr="00304846">
        <w:rPr>
          <w:rFonts w:asciiTheme="majorBidi" w:hAnsiTheme="majorBidi" w:cstheme="majorBidi"/>
          <w:lang w:val="en-GB"/>
        </w:rPr>
        <w:t xml:space="preserve"> to </w:t>
      </w:r>
      <w:r w:rsidRPr="00304846">
        <w:rPr>
          <w:rFonts w:asciiTheme="majorBidi" w:hAnsiTheme="majorBidi" w:cstheme="majorBidi"/>
          <w:lang w:val="en-GB"/>
        </w:rPr>
        <w:t xml:space="preserve">39. (Link Length = 10, 30, 50, 70 km; </w:t>
      </w:r>
      <w:r w:rsidRPr="00304846">
        <w:rPr>
          <w:rFonts w:asciiTheme="majorBidi" w:hAnsiTheme="majorBidi" w:cstheme="majorBidi"/>
          <w:i/>
          <w:iCs/>
          <w:lang w:val="en-GB"/>
        </w:rPr>
        <w:t>A</w:t>
      </w:r>
      <w:r w:rsidRPr="00304846">
        <w:rPr>
          <w:rFonts w:asciiTheme="majorBidi" w:hAnsiTheme="majorBidi" w:cstheme="majorBidi"/>
          <w:i/>
          <w:iCs/>
          <w:vertAlign w:val="subscript"/>
          <w:lang w:val="en-GB"/>
        </w:rPr>
        <w:t>hTx</w:t>
      </w:r>
      <w:r w:rsidRPr="00304846">
        <w:rPr>
          <w:rFonts w:asciiTheme="majorBidi" w:hAnsiTheme="majorBidi" w:cstheme="majorBidi"/>
          <w:lang w:val="en-GB"/>
        </w:rPr>
        <w:t xml:space="preserve"> = 0, 10, 19 dB;</w:t>
      </w:r>
      <w:r w:rsidRPr="00304846">
        <w:rPr>
          <w:rFonts w:asciiTheme="majorBidi" w:hAnsiTheme="majorBidi" w:cstheme="majorBidi"/>
          <w:b/>
          <w:bCs/>
          <w:sz w:val="14"/>
          <w:szCs w:val="14"/>
          <w:lang w:val="en-GB"/>
        </w:rPr>
        <w:t xml:space="preserve"> </w:t>
      </w:r>
      <w:r w:rsidRPr="00304846">
        <w:rPr>
          <w:rFonts w:asciiTheme="majorBidi" w:hAnsiTheme="majorBidi" w:cstheme="majorBidi"/>
          <w:bCs/>
          <w:lang w:val="en-GB"/>
        </w:rPr>
        <w:t>Co</w:t>
      </w:r>
      <w:r w:rsidRPr="00304846">
        <w:rPr>
          <w:rFonts w:asciiTheme="majorBidi" w:hAnsiTheme="majorBidi" w:cstheme="majorBidi"/>
          <w:bCs/>
          <w:lang w:val="en-GB"/>
        </w:rPr>
        <w:noBreakHyphen/>
        <w:t>channel (</w:t>
      </w:r>
      <w:r w:rsidRPr="00304846">
        <w:rPr>
          <w:rFonts w:asciiTheme="majorBidi" w:hAnsiTheme="majorBidi" w:cstheme="majorBidi"/>
          <w:bCs/>
          <w:i/>
          <w:iCs/>
          <w:lang w:val="en-GB"/>
        </w:rPr>
        <w:t>MD</w:t>
      </w:r>
      <w:r w:rsidR="00F20184" w:rsidRPr="00304846">
        <w:rPr>
          <w:rFonts w:asciiTheme="majorBidi" w:hAnsiTheme="majorBidi" w:cstheme="majorBidi"/>
          <w:bCs/>
          <w:lang w:val="en-GB"/>
        </w:rPr>
        <w:t xml:space="preserve"> </w:t>
      </w:r>
      <w:r w:rsidRPr="00304846">
        <w:rPr>
          <w:rFonts w:asciiTheme="majorBidi" w:hAnsiTheme="majorBidi" w:cstheme="majorBidi"/>
          <w:bCs/>
          <w:lang w:val="en-GB"/>
        </w:rPr>
        <w:t>+</w:t>
      </w:r>
      <w:r w:rsidR="00F20184" w:rsidRPr="00304846">
        <w:rPr>
          <w:rFonts w:asciiTheme="majorBidi" w:hAnsiTheme="majorBidi" w:cstheme="majorBidi"/>
          <w:bCs/>
          <w:lang w:val="en-GB"/>
        </w:rPr>
        <w:t xml:space="preserve"> </w:t>
      </w:r>
      <w:r w:rsidRPr="00304846">
        <w:rPr>
          <w:rFonts w:asciiTheme="majorBidi" w:hAnsiTheme="majorBidi" w:cstheme="majorBidi"/>
          <w:bCs/>
          <w:i/>
          <w:iCs/>
          <w:lang w:val="en-GB"/>
        </w:rPr>
        <w:t>NFD</w:t>
      </w:r>
      <w:r w:rsidRPr="00304846">
        <w:rPr>
          <w:rFonts w:asciiTheme="majorBidi" w:hAnsiTheme="majorBidi" w:cstheme="majorBidi"/>
          <w:bCs/>
          <w:lang w:val="en-GB"/>
        </w:rPr>
        <w:t>(</w:t>
      </w:r>
      <w:r w:rsidRPr="00304846">
        <w:rPr>
          <w:rFonts w:ascii="Symbol" w:hAnsi="Symbol" w:cstheme="majorBidi"/>
          <w:bCs/>
          <w:lang w:val="en-GB"/>
        </w:rPr>
        <w:t></w:t>
      </w:r>
      <w:r w:rsidRPr="00304846">
        <w:rPr>
          <w:rFonts w:asciiTheme="majorBidi" w:hAnsiTheme="majorBidi" w:cstheme="majorBidi"/>
          <w:bCs/>
          <w:i/>
          <w:iCs/>
          <w:lang w:val="en-GB"/>
        </w:rPr>
        <w:t>D</w:t>
      </w:r>
      <w:r w:rsidR="00F20184" w:rsidRPr="00304846">
        <w:rPr>
          <w:rFonts w:asciiTheme="majorBidi" w:hAnsiTheme="majorBidi" w:cstheme="majorBidi"/>
          <w:bCs/>
          <w:lang w:val="en-GB"/>
        </w:rPr>
        <w:t xml:space="preserve"> </w:t>
      </w:r>
      <w:r w:rsidRPr="00304846">
        <w:rPr>
          <w:rFonts w:asciiTheme="majorBidi" w:hAnsiTheme="majorBidi" w:cstheme="majorBidi"/>
          <w:bCs/>
          <w:lang w:val="en-GB"/>
        </w:rPr>
        <w:t>+</w:t>
      </w:r>
      <w:r w:rsidR="00F20184" w:rsidRPr="00304846">
        <w:rPr>
          <w:rFonts w:asciiTheme="majorBidi" w:hAnsiTheme="majorBidi" w:cstheme="majorBidi"/>
          <w:bCs/>
          <w:lang w:val="en-GB"/>
        </w:rPr>
        <w:t xml:space="preserve"> </w:t>
      </w:r>
      <w:r w:rsidRPr="00304846">
        <w:rPr>
          <w:rFonts w:asciiTheme="majorBidi" w:hAnsiTheme="majorBidi" w:cstheme="majorBidi"/>
          <w:bCs/>
          <w:i/>
          <w:iCs/>
          <w:lang w:val="en-GB"/>
        </w:rPr>
        <w:t>NFD</w:t>
      </w:r>
      <w:r w:rsidRPr="00304846">
        <w:rPr>
          <w:rFonts w:asciiTheme="majorBidi" w:hAnsiTheme="majorBidi" w:cstheme="majorBidi"/>
          <w:bCs/>
          <w:lang w:val="en-GB"/>
        </w:rPr>
        <w:t>(l ( (First adjacent channel (</w:t>
      </w:r>
      <w:r w:rsidRPr="00304846">
        <w:rPr>
          <w:rFonts w:asciiTheme="majorBidi" w:hAnsiTheme="majorBidi" w:cstheme="majorBidi"/>
          <w:bCs/>
          <w:i/>
          <w:iCs/>
          <w:lang w:val="en-GB"/>
        </w:rPr>
        <w:t>MD</w:t>
      </w:r>
      <w:r w:rsidR="00F20184" w:rsidRPr="00304846">
        <w:rPr>
          <w:rFonts w:asciiTheme="majorBidi" w:hAnsiTheme="majorBidi" w:cstheme="majorBidi"/>
          <w:bCs/>
          <w:lang w:val="en-GB"/>
        </w:rPr>
        <w:t xml:space="preserve"> </w:t>
      </w:r>
      <w:r w:rsidRPr="00304846">
        <w:rPr>
          <w:rFonts w:asciiTheme="majorBidi" w:hAnsiTheme="majorBidi" w:cstheme="majorBidi"/>
          <w:bCs/>
          <w:lang w:val="en-GB"/>
        </w:rPr>
        <w:t>+</w:t>
      </w:r>
      <w:r w:rsidR="00F20184" w:rsidRPr="00304846">
        <w:rPr>
          <w:rFonts w:asciiTheme="majorBidi" w:hAnsiTheme="majorBidi" w:cstheme="majorBidi"/>
          <w:bCs/>
          <w:lang w:val="en-GB"/>
        </w:rPr>
        <w:t xml:space="preserve"> </w:t>
      </w:r>
      <w:r w:rsidRPr="00304846">
        <w:rPr>
          <w:rFonts w:asciiTheme="majorBidi" w:hAnsiTheme="majorBidi" w:cstheme="majorBidi"/>
          <w:bCs/>
          <w:i/>
          <w:iCs/>
          <w:lang w:val="en-GB"/>
        </w:rPr>
        <w:t>NFD</w:t>
      </w:r>
      <w:r w:rsidRPr="00304846">
        <w:rPr>
          <w:rFonts w:asciiTheme="majorBidi" w:hAnsiTheme="majorBidi" w:cstheme="majorBidi"/>
          <w:bCs/>
          <w:lang w:val="en-GB"/>
        </w:rPr>
        <w:t>(</w:t>
      </w:r>
      <w:r w:rsidRPr="00304846">
        <w:rPr>
          <w:rFonts w:ascii="Symbol" w:hAnsi="Symbol" w:cstheme="majorBidi"/>
          <w:bCs/>
          <w:lang w:val="en-GB"/>
        </w:rPr>
        <w:t></w:t>
      </w:r>
      <w:r w:rsidRPr="00304846">
        <w:rPr>
          <w:rFonts w:asciiTheme="majorBidi" w:hAnsiTheme="majorBidi" w:cstheme="majorBidi"/>
          <w:bCs/>
          <w:i/>
          <w:iCs/>
          <w:lang w:val="en-GB"/>
        </w:rPr>
        <w:t>D</w:t>
      </w:r>
      <w:r w:rsidR="00F20184" w:rsidRPr="00304846">
        <w:rPr>
          <w:rFonts w:asciiTheme="majorBidi" w:hAnsiTheme="majorBidi" w:cstheme="majorBidi"/>
          <w:bCs/>
          <w:lang w:val="en-GB"/>
        </w:rPr>
        <w:t xml:space="preserve"> </w:t>
      </w:r>
      <w:r w:rsidRPr="00304846">
        <w:rPr>
          <w:rFonts w:asciiTheme="majorBidi" w:hAnsiTheme="majorBidi" w:cstheme="majorBidi"/>
          <w:bCs/>
          <w:lang w:val="en-GB"/>
        </w:rPr>
        <w:t>+</w:t>
      </w:r>
      <w:r w:rsidR="00F20184" w:rsidRPr="00304846">
        <w:rPr>
          <w:rFonts w:asciiTheme="majorBidi" w:hAnsiTheme="majorBidi" w:cstheme="majorBidi"/>
          <w:bCs/>
          <w:lang w:val="en-GB"/>
        </w:rPr>
        <w:t xml:space="preserve"> </w:t>
      </w:r>
      <w:r w:rsidRPr="00304846">
        <w:rPr>
          <w:rFonts w:asciiTheme="majorBidi" w:hAnsiTheme="majorBidi" w:cstheme="majorBidi"/>
          <w:bCs/>
          <w:i/>
          <w:iCs/>
          <w:lang w:val="en-GB"/>
        </w:rPr>
        <w:t>NFD</w:t>
      </w:r>
      <w:r w:rsidRPr="00304846">
        <w:rPr>
          <w:rFonts w:asciiTheme="majorBidi" w:hAnsiTheme="majorBidi" w:cstheme="majorBidi"/>
          <w:bCs/>
          <w:lang w:val="en-GB"/>
        </w:rPr>
        <w:t>(djac</w:t>
      </w:r>
      <w:r w:rsidRPr="00304846">
        <w:rPr>
          <w:rFonts w:asciiTheme="majorBidi" w:hAnsiTheme="majorBidi" w:cstheme="majorBidi"/>
          <w:lang w:val="en-GB"/>
        </w:rPr>
        <w:t>).</w:t>
      </w:r>
    </w:p>
    <w:p w:rsidR="00AF59A0" w:rsidRPr="00304846" w:rsidRDefault="00AF59A0" w:rsidP="00D679EE">
      <w:pPr>
        <w:pStyle w:val="FigureNo"/>
        <w:rPr>
          <w:lang w:val="en-GB"/>
        </w:rPr>
      </w:pPr>
      <w:r w:rsidRPr="00304846">
        <w:rPr>
          <w:lang w:val="en-GB"/>
        </w:rPr>
        <w:t>FIGURE 28</w:t>
      </w:r>
    </w:p>
    <w:p w:rsidR="00AF59A0" w:rsidRDefault="00AF59A0" w:rsidP="00BE2E8F">
      <w:pPr>
        <w:pStyle w:val="Figuretitle"/>
        <w:rPr>
          <w:color w:val="000000"/>
          <w:lang w:val="en-GB" w:eastAsia="ar-SA"/>
        </w:rPr>
      </w:pPr>
      <w:r w:rsidRPr="00304846">
        <w:rPr>
          <w:lang w:val="en-GB"/>
        </w:rPr>
        <w:t>Required</w:t>
      </w:r>
      <w:r w:rsidRPr="00304846">
        <w:rPr>
          <w:rFonts w:asciiTheme="minorHAnsi" w:hAnsiTheme="minorHAnsi" w:cstheme="minorHAnsi"/>
          <w:lang w:val="en-GB" w:eastAsia="fr-FR"/>
        </w:rPr>
        <w:t xml:space="preserve"> </w:t>
      </w:r>
      <w:r w:rsidR="00BE2E8F" w:rsidRPr="006C2BAD">
        <w:rPr>
          <w:i/>
          <w:iCs/>
          <w:lang w:val="en-GB" w:eastAsia="fr-FR"/>
        </w:rPr>
        <w:t>d</w:t>
      </w:r>
      <w:r w:rsidR="00BE2E8F" w:rsidRPr="006C2BAD">
        <w:rPr>
          <w:i/>
          <w:iCs/>
          <w:vertAlign w:val="subscript"/>
          <w:lang w:val="en-GB" w:eastAsia="fr-FR"/>
        </w:rPr>
        <w:t>FS-IMT</w:t>
      </w:r>
      <w:r w:rsidR="00BE2E8F" w:rsidRPr="00304846">
        <w:rPr>
          <w:vertAlign w:val="subscript"/>
          <w:lang w:val="en-GB" w:eastAsia="fr-FR"/>
        </w:rPr>
        <w:t xml:space="preserve"> </w:t>
      </w:r>
      <w:r w:rsidRPr="00304846">
        <w:rPr>
          <w:lang w:val="en-GB" w:eastAsia="fr-FR"/>
        </w:rPr>
        <w:t xml:space="preserve">which is a function of angle </w:t>
      </w:r>
      <w:r w:rsidR="00AD774B" w:rsidRPr="00304846">
        <w:rPr>
          <w:rFonts w:ascii="Symbol" w:hAnsi="Symbol"/>
          <w:lang w:val="en-GB" w:eastAsia="fr-FR"/>
        </w:rPr>
        <w:t></w:t>
      </w:r>
      <w:r w:rsidR="00AD774B" w:rsidRPr="0004392C">
        <w:rPr>
          <w:i/>
          <w:iCs/>
          <w:vertAlign w:val="subscript"/>
          <w:lang w:val="en-GB" w:eastAsia="fr-FR"/>
        </w:rPr>
        <w:t>az FS-IMT</w:t>
      </w:r>
      <w:r w:rsidR="00AD774B" w:rsidRPr="00304846">
        <w:rPr>
          <w:lang w:val="en-GB" w:eastAsia="fr-FR"/>
        </w:rPr>
        <w:t xml:space="preserve"> </w:t>
      </w:r>
      <w:r w:rsidRPr="00304846">
        <w:rPr>
          <w:lang w:val="en-GB" w:eastAsia="fr-FR"/>
        </w:rPr>
        <w:t>(</w:t>
      </w:r>
      <w:r w:rsidRPr="00304846">
        <w:rPr>
          <w:color w:val="000000"/>
          <w:lang w:val="en-GB" w:eastAsia="ar-SA"/>
        </w:rPr>
        <w:t>PP FS System type 1)</w:t>
      </w:r>
    </w:p>
    <w:p w:rsidR="00D679EE" w:rsidRPr="00D679EE" w:rsidRDefault="00D679EE" w:rsidP="00D679EE">
      <w:pPr>
        <w:pStyle w:val="Figure"/>
      </w:pPr>
      <w:r w:rsidRPr="00304846">
        <w:rPr>
          <w:noProof/>
          <w:color w:val="000000" w:themeColor="text1"/>
          <w:szCs w:val="24"/>
          <w:lang w:val="en-US" w:eastAsia="zh-CN"/>
        </w:rPr>
        <w:drawing>
          <wp:inline distT="0" distB="0" distL="0" distR="0" wp14:anchorId="6297B01B" wp14:editId="704BF6B0">
            <wp:extent cx="5443855" cy="2865120"/>
            <wp:effectExtent l="0" t="0" r="4445" b="11430"/>
            <wp:docPr id="21583" name="Диаграмма 215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AF59A0" w:rsidRPr="00304846" w:rsidRDefault="00AF59A0" w:rsidP="00AF59A0">
      <w:pPr>
        <w:pStyle w:val="FigureNo"/>
        <w:rPr>
          <w:lang w:val="en-GB"/>
        </w:rPr>
      </w:pPr>
      <w:r w:rsidRPr="00304846">
        <w:rPr>
          <w:lang w:val="en-GB"/>
        </w:rPr>
        <w:lastRenderedPageBreak/>
        <w:t>FIGURE 29</w:t>
      </w:r>
    </w:p>
    <w:p w:rsidR="00AF59A0" w:rsidRPr="00304846" w:rsidRDefault="00AF59A0" w:rsidP="006C2BAD">
      <w:pPr>
        <w:pStyle w:val="Figuretitle"/>
        <w:rPr>
          <w:lang w:val="en-GB" w:eastAsia="ar-SA"/>
        </w:rPr>
      </w:pPr>
      <w:r w:rsidRPr="00304846">
        <w:rPr>
          <w:lang w:val="en-GB"/>
        </w:rPr>
        <w:t>Required</w:t>
      </w:r>
      <w:r w:rsidR="006C2BAD">
        <w:rPr>
          <w:lang w:val="en-GB" w:eastAsia="fr-FR"/>
        </w:rPr>
        <w:t xml:space="preserve"> </w:t>
      </w:r>
      <w:r w:rsidR="006C2BAD" w:rsidRPr="006C2BAD">
        <w:rPr>
          <w:i/>
          <w:iCs/>
          <w:lang w:val="en-GB" w:eastAsia="fr-FR"/>
        </w:rPr>
        <w:t>d</w:t>
      </w:r>
      <w:r w:rsidRPr="006C2BAD">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function of angle </w:t>
      </w:r>
      <w:r w:rsidRPr="00304846">
        <w:rPr>
          <w:rFonts w:ascii="Symbol" w:hAnsi="Symbol"/>
          <w:lang w:val="en-GB" w:eastAsia="fr-FR"/>
        </w:rPr>
        <w:t></w:t>
      </w:r>
      <w:r w:rsidRPr="006C2BAD">
        <w:rPr>
          <w:i/>
          <w:iCs/>
          <w:vertAlign w:val="subscript"/>
          <w:lang w:val="en-GB" w:eastAsia="fr-FR"/>
        </w:rPr>
        <w:t>az FS-IMT</w:t>
      </w:r>
      <w:r w:rsidRPr="00304846">
        <w:rPr>
          <w:lang w:val="en-GB" w:eastAsia="fr-FR"/>
        </w:rPr>
        <w:t xml:space="preserve"> (</w:t>
      </w:r>
      <w:r w:rsidRPr="00304846">
        <w:rPr>
          <w:color w:val="000000"/>
          <w:lang w:val="en-GB" w:eastAsia="ar-SA"/>
        </w:rPr>
        <w:t>PP FS System type 1)</w:t>
      </w:r>
    </w:p>
    <w:p w:rsidR="00AF59A0" w:rsidRPr="00304846" w:rsidRDefault="004C0AC9" w:rsidP="004C0AC9">
      <w:pPr>
        <w:pStyle w:val="Figure"/>
        <w:rPr>
          <w:lang w:val="en-GB"/>
        </w:rPr>
      </w:pPr>
      <w:r w:rsidRPr="00304846">
        <w:rPr>
          <w:rFonts w:eastAsia="MS Mincho" w:cs="Angsana New"/>
          <w:noProof/>
          <w:color w:val="000000" w:themeColor="text1"/>
          <w:sz w:val="14"/>
          <w:lang w:val="en-US" w:eastAsia="zh-CN"/>
        </w:rPr>
        <w:drawing>
          <wp:inline distT="0" distB="0" distL="0" distR="0" wp14:anchorId="2D43B9F2" wp14:editId="1A414412">
            <wp:extent cx="5285105" cy="2780030"/>
            <wp:effectExtent l="0" t="0" r="10795" b="1270"/>
            <wp:docPr id="21582" name="Диаграмма 215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6824BC" w:rsidRDefault="006824BC" w:rsidP="006824BC">
      <w:pPr>
        <w:rPr>
          <w:lang w:val="en-GB"/>
        </w:rPr>
      </w:pPr>
    </w:p>
    <w:p w:rsidR="00AF59A0" w:rsidRPr="00304846" w:rsidRDefault="00AF59A0" w:rsidP="00AF59A0">
      <w:pPr>
        <w:pStyle w:val="FigureNo"/>
        <w:rPr>
          <w:lang w:val="en-GB"/>
        </w:rPr>
      </w:pPr>
      <w:r w:rsidRPr="00304846">
        <w:rPr>
          <w:lang w:val="en-GB"/>
        </w:rPr>
        <w:t>FIGURE 30</w:t>
      </w:r>
    </w:p>
    <w:p w:rsidR="00AF59A0" w:rsidRPr="00304846" w:rsidRDefault="00AF59A0" w:rsidP="006824BC">
      <w:pPr>
        <w:pStyle w:val="Figuretitle"/>
        <w:rPr>
          <w:lang w:val="en-GB" w:eastAsia="ar-SA"/>
        </w:rPr>
      </w:pPr>
      <w:r w:rsidRPr="00304846">
        <w:rPr>
          <w:lang w:val="en-GB"/>
        </w:rPr>
        <w:t>Required</w:t>
      </w:r>
      <w:r w:rsidR="006824BC">
        <w:rPr>
          <w:lang w:val="en-GB" w:eastAsia="fr-FR"/>
        </w:rPr>
        <w:t xml:space="preserve"> </w:t>
      </w:r>
      <w:r w:rsidR="006824BC" w:rsidRPr="00AD774B">
        <w:rPr>
          <w:i/>
          <w:iCs/>
          <w:lang w:val="en-GB" w:eastAsia="fr-FR"/>
        </w:rPr>
        <w:t>d</w:t>
      </w:r>
      <w:r w:rsidRPr="006824BC">
        <w:rPr>
          <w:i/>
          <w:iCs/>
          <w:vertAlign w:val="subscript"/>
          <w:lang w:val="en-GB" w:eastAsia="fr-FR"/>
        </w:rPr>
        <w:t xml:space="preserve">FS-IMT </w:t>
      </w:r>
      <w:r w:rsidRPr="00304846">
        <w:rPr>
          <w:lang w:val="en-GB" w:eastAsia="fr-FR"/>
        </w:rPr>
        <w:t xml:space="preserve">which is a function of angle </w:t>
      </w:r>
      <w:r w:rsidRPr="00304846">
        <w:rPr>
          <w:rFonts w:ascii="Symbol" w:hAnsi="Symbol"/>
          <w:lang w:val="en-GB" w:eastAsia="fr-FR"/>
        </w:rPr>
        <w:t></w:t>
      </w:r>
      <w:r w:rsidRPr="006824BC">
        <w:rPr>
          <w:i/>
          <w:iCs/>
          <w:vertAlign w:val="subscript"/>
          <w:lang w:val="en-GB" w:eastAsia="fr-FR"/>
        </w:rPr>
        <w:t>az FS-IMT</w:t>
      </w:r>
      <w:r w:rsidRPr="00304846">
        <w:rPr>
          <w:lang w:val="en-GB" w:eastAsia="fr-FR"/>
        </w:rPr>
        <w:t xml:space="preserve"> (</w:t>
      </w:r>
      <w:r w:rsidRPr="00304846">
        <w:rPr>
          <w:color w:val="000000"/>
          <w:lang w:val="en-GB" w:eastAsia="ar-SA"/>
        </w:rPr>
        <w:t>PP FS System type 1)</w:t>
      </w:r>
    </w:p>
    <w:p w:rsidR="00AF59A0" w:rsidRPr="00304846" w:rsidRDefault="006824BC" w:rsidP="00D40142">
      <w:pPr>
        <w:pStyle w:val="Figure"/>
        <w:rPr>
          <w:lang w:val="en-GB"/>
        </w:rPr>
      </w:pPr>
      <w:r w:rsidRPr="00D40142">
        <w:rPr>
          <w:noProof/>
          <w:lang w:val="en-US" w:eastAsia="zh-CN"/>
        </w:rPr>
        <w:drawing>
          <wp:inline distT="0" distB="0" distL="0" distR="0" wp14:anchorId="54DD2122" wp14:editId="424CF0D7">
            <wp:extent cx="5510530" cy="3261360"/>
            <wp:effectExtent l="0" t="0" r="13970" b="15240"/>
            <wp:docPr id="21581" name="Диаграмма 215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E35D97" w:rsidRDefault="00E35D97" w:rsidP="00E35D97"/>
    <w:p w:rsidR="00AF59A0" w:rsidRPr="00304846" w:rsidRDefault="00AF59A0" w:rsidP="00E35D97">
      <w:pPr>
        <w:pStyle w:val="FigureNo"/>
        <w:rPr>
          <w:lang w:val="en-GB"/>
        </w:rPr>
      </w:pPr>
      <w:r w:rsidRPr="00E35D97">
        <w:rPr>
          <w:lang w:val="en-US"/>
        </w:rPr>
        <w:lastRenderedPageBreak/>
        <w:t>FIGURE</w:t>
      </w:r>
      <w:r w:rsidRPr="00304846">
        <w:rPr>
          <w:lang w:val="en-GB"/>
        </w:rPr>
        <w:t xml:space="preserve"> 31</w:t>
      </w:r>
    </w:p>
    <w:p w:rsidR="00AF59A0" w:rsidRDefault="00AF59A0" w:rsidP="00E35D97">
      <w:pPr>
        <w:pStyle w:val="Figuretitle"/>
        <w:rPr>
          <w:color w:val="000000"/>
          <w:lang w:val="en-GB" w:eastAsia="ar-SA"/>
        </w:rPr>
      </w:pPr>
      <w:r w:rsidRPr="00304846">
        <w:rPr>
          <w:lang w:val="en-GB"/>
        </w:rPr>
        <w:t>Required</w:t>
      </w:r>
      <w:r w:rsidR="00275AA8">
        <w:rPr>
          <w:lang w:val="en-GB" w:eastAsia="fr-FR"/>
        </w:rPr>
        <w:t xml:space="preserve"> d</w:t>
      </w:r>
      <w:r w:rsidRPr="00275AA8">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function of </w:t>
      </w:r>
      <w:r w:rsidRPr="00E35D97">
        <w:rPr>
          <w:lang w:val="en-US"/>
        </w:rPr>
        <w:t>angle</w:t>
      </w:r>
      <w:r w:rsidRPr="00304846">
        <w:rPr>
          <w:lang w:val="en-GB" w:eastAsia="fr-FR"/>
        </w:rPr>
        <w:t xml:space="preserve"> </w:t>
      </w:r>
      <w:r w:rsidRPr="00304846">
        <w:rPr>
          <w:rFonts w:ascii="Symbol" w:hAnsi="Symbol"/>
          <w:lang w:val="en-GB" w:eastAsia="fr-FR"/>
        </w:rPr>
        <w:t></w:t>
      </w:r>
      <w:r w:rsidRPr="00275AA8">
        <w:rPr>
          <w:i/>
          <w:iCs/>
          <w:vertAlign w:val="subscript"/>
          <w:lang w:val="en-GB" w:eastAsia="fr-FR"/>
        </w:rPr>
        <w:t>az FS-IMT</w:t>
      </w:r>
      <w:r w:rsidRPr="00304846">
        <w:rPr>
          <w:lang w:val="en-GB" w:eastAsia="fr-FR"/>
        </w:rPr>
        <w:t xml:space="preserve"> (</w:t>
      </w:r>
      <w:r w:rsidRPr="00304846">
        <w:rPr>
          <w:color w:val="000000"/>
          <w:lang w:val="en-GB" w:eastAsia="ar-SA"/>
        </w:rPr>
        <w:t>PP FS System type 1)</w:t>
      </w:r>
    </w:p>
    <w:p w:rsidR="00E35D97" w:rsidRPr="00E35D97" w:rsidRDefault="00E35D97" w:rsidP="00E35D97">
      <w:pPr>
        <w:pStyle w:val="Figure"/>
      </w:pPr>
      <w:r w:rsidRPr="00304846">
        <w:rPr>
          <w:noProof/>
          <w:color w:val="000000" w:themeColor="text1"/>
          <w:lang w:val="en-US" w:eastAsia="zh-CN"/>
        </w:rPr>
        <w:drawing>
          <wp:inline distT="0" distB="0" distL="0" distR="0" wp14:anchorId="1CC039A1" wp14:editId="156FA0F2">
            <wp:extent cx="5565775" cy="3279775"/>
            <wp:effectExtent l="0" t="0" r="15875" b="15875"/>
            <wp:docPr id="21580" name="Диаграмма 215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D1FE4" w:rsidRDefault="009D1FE4" w:rsidP="009D1FE4"/>
    <w:p w:rsidR="00AF59A0" w:rsidRPr="00304846" w:rsidRDefault="00AF59A0" w:rsidP="009D1FE4">
      <w:pPr>
        <w:pStyle w:val="FigureNo"/>
        <w:rPr>
          <w:lang w:val="en-GB"/>
        </w:rPr>
      </w:pPr>
      <w:r w:rsidRPr="009D1FE4">
        <w:rPr>
          <w:lang w:val="en-US"/>
        </w:rPr>
        <w:t>FIGURE</w:t>
      </w:r>
      <w:r w:rsidRPr="00304846">
        <w:rPr>
          <w:lang w:val="en-GB"/>
        </w:rPr>
        <w:t xml:space="preserve"> 32</w:t>
      </w:r>
    </w:p>
    <w:p w:rsidR="00AF59A0" w:rsidRPr="00304846" w:rsidRDefault="00AF59A0" w:rsidP="009D1FE4">
      <w:pPr>
        <w:pStyle w:val="Figuretitle"/>
        <w:rPr>
          <w:lang w:val="en-GB" w:eastAsia="ja-JP"/>
        </w:rPr>
      </w:pPr>
      <w:r w:rsidRPr="00304846">
        <w:rPr>
          <w:lang w:val="en-GB"/>
        </w:rPr>
        <w:t>Required</w:t>
      </w:r>
      <w:r w:rsidR="003F73B1">
        <w:rPr>
          <w:lang w:val="en-GB" w:eastAsia="fr-FR"/>
        </w:rPr>
        <w:t xml:space="preserve"> </w:t>
      </w:r>
      <w:r w:rsidR="003F73B1" w:rsidRPr="003F73B1">
        <w:rPr>
          <w:i/>
          <w:iCs/>
          <w:lang w:val="en-GB" w:eastAsia="fr-FR"/>
        </w:rPr>
        <w:t>d</w:t>
      </w:r>
      <w:r w:rsidRPr="003F73B1">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function of angle </w:t>
      </w:r>
      <w:r w:rsidRPr="00304846">
        <w:rPr>
          <w:rFonts w:ascii="Symbol" w:hAnsi="Symbol"/>
          <w:lang w:val="en-GB" w:eastAsia="fr-FR"/>
        </w:rPr>
        <w:t></w:t>
      </w:r>
      <w:r w:rsidRPr="003F73B1">
        <w:rPr>
          <w:i/>
          <w:iCs/>
          <w:vertAlign w:val="subscript"/>
          <w:lang w:val="en-GB" w:eastAsia="fr-FR"/>
        </w:rPr>
        <w:t>az FS-IMT</w:t>
      </w:r>
      <w:r w:rsidRPr="00304846">
        <w:rPr>
          <w:lang w:val="en-GB" w:eastAsia="fr-FR"/>
        </w:rPr>
        <w:t xml:space="preserve"> (</w:t>
      </w:r>
      <w:r w:rsidRPr="00304846">
        <w:rPr>
          <w:color w:val="000000"/>
          <w:lang w:val="en-GB" w:eastAsia="ar-SA"/>
        </w:rPr>
        <w:t>PP FS System type 1)</w:t>
      </w:r>
    </w:p>
    <w:p w:rsidR="00AF59A0" w:rsidRPr="00304846" w:rsidRDefault="009D1FE4" w:rsidP="009D1FE4">
      <w:pPr>
        <w:pStyle w:val="Figure"/>
        <w:rPr>
          <w:lang w:val="en-GB"/>
        </w:rPr>
      </w:pPr>
      <w:r w:rsidRPr="009D1FE4">
        <w:rPr>
          <w:noProof/>
          <w:lang w:val="en-US" w:eastAsia="zh-CN"/>
        </w:rPr>
        <w:drawing>
          <wp:inline distT="0" distB="0" distL="0" distR="0" wp14:anchorId="767E1404" wp14:editId="5DD2CED1">
            <wp:extent cx="5559425" cy="3212465"/>
            <wp:effectExtent l="0" t="0" r="3175" b="6985"/>
            <wp:docPr id="21579" name="Диаграмма 215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FA30B8" w:rsidRDefault="00FA30B8" w:rsidP="00FA30B8">
      <w:pPr>
        <w:rPr>
          <w:lang w:val="en-GB"/>
        </w:rPr>
      </w:pPr>
    </w:p>
    <w:p w:rsidR="00AF59A0" w:rsidRPr="00304846" w:rsidRDefault="00AF59A0" w:rsidP="00FA30B8">
      <w:pPr>
        <w:pStyle w:val="FigureNo"/>
        <w:rPr>
          <w:lang w:val="en-GB"/>
        </w:rPr>
      </w:pPr>
      <w:r w:rsidRPr="00FA30B8">
        <w:rPr>
          <w:lang w:val="en-US"/>
        </w:rPr>
        <w:lastRenderedPageBreak/>
        <w:t>FIGURE</w:t>
      </w:r>
      <w:r w:rsidRPr="00304846">
        <w:rPr>
          <w:lang w:val="en-GB"/>
        </w:rPr>
        <w:t xml:space="preserve"> 33</w:t>
      </w:r>
    </w:p>
    <w:p w:rsidR="00AF59A0" w:rsidRDefault="00AF59A0" w:rsidP="00FA30B8">
      <w:pPr>
        <w:pStyle w:val="Figuretitle"/>
        <w:rPr>
          <w:color w:val="000000"/>
          <w:lang w:val="en-GB" w:eastAsia="ar-SA"/>
        </w:rPr>
      </w:pPr>
      <w:r w:rsidRPr="00304846">
        <w:rPr>
          <w:lang w:val="en-GB"/>
        </w:rPr>
        <w:t>Required</w:t>
      </w:r>
      <w:r w:rsidR="00FA30B8">
        <w:rPr>
          <w:lang w:val="en-GB" w:eastAsia="fr-FR"/>
        </w:rPr>
        <w:t xml:space="preserve"> </w:t>
      </w:r>
      <w:r w:rsidR="00FA30B8" w:rsidRPr="00FA30B8">
        <w:rPr>
          <w:i/>
          <w:iCs/>
          <w:lang w:val="en-GB" w:eastAsia="fr-FR"/>
        </w:rPr>
        <w:t>d</w:t>
      </w:r>
      <w:r w:rsidRPr="00FA30B8">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w:t>
      </w:r>
      <w:r w:rsidRPr="00FA30B8">
        <w:rPr>
          <w:lang w:val="en-US"/>
        </w:rPr>
        <w:t>function</w:t>
      </w:r>
      <w:r w:rsidRPr="00304846">
        <w:rPr>
          <w:lang w:val="en-GB" w:eastAsia="fr-FR"/>
        </w:rPr>
        <w:t xml:space="preserve"> of angle </w:t>
      </w:r>
      <w:r w:rsidRPr="00304846">
        <w:rPr>
          <w:rFonts w:ascii="Symbol" w:hAnsi="Symbol"/>
          <w:lang w:val="en-GB" w:eastAsia="fr-FR"/>
        </w:rPr>
        <w:t></w:t>
      </w:r>
      <w:r w:rsidRPr="00FA30B8">
        <w:rPr>
          <w:i/>
          <w:iCs/>
          <w:vertAlign w:val="subscript"/>
          <w:lang w:val="en-GB" w:eastAsia="fr-FR"/>
        </w:rPr>
        <w:t>az FS-IMT</w:t>
      </w:r>
      <w:r w:rsidRPr="00304846">
        <w:rPr>
          <w:lang w:val="en-GB" w:eastAsia="fr-FR"/>
        </w:rPr>
        <w:t xml:space="preserve"> (</w:t>
      </w:r>
      <w:r w:rsidRPr="00304846">
        <w:rPr>
          <w:color w:val="000000"/>
          <w:lang w:val="en-GB" w:eastAsia="ar-SA"/>
        </w:rPr>
        <w:t>PP FS System type 1)</w:t>
      </w:r>
    </w:p>
    <w:p w:rsidR="00FA30B8" w:rsidRPr="00FA30B8" w:rsidRDefault="00FA30B8" w:rsidP="00891FAA">
      <w:pPr>
        <w:pStyle w:val="Figure"/>
      </w:pPr>
      <w:r w:rsidRPr="00891FAA">
        <w:rPr>
          <w:noProof/>
          <w:lang w:val="en-US" w:eastAsia="zh-CN"/>
        </w:rPr>
        <w:drawing>
          <wp:inline distT="0" distB="0" distL="0" distR="0" wp14:anchorId="7B552162" wp14:editId="0BEE974E">
            <wp:extent cx="5376545" cy="3279775"/>
            <wp:effectExtent l="0" t="0" r="14605" b="15875"/>
            <wp:docPr id="21578" name="Диаграмма 215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FB0BFC" w:rsidRDefault="00FB0BFC" w:rsidP="00FB0BFC">
      <w:pPr>
        <w:rPr>
          <w:lang w:val="en-US"/>
        </w:rPr>
      </w:pPr>
    </w:p>
    <w:p w:rsidR="00AF59A0" w:rsidRPr="00304846" w:rsidRDefault="00AF59A0" w:rsidP="00FB0BFC">
      <w:pPr>
        <w:pStyle w:val="FigureNo"/>
        <w:rPr>
          <w:lang w:val="en-GB"/>
        </w:rPr>
      </w:pPr>
      <w:r w:rsidRPr="00FB0BFC">
        <w:rPr>
          <w:lang w:val="en-US"/>
        </w:rPr>
        <w:t>FIGURE</w:t>
      </w:r>
      <w:r w:rsidRPr="00304846">
        <w:rPr>
          <w:lang w:val="en-GB"/>
        </w:rPr>
        <w:t xml:space="preserve"> 34</w:t>
      </w:r>
    </w:p>
    <w:p w:rsidR="00AF59A0" w:rsidRPr="00304846" w:rsidRDefault="00AF59A0" w:rsidP="00FB0BFC">
      <w:pPr>
        <w:pStyle w:val="Figuretitle"/>
        <w:rPr>
          <w:lang w:val="en-GB" w:eastAsia="ja-JP"/>
        </w:rPr>
      </w:pPr>
      <w:r w:rsidRPr="00304846">
        <w:rPr>
          <w:lang w:val="en-GB"/>
        </w:rPr>
        <w:t>Required</w:t>
      </w:r>
      <w:r w:rsidR="00083E63">
        <w:rPr>
          <w:lang w:val="en-GB" w:eastAsia="fr-FR"/>
        </w:rPr>
        <w:t xml:space="preserve"> </w:t>
      </w:r>
      <w:r w:rsidR="00083E63" w:rsidRPr="00083E63">
        <w:rPr>
          <w:i/>
          <w:iCs/>
          <w:lang w:val="en-GB" w:eastAsia="fr-FR"/>
        </w:rPr>
        <w:t>d</w:t>
      </w:r>
      <w:r w:rsidRPr="00083E63">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w:t>
      </w:r>
      <w:r w:rsidRPr="00FB0BFC">
        <w:rPr>
          <w:lang w:val="en-US"/>
        </w:rPr>
        <w:t>function</w:t>
      </w:r>
      <w:r w:rsidRPr="00304846">
        <w:rPr>
          <w:lang w:val="en-GB" w:eastAsia="fr-FR"/>
        </w:rPr>
        <w:t xml:space="preserve"> of angle </w:t>
      </w:r>
      <w:r w:rsidRPr="00304846">
        <w:rPr>
          <w:rFonts w:ascii="Symbol" w:hAnsi="Symbol"/>
          <w:lang w:val="en-GB" w:eastAsia="fr-FR"/>
        </w:rPr>
        <w:t></w:t>
      </w:r>
      <w:r w:rsidRPr="00083E63">
        <w:rPr>
          <w:i/>
          <w:iCs/>
          <w:vertAlign w:val="subscript"/>
          <w:lang w:val="en-GB" w:eastAsia="fr-FR"/>
        </w:rPr>
        <w:t>az FS-IMT</w:t>
      </w:r>
      <w:r w:rsidRPr="00304846">
        <w:rPr>
          <w:lang w:val="en-GB" w:eastAsia="fr-FR"/>
        </w:rPr>
        <w:t xml:space="preserve"> (</w:t>
      </w:r>
      <w:r w:rsidRPr="00304846">
        <w:rPr>
          <w:color w:val="000000"/>
          <w:lang w:val="en-GB" w:eastAsia="ar-SA"/>
        </w:rPr>
        <w:t>PP FS System type 2)</w:t>
      </w:r>
    </w:p>
    <w:p w:rsidR="00AF59A0" w:rsidRPr="00304846" w:rsidRDefault="00FB0BFC" w:rsidP="00FB0BFC">
      <w:pPr>
        <w:pStyle w:val="Figure"/>
        <w:rPr>
          <w:lang w:val="en-GB"/>
        </w:rPr>
      </w:pPr>
      <w:r w:rsidRPr="00FB0BFC">
        <w:rPr>
          <w:noProof/>
          <w:lang w:val="en-US" w:eastAsia="zh-CN"/>
        </w:rPr>
        <w:drawing>
          <wp:inline distT="0" distB="0" distL="0" distR="0" wp14:anchorId="5B2F319F" wp14:editId="3C8F99FF">
            <wp:extent cx="5626735" cy="3310255"/>
            <wp:effectExtent l="0" t="0" r="12065" b="4445"/>
            <wp:docPr id="21577" name="Диаграмма 2157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F59A0" w:rsidRPr="00304846" w:rsidRDefault="00AF59A0" w:rsidP="00FB0BFC">
      <w:pPr>
        <w:pStyle w:val="FigureNo"/>
        <w:rPr>
          <w:lang w:val="en-GB"/>
        </w:rPr>
      </w:pPr>
      <w:r w:rsidRPr="002330EA">
        <w:rPr>
          <w:lang w:val="en-US"/>
        </w:rPr>
        <w:lastRenderedPageBreak/>
        <w:t>FIGURE</w:t>
      </w:r>
      <w:r w:rsidRPr="00304846">
        <w:rPr>
          <w:lang w:val="en-GB"/>
        </w:rPr>
        <w:t xml:space="preserve"> 35</w:t>
      </w:r>
    </w:p>
    <w:p w:rsidR="00AF59A0" w:rsidRPr="00304846" w:rsidRDefault="00AF59A0" w:rsidP="00FB0BFC">
      <w:pPr>
        <w:pStyle w:val="Figuretitle"/>
        <w:rPr>
          <w:lang w:val="en-GB" w:eastAsia="ja-JP"/>
        </w:rPr>
      </w:pPr>
      <w:r w:rsidRPr="00304846">
        <w:rPr>
          <w:lang w:val="en-GB"/>
        </w:rPr>
        <w:t>Required</w:t>
      </w:r>
      <w:r w:rsidR="000F7763">
        <w:rPr>
          <w:lang w:val="en-GB" w:eastAsia="fr-FR"/>
        </w:rPr>
        <w:t xml:space="preserve"> </w:t>
      </w:r>
      <w:r w:rsidR="000F7763" w:rsidRPr="000F7763">
        <w:rPr>
          <w:i/>
          <w:iCs/>
          <w:lang w:val="en-GB" w:eastAsia="fr-FR"/>
        </w:rPr>
        <w:t>d</w:t>
      </w:r>
      <w:r w:rsidRPr="000F7763">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w:t>
      </w:r>
      <w:r w:rsidRPr="00FB0BFC">
        <w:rPr>
          <w:lang w:val="en-US"/>
        </w:rPr>
        <w:t>function</w:t>
      </w:r>
      <w:r w:rsidRPr="00304846">
        <w:rPr>
          <w:lang w:val="en-GB" w:eastAsia="fr-FR"/>
        </w:rPr>
        <w:t xml:space="preserve"> of angle </w:t>
      </w:r>
      <w:r w:rsidRPr="00304846">
        <w:rPr>
          <w:rFonts w:ascii="Symbol" w:hAnsi="Symbol"/>
          <w:lang w:val="en-GB" w:eastAsia="fr-FR"/>
        </w:rPr>
        <w:t></w:t>
      </w:r>
      <w:r w:rsidRPr="000F7763">
        <w:rPr>
          <w:i/>
          <w:iCs/>
          <w:vertAlign w:val="subscript"/>
          <w:lang w:val="en-GB" w:eastAsia="fr-FR"/>
        </w:rPr>
        <w:t>az FS-IMT</w:t>
      </w:r>
      <w:r w:rsidRPr="00304846">
        <w:rPr>
          <w:lang w:val="en-GB" w:eastAsia="fr-FR"/>
        </w:rPr>
        <w:t xml:space="preserve"> (</w:t>
      </w:r>
      <w:r w:rsidRPr="00304846">
        <w:rPr>
          <w:color w:val="000000"/>
          <w:lang w:val="en-GB" w:eastAsia="ar-SA"/>
        </w:rPr>
        <w:t>PP FS System type 2)</w:t>
      </w:r>
    </w:p>
    <w:p w:rsidR="00FB0BFC" w:rsidRDefault="00FB0BFC" w:rsidP="007B5048">
      <w:pPr>
        <w:pStyle w:val="Figure"/>
        <w:rPr>
          <w:lang w:val="en-GB"/>
        </w:rPr>
      </w:pPr>
      <w:r w:rsidRPr="007B5048">
        <w:rPr>
          <w:noProof/>
          <w:lang w:val="en-US" w:eastAsia="zh-CN"/>
        </w:rPr>
        <w:drawing>
          <wp:inline distT="0" distB="0" distL="0" distR="0" wp14:anchorId="6C13A16D" wp14:editId="4824D1FA">
            <wp:extent cx="5480050" cy="3596640"/>
            <wp:effectExtent l="0" t="0" r="6350" b="3810"/>
            <wp:docPr id="21576" name="Диаграмма 215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823453" w:rsidRDefault="00823453" w:rsidP="00823453">
      <w:pPr>
        <w:rPr>
          <w:lang w:val="en-GB"/>
        </w:rPr>
      </w:pPr>
    </w:p>
    <w:p w:rsidR="00AF59A0" w:rsidRPr="00304846" w:rsidRDefault="00AF59A0" w:rsidP="00AF59A0">
      <w:pPr>
        <w:pStyle w:val="FigureNo"/>
        <w:rPr>
          <w:lang w:val="en-GB"/>
        </w:rPr>
      </w:pPr>
      <w:r w:rsidRPr="00304846">
        <w:rPr>
          <w:lang w:val="en-GB"/>
        </w:rPr>
        <w:t>FIGURE 36</w:t>
      </w:r>
    </w:p>
    <w:p w:rsidR="00AF59A0" w:rsidRPr="00304846" w:rsidRDefault="00AF59A0" w:rsidP="00823453">
      <w:pPr>
        <w:pStyle w:val="Figuretitle"/>
        <w:rPr>
          <w:lang w:val="en-GB" w:eastAsia="ja-JP"/>
        </w:rPr>
      </w:pPr>
      <w:r w:rsidRPr="00304846">
        <w:rPr>
          <w:lang w:val="en-GB"/>
        </w:rPr>
        <w:t>Required</w:t>
      </w:r>
      <w:r w:rsidR="004D7A06">
        <w:rPr>
          <w:lang w:val="en-GB" w:eastAsia="fr-FR"/>
        </w:rPr>
        <w:t xml:space="preserve"> </w:t>
      </w:r>
      <w:r w:rsidR="004D7A06" w:rsidRPr="00A57276">
        <w:rPr>
          <w:i/>
          <w:iCs/>
          <w:lang w:val="en-GB" w:eastAsia="fr-FR"/>
        </w:rPr>
        <w:t>d</w:t>
      </w:r>
      <w:r w:rsidRPr="00A57276">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function of angle </w:t>
      </w:r>
      <w:r w:rsidRPr="00304846">
        <w:rPr>
          <w:rFonts w:ascii="Symbol" w:hAnsi="Symbol"/>
          <w:lang w:val="en-GB" w:eastAsia="fr-FR"/>
        </w:rPr>
        <w:t></w:t>
      </w:r>
      <w:r w:rsidRPr="00A57276">
        <w:rPr>
          <w:i/>
          <w:iCs/>
          <w:vertAlign w:val="subscript"/>
          <w:lang w:val="en-GB" w:eastAsia="fr-FR"/>
        </w:rPr>
        <w:t>az FS-IMT</w:t>
      </w:r>
      <w:r w:rsidRPr="00304846">
        <w:rPr>
          <w:lang w:val="en-GB" w:eastAsia="fr-FR"/>
        </w:rPr>
        <w:t xml:space="preserve"> (</w:t>
      </w:r>
      <w:r w:rsidRPr="00304846">
        <w:rPr>
          <w:color w:val="000000"/>
          <w:lang w:val="en-GB" w:eastAsia="ar-SA"/>
        </w:rPr>
        <w:t>PP FS System type 2)</w:t>
      </w:r>
    </w:p>
    <w:p w:rsidR="00AF59A0" w:rsidRPr="00304846" w:rsidRDefault="00823453" w:rsidP="00823453">
      <w:pPr>
        <w:pStyle w:val="Figure"/>
        <w:rPr>
          <w:lang w:val="en-GB"/>
        </w:rPr>
      </w:pPr>
      <w:r w:rsidRPr="00304846">
        <w:rPr>
          <w:noProof/>
          <w:color w:val="000000" w:themeColor="text1"/>
          <w:lang w:val="en-US" w:eastAsia="zh-CN"/>
        </w:rPr>
        <w:drawing>
          <wp:inline distT="0" distB="0" distL="0" distR="0" wp14:anchorId="47983591" wp14:editId="354BDC09">
            <wp:extent cx="5541010" cy="3139440"/>
            <wp:effectExtent l="0" t="0" r="2540" b="3810"/>
            <wp:docPr id="21575" name="Диаграмма 215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F59A0" w:rsidRPr="00304846" w:rsidRDefault="00AF59A0" w:rsidP="00DD4546">
      <w:pPr>
        <w:pStyle w:val="FigureNo"/>
        <w:rPr>
          <w:lang w:val="en-GB"/>
        </w:rPr>
      </w:pPr>
      <w:r w:rsidRPr="002330EA">
        <w:rPr>
          <w:lang w:val="en-US"/>
        </w:rPr>
        <w:lastRenderedPageBreak/>
        <w:t>FIGURE</w:t>
      </w:r>
      <w:r w:rsidRPr="00304846">
        <w:rPr>
          <w:lang w:val="en-GB"/>
        </w:rPr>
        <w:t xml:space="preserve"> 37</w:t>
      </w:r>
    </w:p>
    <w:p w:rsidR="00AF59A0" w:rsidRPr="00304846" w:rsidRDefault="00AF59A0" w:rsidP="00DD4546">
      <w:pPr>
        <w:pStyle w:val="Figuretitle"/>
        <w:rPr>
          <w:lang w:val="en-GB" w:eastAsia="ja-JP"/>
        </w:rPr>
      </w:pPr>
      <w:r w:rsidRPr="00DD4546">
        <w:rPr>
          <w:lang w:val="en-GB"/>
        </w:rPr>
        <w:t>Required</w:t>
      </w:r>
      <w:r w:rsidR="0013190E">
        <w:rPr>
          <w:lang w:val="en-GB"/>
        </w:rPr>
        <w:t xml:space="preserve"> </w:t>
      </w:r>
      <w:r w:rsidR="0013190E" w:rsidRPr="0013190E">
        <w:rPr>
          <w:i/>
          <w:iCs/>
          <w:lang w:val="en-GB"/>
        </w:rPr>
        <w:t>d</w:t>
      </w:r>
      <w:r w:rsidRPr="0013190E">
        <w:rPr>
          <w:i/>
          <w:iCs/>
          <w:vertAlign w:val="subscript"/>
          <w:lang w:val="en-GB"/>
        </w:rPr>
        <w:t>FS-IMT</w:t>
      </w:r>
      <w:r w:rsidRPr="00DD4546">
        <w:rPr>
          <w:lang w:val="en-GB"/>
        </w:rPr>
        <w:t xml:space="preserve"> which is a function of angle </w:t>
      </w:r>
      <w:r w:rsidRPr="00DD4546">
        <w:rPr>
          <w:rFonts w:ascii="Symbol" w:hAnsi="Symbol"/>
          <w:lang w:val="en-GB"/>
        </w:rPr>
        <w:t></w:t>
      </w:r>
      <w:r w:rsidRPr="0013190E">
        <w:rPr>
          <w:i/>
          <w:iCs/>
          <w:vertAlign w:val="subscript"/>
          <w:lang w:val="en-GB"/>
        </w:rPr>
        <w:t>az FS-IMT</w:t>
      </w:r>
      <w:r w:rsidRPr="00DD4546">
        <w:rPr>
          <w:lang w:val="en-GB"/>
        </w:rPr>
        <w:t xml:space="preserve"> (PP FS System type 2</w:t>
      </w:r>
      <w:r w:rsidRPr="00304846">
        <w:rPr>
          <w:rFonts w:asciiTheme="minorHAnsi" w:hAnsiTheme="minorHAnsi" w:cstheme="minorHAnsi"/>
          <w:color w:val="000000"/>
          <w:lang w:val="en-GB" w:eastAsia="ar-SA"/>
        </w:rPr>
        <w:t>)</w:t>
      </w:r>
    </w:p>
    <w:p w:rsidR="00DD4546" w:rsidRDefault="00DD4546" w:rsidP="00DD4546">
      <w:pPr>
        <w:pStyle w:val="Figure"/>
        <w:rPr>
          <w:lang w:val="en-GB"/>
        </w:rPr>
      </w:pPr>
      <w:r w:rsidRPr="00DD4546">
        <w:rPr>
          <w:noProof/>
          <w:lang w:val="en-US" w:eastAsia="zh-CN"/>
        </w:rPr>
        <w:drawing>
          <wp:inline distT="0" distB="0" distL="0" distR="0" wp14:anchorId="3A450F60" wp14:editId="066BA202">
            <wp:extent cx="5376545" cy="3498850"/>
            <wp:effectExtent l="0" t="0" r="14605" b="6350"/>
            <wp:docPr id="21574" name="Диаграмма 215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6C23C3" w:rsidRDefault="006C23C3" w:rsidP="006C23C3">
      <w:pPr>
        <w:rPr>
          <w:lang w:val="en-GB"/>
        </w:rPr>
      </w:pPr>
    </w:p>
    <w:p w:rsidR="00AF59A0" w:rsidRPr="00304846" w:rsidRDefault="00AF59A0" w:rsidP="00DD4546">
      <w:pPr>
        <w:pStyle w:val="FigureNo"/>
        <w:rPr>
          <w:lang w:val="en-GB"/>
        </w:rPr>
      </w:pPr>
      <w:r w:rsidRPr="00304846">
        <w:rPr>
          <w:lang w:val="en-GB"/>
        </w:rPr>
        <w:t>FIGURE 38</w:t>
      </w:r>
    </w:p>
    <w:p w:rsidR="00AF59A0" w:rsidRPr="00304846" w:rsidRDefault="00AF59A0" w:rsidP="00DD4546">
      <w:pPr>
        <w:pStyle w:val="Figuretitle"/>
        <w:rPr>
          <w:color w:val="000000"/>
          <w:lang w:val="en-GB" w:eastAsia="ar-SA"/>
        </w:rPr>
      </w:pPr>
      <w:r w:rsidRPr="00304846">
        <w:rPr>
          <w:lang w:val="en-GB"/>
        </w:rPr>
        <w:t>Required</w:t>
      </w:r>
      <w:r w:rsidRPr="00304846">
        <w:rPr>
          <w:lang w:val="en-GB" w:eastAsia="fr-FR"/>
        </w:rPr>
        <w:t xml:space="preserve"> </w:t>
      </w:r>
      <w:r w:rsidRPr="00304846">
        <w:rPr>
          <w:i/>
          <w:iCs/>
          <w:lang w:val="en-GB" w:eastAsia="fr-FR"/>
        </w:rPr>
        <w:t>d</w:t>
      </w:r>
      <w:r w:rsidRPr="00304846">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function of angle </w:t>
      </w:r>
      <w:r w:rsidRPr="00304846">
        <w:rPr>
          <w:rFonts w:ascii="Symbol" w:hAnsi="Symbol"/>
          <w:lang w:val="en-GB" w:eastAsia="fr-FR"/>
        </w:rPr>
        <w:t></w:t>
      </w:r>
      <w:r w:rsidRPr="00304846">
        <w:rPr>
          <w:i/>
          <w:iCs/>
          <w:vertAlign w:val="subscript"/>
          <w:lang w:val="en-GB" w:eastAsia="fr-FR"/>
        </w:rPr>
        <w:t>az FS-IMT</w:t>
      </w:r>
      <w:r w:rsidRPr="00304846">
        <w:rPr>
          <w:lang w:val="en-GB" w:eastAsia="fr-FR"/>
        </w:rPr>
        <w:t xml:space="preserve"> (</w:t>
      </w:r>
      <w:r w:rsidRPr="00304846">
        <w:rPr>
          <w:color w:val="000000"/>
          <w:lang w:val="en-GB" w:eastAsia="ar-SA"/>
        </w:rPr>
        <w:t>PP FS System type 2)</w:t>
      </w:r>
    </w:p>
    <w:p w:rsidR="003E7A02" w:rsidRPr="00304846" w:rsidRDefault="003E7A02" w:rsidP="003E7A02">
      <w:pPr>
        <w:pStyle w:val="Figure"/>
        <w:rPr>
          <w:lang w:val="en-GB" w:eastAsia="ar-SA"/>
        </w:rPr>
      </w:pPr>
      <w:r w:rsidRPr="00304846">
        <w:rPr>
          <w:noProof/>
          <w:lang w:val="en-US" w:eastAsia="zh-CN"/>
        </w:rPr>
        <w:drawing>
          <wp:inline distT="0" distB="0" distL="0" distR="0" wp14:anchorId="6A32C8D1" wp14:editId="394EEC91">
            <wp:extent cx="5498465" cy="3395345"/>
            <wp:effectExtent l="0" t="0" r="6985" b="14605"/>
            <wp:docPr id="21573" name="Диаграмма 215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DD4546" w:rsidRDefault="00DD4546" w:rsidP="00A81EB5">
      <w:pPr>
        <w:rPr>
          <w:lang w:val="en-GB"/>
        </w:rPr>
      </w:pPr>
    </w:p>
    <w:p w:rsidR="00AF59A0" w:rsidRPr="00304846" w:rsidRDefault="00AF59A0" w:rsidP="00DD4546">
      <w:pPr>
        <w:pStyle w:val="FigureNo"/>
        <w:rPr>
          <w:lang w:val="en-GB"/>
        </w:rPr>
      </w:pPr>
      <w:r w:rsidRPr="00DD4546">
        <w:rPr>
          <w:lang w:val="en-US"/>
        </w:rPr>
        <w:lastRenderedPageBreak/>
        <w:t>FIGURE</w:t>
      </w:r>
      <w:r w:rsidRPr="00304846">
        <w:rPr>
          <w:lang w:val="en-GB"/>
        </w:rPr>
        <w:t xml:space="preserve"> 39</w:t>
      </w:r>
    </w:p>
    <w:p w:rsidR="00AF59A0" w:rsidRPr="00304846" w:rsidRDefault="00AF59A0" w:rsidP="00DD4546">
      <w:pPr>
        <w:pStyle w:val="Figuretitle"/>
        <w:rPr>
          <w:lang w:val="en-GB" w:eastAsia="ja-JP"/>
        </w:rPr>
      </w:pPr>
      <w:r w:rsidRPr="00304846">
        <w:rPr>
          <w:lang w:val="en-GB"/>
        </w:rPr>
        <w:t>Required</w:t>
      </w:r>
      <w:r w:rsidRPr="00304846">
        <w:rPr>
          <w:lang w:val="en-GB" w:eastAsia="fr-FR"/>
        </w:rPr>
        <w:t xml:space="preserve"> </w:t>
      </w:r>
      <w:r w:rsidRPr="00DD4546">
        <w:rPr>
          <w:i/>
          <w:iCs/>
          <w:lang w:val="en-GB" w:eastAsia="fr-FR"/>
        </w:rPr>
        <w:t>d</w:t>
      </w:r>
      <w:r w:rsidRPr="00DD4546">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function of </w:t>
      </w:r>
      <w:r w:rsidRPr="00DD4546">
        <w:rPr>
          <w:lang w:val="en-US"/>
        </w:rPr>
        <w:t>angle</w:t>
      </w:r>
      <w:r w:rsidRPr="00304846">
        <w:rPr>
          <w:lang w:val="en-GB" w:eastAsia="fr-FR"/>
        </w:rPr>
        <w:t xml:space="preserve"> </w:t>
      </w:r>
      <w:r w:rsidRPr="00304846">
        <w:rPr>
          <w:rFonts w:ascii="Symbol" w:hAnsi="Symbol"/>
          <w:lang w:val="en-GB" w:eastAsia="fr-FR"/>
        </w:rPr>
        <w:t></w:t>
      </w:r>
      <w:r w:rsidRPr="00DD4546">
        <w:rPr>
          <w:i/>
          <w:iCs/>
          <w:vertAlign w:val="subscript"/>
          <w:lang w:val="en-GB" w:eastAsia="fr-FR"/>
        </w:rPr>
        <w:t>az FS-IMT</w:t>
      </w:r>
      <w:r w:rsidRPr="00304846">
        <w:rPr>
          <w:lang w:val="en-GB" w:eastAsia="fr-FR"/>
        </w:rPr>
        <w:t xml:space="preserve"> (</w:t>
      </w:r>
      <w:r w:rsidRPr="00304846">
        <w:rPr>
          <w:color w:val="000000"/>
          <w:lang w:val="en-GB" w:eastAsia="ar-SA"/>
        </w:rPr>
        <w:t>PP FS System type 2)</w:t>
      </w:r>
    </w:p>
    <w:p w:rsidR="00AF59A0" w:rsidRDefault="00DD4546" w:rsidP="00DD4546">
      <w:pPr>
        <w:pStyle w:val="Figure"/>
        <w:rPr>
          <w:lang w:val="en-GB"/>
        </w:rPr>
      </w:pPr>
      <w:r w:rsidRPr="00304846">
        <w:rPr>
          <w:noProof/>
          <w:color w:val="000000" w:themeColor="text1"/>
          <w:szCs w:val="24"/>
          <w:lang w:val="en-US" w:eastAsia="zh-CN"/>
        </w:rPr>
        <w:drawing>
          <wp:inline distT="0" distB="0" distL="0" distR="0" wp14:anchorId="23D64D12" wp14:editId="6F576F92">
            <wp:extent cx="5376545" cy="3444240"/>
            <wp:effectExtent l="0" t="0" r="14605" b="3810"/>
            <wp:docPr id="21572" name="Диаграмма 215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DD4546" w:rsidRPr="00304846" w:rsidRDefault="00DD4546" w:rsidP="00DD4546">
      <w:pPr>
        <w:rPr>
          <w:lang w:val="en-GB"/>
        </w:rPr>
      </w:pPr>
    </w:p>
    <w:p w:rsidR="00AF59A0" w:rsidRPr="00304846" w:rsidRDefault="00AF59A0" w:rsidP="00F348BB">
      <w:pPr>
        <w:pStyle w:val="Heading2"/>
        <w:rPr>
          <w:lang w:val="en-GB"/>
        </w:rPr>
      </w:pPr>
      <w:r w:rsidRPr="00304846">
        <w:rPr>
          <w:lang w:val="en-GB"/>
        </w:rPr>
        <w:t>4.4</w:t>
      </w:r>
      <w:r w:rsidRPr="00304846">
        <w:rPr>
          <w:lang w:val="en-GB"/>
        </w:rPr>
        <w:tab/>
        <w:t>Results</w:t>
      </w:r>
    </w:p>
    <w:p w:rsidR="00AF59A0" w:rsidRPr="00304846" w:rsidRDefault="00AF59A0" w:rsidP="00E7495F">
      <w:pPr>
        <w:rPr>
          <w:lang w:val="en-GB"/>
        </w:rPr>
      </w:pPr>
      <w:r w:rsidRPr="00304846">
        <w:rPr>
          <w:rFonts w:eastAsia="Calibri"/>
          <w:color w:val="000000"/>
          <w:lang w:val="en-GB"/>
        </w:rPr>
        <w:t xml:space="preserve">The calculation results derived from Figs </w:t>
      </w:r>
      <w:r w:rsidRPr="00304846">
        <w:rPr>
          <w:lang w:val="en-GB"/>
        </w:rPr>
        <w:t xml:space="preserve">12 and 14 show that the permissible </w:t>
      </w:r>
      <w:r w:rsidRPr="00304846">
        <w:rPr>
          <w:i/>
          <w:iCs/>
          <w:lang w:val="en-GB"/>
        </w:rPr>
        <w:t>I</w:t>
      </w:r>
      <w:r w:rsidRPr="00304846">
        <w:rPr>
          <w:lang w:val="en-GB"/>
        </w:rPr>
        <w:t>/</w:t>
      </w:r>
      <w:r w:rsidRPr="00304846">
        <w:rPr>
          <w:i/>
          <w:iCs/>
          <w:lang w:val="en-GB"/>
        </w:rPr>
        <w:t>N</w:t>
      </w:r>
      <w:r w:rsidRPr="00304846">
        <w:rPr>
          <w:lang w:val="en-GB"/>
        </w:rPr>
        <w:t xml:space="preserve"> = –10 dB with IMT transmitters operating in co-channels with point-to-point FS receivers could be reached starting from 20</w:t>
      </w:r>
      <w:r w:rsidR="00F348BB" w:rsidRPr="00304846">
        <w:rPr>
          <w:lang w:val="en-GB"/>
        </w:rPr>
        <w:t xml:space="preserve"> to </w:t>
      </w:r>
      <w:r w:rsidRPr="00304846">
        <w:rPr>
          <w:lang w:val="en-GB"/>
        </w:rPr>
        <w:t>200 m distances in most directions, except for the main and first side lobes of antenna pattern. In the main lobe direction of antenna pattern this distance corresponds to 8</w:t>
      </w:r>
      <w:r w:rsidR="00F348BB" w:rsidRPr="00304846">
        <w:rPr>
          <w:lang w:val="en-GB"/>
        </w:rPr>
        <w:t xml:space="preserve"> to </w:t>
      </w:r>
      <w:r w:rsidRPr="00304846">
        <w:rPr>
          <w:lang w:val="en-GB"/>
        </w:rPr>
        <w:t>50 k</w:t>
      </w:r>
      <w:r w:rsidR="00F348BB" w:rsidRPr="00304846">
        <w:rPr>
          <w:lang w:val="en-GB"/>
        </w:rPr>
        <w:t>m</w:t>
      </w:r>
      <w:r w:rsidRPr="00304846">
        <w:rPr>
          <w:lang w:val="en-GB"/>
        </w:rPr>
        <w:t>, depending on the value of additional losses due to local clutter shielding which will be present in IMT urban environment. With increased angle between the main lobes of the point</w:t>
      </w:r>
      <w:r w:rsidRPr="00304846">
        <w:rPr>
          <w:lang w:val="en-GB"/>
        </w:rPr>
        <w:noBreakHyphen/>
        <w:t>to</w:t>
      </w:r>
      <w:r w:rsidR="00E7495F" w:rsidRPr="00304846">
        <w:rPr>
          <w:lang w:val="en-GB"/>
        </w:rPr>
        <w:noBreakHyphen/>
      </w:r>
      <w:r w:rsidRPr="00304846">
        <w:rPr>
          <w:lang w:val="en-GB"/>
        </w:rPr>
        <w:t>point FS antenna pattern and IMT base station direction, t</w:t>
      </w:r>
      <w:r w:rsidR="00E7495F" w:rsidRPr="00304846">
        <w:rPr>
          <w:lang w:val="en-GB"/>
        </w:rPr>
        <w:t>his distance is reduced down to </w:t>
      </w:r>
      <w:r w:rsidRPr="00304846">
        <w:rPr>
          <w:lang w:val="en-GB"/>
        </w:rPr>
        <w:t>20</w:t>
      </w:r>
      <w:r w:rsidR="00F348BB" w:rsidRPr="00304846">
        <w:rPr>
          <w:lang w:val="en-GB"/>
        </w:rPr>
        <w:t xml:space="preserve"> to 200 m</w:t>
      </w:r>
      <w:r w:rsidRPr="00304846">
        <w:rPr>
          <w:lang w:val="en-GB"/>
        </w:rPr>
        <w:t>.</w:t>
      </w:r>
    </w:p>
    <w:p w:rsidR="00AF59A0" w:rsidRPr="00304846" w:rsidRDefault="00AF59A0" w:rsidP="00F348BB">
      <w:pPr>
        <w:rPr>
          <w:lang w:val="en-GB"/>
        </w:rPr>
      </w:pPr>
      <w:r w:rsidRPr="00304846">
        <w:rPr>
          <w:lang w:val="en-GB"/>
        </w:rPr>
        <w:t xml:space="preserve">The permissible </w:t>
      </w:r>
      <w:r w:rsidRPr="00304846">
        <w:rPr>
          <w:i/>
          <w:iCs/>
          <w:lang w:val="en-GB"/>
        </w:rPr>
        <w:t>I</w:t>
      </w:r>
      <w:r w:rsidRPr="00304846">
        <w:rPr>
          <w:lang w:val="en-GB"/>
        </w:rPr>
        <w:t>/</w:t>
      </w:r>
      <w:r w:rsidRPr="00304846">
        <w:rPr>
          <w:i/>
          <w:iCs/>
          <w:lang w:val="en-GB"/>
        </w:rPr>
        <w:t>N</w:t>
      </w:r>
      <w:r w:rsidR="00F348BB" w:rsidRPr="00304846">
        <w:rPr>
          <w:i/>
          <w:iCs/>
          <w:lang w:val="en-GB"/>
        </w:rPr>
        <w:t xml:space="preserve"> </w:t>
      </w:r>
      <w:r w:rsidRPr="00304846">
        <w:rPr>
          <w:lang w:val="en-GB"/>
        </w:rPr>
        <w:t>= –10 dB for IMT transmitters operating in adjacent channels with point</w:t>
      </w:r>
      <w:r w:rsidRPr="00304846">
        <w:rPr>
          <w:lang w:val="en-GB"/>
        </w:rPr>
        <w:noBreakHyphen/>
        <w:t>to</w:t>
      </w:r>
      <w:r w:rsidRPr="00304846">
        <w:rPr>
          <w:lang w:val="en-GB"/>
        </w:rPr>
        <w:noBreakHyphen/>
        <w:t>point FS receivers would be met at 700 m or less for all location conditions of the stations (Figs 13 and 15).</w:t>
      </w:r>
    </w:p>
    <w:p w:rsidR="00AF59A0" w:rsidRPr="00304846" w:rsidRDefault="00AF59A0" w:rsidP="007E56B6">
      <w:pPr>
        <w:rPr>
          <w:lang w:val="en-GB"/>
        </w:rPr>
      </w:pPr>
      <w:r w:rsidRPr="00304846">
        <w:rPr>
          <w:lang w:val="en-GB"/>
        </w:rPr>
        <w:t xml:space="preserve">The additional calculation results derived from Figs 16, 18, 20, 22, 24 and 26 show that the permissible </w:t>
      </w:r>
      <w:r w:rsidRPr="00304846">
        <w:rPr>
          <w:i/>
          <w:iCs/>
          <w:lang w:val="en-GB"/>
        </w:rPr>
        <w:t>C</w:t>
      </w:r>
      <w:r w:rsidRPr="00304846">
        <w:rPr>
          <w:lang w:val="en-GB"/>
        </w:rPr>
        <w:t>/</w:t>
      </w:r>
      <w:r w:rsidRPr="00304846">
        <w:rPr>
          <w:i/>
          <w:iCs/>
          <w:lang w:val="en-GB"/>
        </w:rPr>
        <w:t>I</w:t>
      </w:r>
      <w:r w:rsidR="00F348BB" w:rsidRPr="00304846">
        <w:rPr>
          <w:i/>
          <w:iCs/>
          <w:lang w:val="en-GB"/>
        </w:rPr>
        <w:t xml:space="preserve"> </w:t>
      </w:r>
      <w:r w:rsidRPr="00304846">
        <w:rPr>
          <w:lang w:val="en-GB"/>
        </w:rPr>
        <w:t>= 55 dB for IMT transmitters operating co-channel with point-to-point FS receivers could be reached for link distances of a point-to-point FS network from 10 to 70 k</w:t>
      </w:r>
      <w:r w:rsidR="00F348BB" w:rsidRPr="00304846">
        <w:rPr>
          <w:lang w:val="en-GB"/>
        </w:rPr>
        <w:t>m</w:t>
      </w:r>
      <w:r w:rsidRPr="00304846">
        <w:rPr>
          <w:lang w:val="en-GB"/>
        </w:rPr>
        <w:t xml:space="preserve"> starting from 20</w:t>
      </w:r>
      <w:r w:rsidR="00F348BB" w:rsidRPr="00304846">
        <w:rPr>
          <w:lang w:val="en-GB"/>
        </w:rPr>
        <w:t xml:space="preserve"> to </w:t>
      </w:r>
      <w:r w:rsidRPr="00304846">
        <w:rPr>
          <w:lang w:val="en-GB"/>
        </w:rPr>
        <w:t>150 m distances in most directions, except for the main and first side lobes of antenna p</w:t>
      </w:r>
      <w:r w:rsidR="005016B7">
        <w:rPr>
          <w:lang w:val="en-GB"/>
        </w:rPr>
        <w:t xml:space="preserve">attern. </w:t>
      </w:r>
      <w:r w:rsidRPr="00304846">
        <w:rPr>
          <w:lang w:val="en-GB"/>
        </w:rPr>
        <w:t>In the main lobe direction of the antenna pattern these distances may be 0.4</w:t>
      </w:r>
      <w:r w:rsidR="00F348BB" w:rsidRPr="00304846">
        <w:rPr>
          <w:lang w:val="en-GB"/>
        </w:rPr>
        <w:t xml:space="preserve"> to </w:t>
      </w:r>
      <w:r w:rsidRPr="00304846">
        <w:rPr>
          <w:lang w:val="en-GB"/>
        </w:rPr>
        <w:t>35 k</w:t>
      </w:r>
      <w:r w:rsidR="00F348BB" w:rsidRPr="00304846">
        <w:rPr>
          <w:lang w:val="en-GB"/>
        </w:rPr>
        <w:t>m</w:t>
      </w:r>
      <w:r w:rsidRPr="00304846">
        <w:rPr>
          <w:lang w:val="en-GB"/>
        </w:rPr>
        <w:t>, depending on the link distance of the point-to-point FS network and the value of additional lo</w:t>
      </w:r>
      <w:r w:rsidR="005016B7">
        <w:rPr>
          <w:lang w:val="en-GB"/>
        </w:rPr>
        <w:t xml:space="preserve">sses due to clutter shielding. </w:t>
      </w:r>
      <w:r w:rsidRPr="00304846">
        <w:rPr>
          <w:lang w:val="en-GB"/>
        </w:rPr>
        <w:t>With increased angle between the main lobes of the point</w:t>
      </w:r>
      <w:r w:rsidRPr="00304846">
        <w:rPr>
          <w:lang w:val="en-GB"/>
        </w:rPr>
        <w:noBreakHyphen/>
        <w:t>to</w:t>
      </w:r>
      <w:r w:rsidRPr="00304846">
        <w:rPr>
          <w:lang w:val="en-GB"/>
        </w:rPr>
        <w:noBreakHyphen/>
        <w:t>point FS antenna pattern and IMT base station direction, this distance rapidly reduces down to 20</w:t>
      </w:r>
      <w:r w:rsidR="007E56B6" w:rsidRPr="00304846">
        <w:rPr>
          <w:lang w:val="en-GB"/>
        </w:rPr>
        <w:t xml:space="preserve"> to 150 m</w:t>
      </w:r>
      <w:r w:rsidRPr="00304846">
        <w:rPr>
          <w:lang w:val="en-GB"/>
        </w:rPr>
        <w:t>.</w:t>
      </w:r>
    </w:p>
    <w:p w:rsidR="00AF59A0" w:rsidRPr="00304846" w:rsidRDefault="00AF59A0" w:rsidP="009D036A">
      <w:pPr>
        <w:rPr>
          <w:lang w:val="en-GB"/>
        </w:rPr>
      </w:pPr>
      <w:r w:rsidRPr="00304846">
        <w:rPr>
          <w:lang w:val="en-GB"/>
        </w:rPr>
        <w:t xml:space="preserve">The permissible </w:t>
      </w:r>
      <w:r w:rsidRPr="00304846">
        <w:rPr>
          <w:i/>
          <w:iCs/>
          <w:lang w:val="en-GB"/>
        </w:rPr>
        <w:t>C</w:t>
      </w:r>
      <w:r w:rsidRPr="00304846">
        <w:rPr>
          <w:lang w:val="en-GB"/>
        </w:rPr>
        <w:t>/</w:t>
      </w:r>
      <w:r w:rsidRPr="00304846">
        <w:rPr>
          <w:i/>
          <w:iCs/>
          <w:lang w:val="en-GB"/>
        </w:rPr>
        <w:t>I</w:t>
      </w:r>
      <w:r w:rsidR="009D036A" w:rsidRPr="00304846">
        <w:rPr>
          <w:i/>
          <w:iCs/>
          <w:lang w:val="en-GB"/>
        </w:rPr>
        <w:t xml:space="preserve"> </w:t>
      </w:r>
      <w:r w:rsidRPr="00304846">
        <w:rPr>
          <w:lang w:val="en-GB"/>
        </w:rPr>
        <w:t>= 55 dB for IMT transmitters operating in adjacent channels with point-to-point FS receivers would be met starting from 200 m for all co-location conditions of the stations (Figs 17, 19, 21, 23, 25 and 27).</w:t>
      </w:r>
    </w:p>
    <w:p w:rsidR="00AF59A0" w:rsidRPr="00304846" w:rsidRDefault="00AF59A0" w:rsidP="00A4569E">
      <w:pPr>
        <w:rPr>
          <w:lang w:val="en-GB"/>
        </w:rPr>
      </w:pPr>
      <w:r w:rsidRPr="00304846">
        <w:rPr>
          <w:lang w:val="en-GB"/>
        </w:rPr>
        <w:lastRenderedPageBreak/>
        <w:t xml:space="preserve">The additional calculation results derived from Figs 28, 30, 32, 34, 36 and 38 show that the permissible </w:t>
      </w:r>
      <w:r w:rsidRPr="00304846">
        <w:rPr>
          <w:i/>
          <w:iCs/>
          <w:lang w:val="en-GB"/>
        </w:rPr>
        <w:t>C</w:t>
      </w:r>
      <w:r w:rsidRPr="00304846">
        <w:rPr>
          <w:lang w:val="en-GB"/>
        </w:rPr>
        <w:t>/</w:t>
      </w:r>
      <w:r w:rsidRPr="00304846">
        <w:rPr>
          <w:i/>
          <w:iCs/>
          <w:lang w:val="en-GB"/>
        </w:rPr>
        <w:t>I</w:t>
      </w:r>
      <w:r w:rsidR="009D036A" w:rsidRPr="00304846">
        <w:rPr>
          <w:i/>
          <w:iCs/>
          <w:lang w:val="en-GB"/>
        </w:rPr>
        <w:t xml:space="preserve"> </w:t>
      </w:r>
      <w:r w:rsidRPr="00304846">
        <w:rPr>
          <w:lang w:val="en-GB"/>
        </w:rPr>
        <w:t>= 40 dB for IMT transmitters operating co-channel with point-to-point FS receivers could be reached for link distances of a point-to-point FS network from 10 to 70 k</w:t>
      </w:r>
      <w:r w:rsidR="009D036A" w:rsidRPr="00304846">
        <w:rPr>
          <w:lang w:val="en-GB"/>
        </w:rPr>
        <w:t>m</w:t>
      </w:r>
      <w:r w:rsidRPr="00304846">
        <w:rPr>
          <w:lang w:val="en-GB"/>
        </w:rPr>
        <w:t xml:space="preserve"> starting from 20</w:t>
      </w:r>
      <w:r w:rsidR="009D036A" w:rsidRPr="00304846">
        <w:rPr>
          <w:lang w:val="en-GB"/>
        </w:rPr>
        <w:t xml:space="preserve"> to </w:t>
      </w:r>
      <w:r w:rsidRPr="00304846">
        <w:rPr>
          <w:lang w:val="en-GB"/>
        </w:rPr>
        <w:t>60 m in most directions, except for the main and first side lobes of the antenna pattern. In the main lobe direction of the antenna pattern these distances may be 0.2</w:t>
      </w:r>
      <w:r w:rsidR="009D036A" w:rsidRPr="00304846">
        <w:rPr>
          <w:lang w:val="en-GB"/>
        </w:rPr>
        <w:t xml:space="preserve"> to </w:t>
      </w:r>
      <w:r w:rsidRPr="00304846">
        <w:rPr>
          <w:lang w:val="en-GB"/>
        </w:rPr>
        <w:t>6 k</w:t>
      </w:r>
      <w:r w:rsidR="009D036A" w:rsidRPr="00304846">
        <w:rPr>
          <w:lang w:val="en-GB"/>
        </w:rPr>
        <w:t>m</w:t>
      </w:r>
      <w:r w:rsidRPr="00304846">
        <w:rPr>
          <w:lang w:val="en-GB"/>
        </w:rPr>
        <w:t>, depending on the link distance of the point-to-point FS network and the value of additional losses due to clutter shielding. With increased angle between the main lobes of point-to-point FS antenna pattern and IMT base station direction, this distance rapidly reduces down to 20</w:t>
      </w:r>
      <w:r w:rsidR="00A4569E">
        <w:rPr>
          <w:lang w:val="en-GB"/>
        </w:rPr>
        <w:t xml:space="preserve"> to </w:t>
      </w:r>
      <w:r w:rsidRPr="00304846">
        <w:rPr>
          <w:lang w:val="en-GB"/>
        </w:rPr>
        <w:t>40 m.</w:t>
      </w:r>
    </w:p>
    <w:p w:rsidR="00AF59A0" w:rsidRPr="00304846" w:rsidRDefault="00AF59A0" w:rsidP="005A3E8F">
      <w:pPr>
        <w:rPr>
          <w:lang w:val="en-GB"/>
        </w:rPr>
      </w:pPr>
      <w:r w:rsidRPr="00304846">
        <w:rPr>
          <w:lang w:val="en-GB"/>
        </w:rPr>
        <w:t xml:space="preserve">The permissible </w:t>
      </w:r>
      <w:r w:rsidRPr="00304846">
        <w:rPr>
          <w:i/>
          <w:iCs/>
          <w:lang w:val="en-GB"/>
        </w:rPr>
        <w:t>C</w:t>
      </w:r>
      <w:r w:rsidRPr="00304846">
        <w:rPr>
          <w:lang w:val="en-GB"/>
        </w:rPr>
        <w:t>/</w:t>
      </w:r>
      <w:r w:rsidRPr="00304846">
        <w:rPr>
          <w:i/>
          <w:iCs/>
          <w:lang w:val="en-GB"/>
        </w:rPr>
        <w:t>I</w:t>
      </w:r>
      <w:r w:rsidR="00BA572B" w:rsidRPr="00304846">
        <w:rPr>
          <w:lang w:val="en-GB"/>
        </w:rPr>
        <w:t xml:space="preserve"> </w:t>
      </w:r>
      <w:r w:rsidRPr="00304846">
        <w:rPr>
          <w:lang w:val="en-GB"/>
        </w:rPr>
        <w:t>= 40 dB for IMT transmitters operating in adjacent channels with point-to-point FS receivers would be met starting from 40 m for all co-location conditions of the stations (Figs 29, 31, 33, 35, 37 and 39).</w:t>
      </w:r>
    </w:p>
    <w:p w:rsidR="00AF59A0" w:rsidRPr="00304846" w:rsidRDefault="00AF59A0" w:rsidP="00AF59A0">
      <w:pPr>
        <w:keepNext/>
        <w:keepLines/>
        <w:spacing w:before="280"/>
        <w:ind w:left="1134" w:hanging="1134"/>
        <w:outlineLvl w:val="0"/>
        <w:rPr>
          <w:b/>
          <w:sz w:val="28"/>
          <w:lang w:val="en-GB"/>
        </w:rPr>
      </w:pPr>
      <w:r w:rsidRPr="00304846">
        <w:rPr>
          <w:b/>
          <w:sz w:val="28"/>
          <w:lang w:val="en-GB"/>
        </w:rPr>
        <w:t>5</w:t>
      </w:r>
      <w:r w:rsidRPr="00304846">
        <w:rPr>
          <w:b/>
          <w:sz w:val="28"/>
          <w:lang w:val="en-GB"/>
        </w:rPr>
        <w:tab/>
        <w:t>Summary</w:t>
      </w:r>
    </w:p>
    <w:p w:rsidR="00AF59A0" w:rsidRPr="00304846" w:rsidRDefault="00AF59A0" w:rsidP="005A3E8F">
      <w:pPr>
        <w:rPr>
          <w:lang w:val="en-GB"/>
        </w:rPr>
      </w:pPr>
      <w:r w:rsidRPr="00304846">
        <w:rPr>
          <w:lang w:val="en-GB"/>
        </w:rPr>
        <w:t xml:space="preserve">The results of the studies showed that the permissible </w:t>
      </w:r>
      <w:r w:rsidRPr="00304846">
        <w:rPr>
          <w:i/>
          <w:iCs/>
          <w:lang w:val="en-GB"/>
        </w:rPr>
        <w:t>I</w:t>
      </w:r>
      <w:r w:rsidRPr="00304846">
        <w:rPr>
          <w:lang w:val="en-GB"/>
        </w:rPr>
        <w:t>/</w:t>
      </w:r>
      <w:r w:rsidRPr="00304846">
        <w:rPr>
          <w:i/>
          <w:iCs/>
          <w:lang w:val="en-GB"/>
        </w:rPr>
        <w:t>N</w:t>
      </w:r>
      <w:r w:rsidRPr="00304846">
        <w:rPr>
          <w:lang w:val="en-GB"/>
        </w:rPr>
        <w:t xml:space="preserve"> = –10 dB could be reached in the presence of indoor IMT small cells operating co-channel with point-to-point FS receivers at distances of 20</w:t>
      </w:r>
      <w:r w:rsidR="005A3E8F">
        <w:rPr>
          <w:lang w:val="en-GB"/>
        </w:rPr>
        <w:t xml:space="preserve"> to 200 m</w:t>
      </w:r>
      <w:r w:rsidRPr="00304846">
        <w:rPr>
          <w:lang w:val="en-GB"/>
        </w:rPr>
        <w:t xml:space="preserve"> in most directions, except for the main and first side lobes of the antenna pattern. In the main lobe direction of the antenna pattern this distance corresponds to 8</w:t>
      </w:r>
      <w:r w:rsidR="00F348BB" w:rsidRPr="00304846">
        <w:rPr>
          <w:lang w:val="en-GB"/>
        </w:rPr>
        <w:t xml:space="preserve"> to </w:t>
      </w:r>
      <w:r w:rsidRPr="00304846">
        <w:rPr>
          <w:lang w:val="en-GB"/>
        </w:rPr>
        <w:t>50</w:t>
      </w:r>
      <w:r w:rsidR="00F348BB" w:rsidRPr="00304846">
        <w:rPr>
          <w:lang w:val="en-GB"/>
        </w:rPr>
        <w:t> </w:t>
      </w:r>
      <w:r w:rsidRPr="00304846">
        <w:rPr>
          <w:lang w:val="en-GB"/>
        </w:rPr>
        <w:t>k</w:t>
      </w:r>
      <w:r w:rsidR="00F348BB" w:rsidRPr="00304846">
        <w:rPr>
          <w:lang w:val="en-GB"/>
        </w:rPr>
        <w:t>m</w:t>
      </w:r>
      <w:r w:rsidRPr="00304846">
        <w:rPr>
          <w:lang w:val="en-GB"/>
        </w:rPr>
        <w:t>, depending on the value of additional losses due to local clutter shielding, which will be present in an IMT urban environment. The likelihood of an IMT small cell lying within the main or first side lobes of a point-to-point antenna pattern has</w:t>
      </w:r>
      <w:r w:rsidR="005A3E8F">
        <w:rPr>
          <w:lang w:val="en-GB"/>
        </w:rPr>
        <w:t xml:space="preserve"> </w:t>
      </w:r>
      <w:r w:rsidRPr="00304846">
        <w:rPr>
          <w:lang w:val="en-GB"/>
        </w:rPr>
        <w:t>n</w:t>
      </w:r>
      <w:r w:rsidR="005A3E8F">
        <w:rPr>
          <w:lang w:val="en-GB"/>
        </w:rPr>
        <w:t xml:space="preserve">ot been studied. </w:t>
      </w:r>
      <w:r w:rsidRPr="00304846">
        <w:rPr>
          <w:lang w:val="en-GB"/>
        </w:rPr>
        <w:t xml:space="preserve">These results are derived based on a single interferer and do not consider the cumulative effect, which could lead to different values. </w:t>
      </w:r>
    </w:p>
    <w:p w:rsidR="00AF59A0" w:rsidRPr="00304846" w:rsidRDefault="00AF59A0" w:rsidP="00AF59A0">
      <w:pPr>
        <w:rPr>
          <w:lang w:val="en-GB"/>
        </w:rPr>
      </w:pPr>
      <w:r w:rsidRPr="00304846">
        <w:rPr>
          <w:lang w:val="en-GB"/>
        </w:rPr>
        <w:t>When detailed information on point-to-point link deployment is available, more detailed planning of IMT systems could be performed to reduce the separation distances mentioned above.</w:t>
      </w:r>
    </w:p>
    <w:p w:rsidR="00AF59A0" w:rsidRDefault="00AF59A0" w:rsidP="00AF59A0">
      <w:pPr>
        <w:rPr>
          <w:lang w:val="en-GB"/>
        </w:rPr>
      </w:pPr>
      <w:r w:rsidRPr="00304846">
        <w:rPr>
          <w:lang w:val="en-GB"/>
        </w:rPr>
        <w:t>The calculated separation distances are going to be dependent on a number of local considerations including deployment and geographical distribution of both IMT and FS stations at national level and may require coordination with neighbouring administrations.</w:t>
      </w:r>
    </w:p>
    <w:p w:rsidR="00EC76F8" w:rsidRDefault="00EC76F8" w:rsidP="00AF59A0">
      <w:pPr>
        <w:rPr>
          <w:lang w:val="en-GB"/>
        </w:rPr>
      </w:pPr>
    </w:p>
    <w:p w:rsidR="00EC76F8" w:rsidRPr="00304846" w:rsidRDefault="00EC76F8" w:rsidP="00AF59A0">
      <w:pPr>
        <w:rPr>
          <w:lang w:val="en-GB"/>
        </w:rPr>
      </w:pPr>
    </w:p>
    <w:p w:rsidR="00DF028F" w:rsidRPr="00304846" w:rsidRDefault="00D14ADD" w:rsidP="00D14ADD">
      <w:pPr>
        <w:spacing w:before="720"/>
        <w:jc w:val="center"/>
        <w:rPr>
          <w:lang w:val="en-GB"/>
        </w:rPr>
      </w:pPr>
      <w:r w:rsidRPr="00304846">
        <w:rPr>
          <w:lang w:val="en-GB"/>
        </w:rPr>
        <w:t>______________</w:t>
      </w:r>
    </w:p>
    <w:sectPr w:rsidR="00DF028F" w:rsidRPr="00304846">
      <w:headerReference w:type="even" r:id="rId80"/>
      <w:headerReference w:type="default" r:id="rId8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5ABE" w:rsidRDefault="00385ABE">
      <w:r>
        <w:separator/>
      </w:r>
    </w:p>
  </w:endnote>
  <w:endnote w:type="continuationSeparator" w:id="0">
    <w:p w:rsidR="00385ABE" w:rsidRDefault="00385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ABE" w:rsidRDefault="00385AB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ABE" w:rsidRPr="00514E68" w:rsidRDefault="00385ABE" w:rsidP="00514E6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ABE" w:rsidRPr="00514E68" w:rsidRDefault="00385ABE" w:rsidP="00514E6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ABE" w:rsidRPr="00514E68" w:rsidRDefault="00385ABE" w:rsidP="00514E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5ABE" w:rsidRDefault="00385ABE">
      <w:r>
        <w:separator/>
      </w:r>
    </w:p>
  </w:footnote>
  <w:footnote w:type="continuationSeparator" w:id="0">
    <w:p w:rsidR="00385ABE" w:rsidRDefault="00385ABE">
      <w:r>
        <w:continuationSeparator/>
      </w:r>
    </w:p>
  </w:footnote>
  <w:footnote w:id="1">
    <w:p w:rsidR="00385ABE" w:rsidRPr="005010BD" w:rsidRDefault="00385ABE">
      <w:pPr>
        <w:pStyle w:val="FootnoteText"/>
        <w:rPr>
          <w:lang w:val="en-US"/>
        </w:rPr>
      </w:pPr>
      <w:r>
        <w:rPr>
          <w:rStyle w:val="FootnoteReference"/>
        </w:rPr>
        <w:footnoteRef/>
      </w:r>
      <w:r w:rsidRPr="005010BD">
        <w:rPr>
          <w:lang w:val="en-US"/>
        </w:rPr>
        <w:t xml:space="preserve"> </w:t>
      </w:r>
      <w:r>
        <w:rPr>
          <w:lang w:val="en-US"/>
        </w:rPr>
        <w:tab/>
      </w:r>
      <w:r w:rsidRPr="003472EB">
        <w:rPr>
          <w:szCs w:val="24"/>
          <w:lang w:val="en-US" w:eastAsia="ar-SA"/>
        </w:rPr>
        <w:t>The data are taken from Table 6.6.3.2A-3 3GPP TS 36.104 V12.2.0 (2013-12)</w:t>
      </w:r>
      <w:r>
        <w:rPr>
          <w:szCs w:val="24"/>
          <w:lang w:val="en-US" w:eastAsia="ar-SA"/>
        </w:rPr>
        <w:t>.</w:t>
      </w:r>
    </w:p>
  </w:footnote>
  <w:footnote w:id="2">
    <w:p w:rsidR="00385ABE" w:rsidRPr="00F4594C" w:rsidRDefault="00385ABE" w:rsidP="00AF59A0">
      <w:pPr>
        <w:tabs>
          <w:tab w:val="left" w:pos="284"/>
        </w:tabs>
        <w:suppressAutoHyphens/>
        <w:rPr>
          <w:sz w:val="18"/>
          <w:szCs w:val="18"/>
          <w:lang w:val="en-US" w:eastAsia="ar-SA"/>
        </w:rPr>
      </w:pPr>
      <w:r>
        <w:rPr>
          <w:rStyle w:val="FootnoteReference"/>
        </w:rPr>
        <w:footnoteRef/>
      </w:r>
      <w:r w:rsidRPr="00CB48B6">
        <w:rPr>
          <w:lang w:val="en-US"/>
        </w:rPr>
        <w:t xml:space="preserve"> </w:t>
      </w:r>
      <w:r>
        <w:rPr>
          <w:lang w:val="en-US"/>
        </w:rPr>
        <w:tab/>
      </w:r>
      <w:r w:rsidRPr="00716CB9">
        <w:rPr>
          <w:szCs w:val="24"/>
          <w:lang w:val="en-US" w:eastAsia="ar-SA"/>
        </w:rPr>
        <w:t xml:space="preserve">All values are calculated according </w:t>
      </w:r>
      <w:r>
        <w:rPr>
          <w:szCs w:val="24"/>
          <w:lang w:val="en-US" w:eastAsia="ar-SA"/>
        </w:rPr>
        <w:t xml:space="preserve">to </w:t>
      </w:r>
      <w:r w:rsidRPr="00716CB9">
        <w:rPr>
          <w:szCs w:val="24"/>
          <w:lang w:val="en-US" w:eastAsia="ar-SA"/>
        </w:rPr>
        <w:t>the method in ETSI TR 101 854 Annex F.</w:t>
      </w:r>
    </w:p>
    <w:p w:rsidR="00385ABE" w:rsidRPr="00716CB9" w:rsidRDefault="00385ABE" w:rsidP="00AF59A0">
      <w:pPr>
        <w:tabs>
          <w:tab w:val="left" w:pos="284"/>
        </w:tabs>
        <w:suppressAutoHyphens/>
        <w:rPr>
          <w:szCs w:val="24"/>
          <w:lang w:val="en-US"/>
        </w:rPr>
      </w:pPr>
      <w:r>
        <w:rPr>
          <w:szCs w:val="24"/>
          <w:lang w:val="en-US" w:eastAsia="ar-SA"/>
        </w:rPr>
        <w:tab/>
      </w:r>
      <w:r w:rsidRPr="00716CB9">
        <w:rPr>
          <w:szCs w:val="24"/>
          <w:lang w:val="en-US" w:eastAsia="ar-SA"/>
        </w:rPr>
        <w:t>The data are taken from ETSI EN 302 217-2-2 V1.4.1 and Appendix 12 to Annex 2B HCM Agreement 2013</w:t>
      </w:r>
      <w:r>
        <w:rPr>
          <w:szCs w:val="24"/>
          <w:lang w:val="en-US" w:eastAsia="ar-SA"/>
        </w:rPr>
        <w:t>.</w:t>
      </w:r>
    </w:p>
  </w:footnote>
  <w:footnote w:id="3">
    <w:p w:rsidR="00385ABE" w:rsidRPr="00135300" w:rsidRDefault="00385ABE">
      <w:pPr>
        <w:pStyle w:val="FootnoteText"/>
        <w:rPr>
          <w:lang w:val="fr-CH"/>
        </w:rPr>
      </w:pPr>
      <w:r>
        <w:rPr>
          <w:rStyle w:val="FootnoteReference"/>
        </w:rPr>
        <w:footnoteRef/>
      </w:r>
      <w:r>
        <w:t xml:space="preserve"> </w:t>
      </w:r>
      <w:r>
        <w:rPr>
          <w:lang w:val="fr-CH"/>
        </w:rPr>
        <w:tab/>
      </w:r>
      <w:r w:rsidRPr="00716CB9">
        <w:rPr>
          <w:rFonts w:eastAsia="Calibri"/>
          <w:color w:val="000000"/>
          <w:szCs w:val="24"/>
        </w:rPr>
        <w:t>Rec</w:t>
      </w:r>
      <w:r>
        <w:rPr>
          <w:rFonts w:eastAsia="Calibri"/>
          <w:color w:val="000000"/>
          <w:szCs w:val="24"/>
        </w:rPr>
        <w:t>ommendation</w:t>
      </w:r>
      <w:r w:rsidRPr="00716CB9">
        <w:rPr>
          <w:rFonts w:eastAsia="Calibri"/>
          <w:color w:val="000000"/>
          <w:szCs w:val="24"/>
        </w:rPr>
        <w:t xml:space="preserve"> ITU-R F.</w:t>
      </w:r>
      <w:r w:rsidRPr="00716CB9">
        <w:rPr>
          <w:rFonts w:eastAsia="Calibri"/>
          <w:color w:val="000000"/>
          <w:szCs w:val="24"/>
          <w:lang w:eastAsia="ja-JP"/>
        </w:rPr>
        <w:t>383</w:t>
      </w:r>
      <w:r>
        <w:rPr>
          <w:rFonts w:eastAsia="Calibri"/>
          <w:color w:val="000000"/>
          <w:szCs w:val="24"/>
          <w:lang w:eastAsia="ja-JP"/>
        </w:rPr>
        <w:t>.</w:t>
      </w:r>
    </w:p>
  </w:footnote>
  <w:footnote w:id="4">
    <w:p w:rsidR="00385ABE" w:rsidRPr="003B414E" w:rsidRDefault="00385ABE">
      <w:pPr>
        <w:pStyle w:val="FootnoteText"/>
        <w:rPr>
          <w:lang w:val="fr-CH"/>
        </w:rPr>
      </w:pPr>
      <w:r>
        <w:rPr>
          <w:rStyle w:val="FootnoteReference"/>
        </w:rPr>
        <w:footnoteRef/>
      </w:r>
      <w:r>
        <w:t xml:space="preserve"> </w:t>
      </w:r>
      <w:r>
        <w:rPr>
          <w:lang w:val="fr-CH"/>
        </w:rPr>
        <w:tab/>
      </w:r>
      <w:r w:rsidRPr="00716CB9">
        <w:rPr>
          <w:rFonts w:eastAsia="Calibri"/>
          <w:color w:val="000000"/>
          <w:szCs w:val="24"/>
        </w:rPr>
        <w:t>Rec</w:t>
      </w:r>
      <w:r>
        <w:rPr>
          <w:rFonts w:eastAsia="Calibri"/>
          <w:color w:val="000000"/>
          <w:szCs w:val="24"/>
        </w:rPr>
        <w:t>ommendation</w:t>
      </w:r>
      <w:r w:rsidRPr="00716CB9">
        <w:rPr>
          <w:rFonts w:eastAsia="Calibri"/>
          <w:color w:val="000000"/>
          <w:szCs w:val="24"/>
        </w:rPr>
        <w:t xml:space="preserve"> ITU-R F.</w:t>
      </w:r>
      <w:r w:rsidRPr="00716CB9">
        <w:rPr>
          <w:rFonts w:eastAsia="Calibri"/>
          <w:color w:val="000000"/>
          <w:szCs w:val="24"/>
          <w:lang w:eastAsia="ja-JP"/>
        </w:rPr>
        <w:t>383</w:t>
      </w:r>
      <w:r>
        <w:rPr>
          <w:rFonts w:eastAsia="Calibri"/>
          <w:color w:val="000000"/>
          <w:szCs w:val="24"/>
          <w:lang w:eastAsia="ja-JP"/>
        </w:rPr>
        <w:t>.</w:t>
      </w:r>
    </w:p>
  </w:footnote>
  <w:footnote w:id="5">
    <w:p w:rsidR="00385ABE" w:rsidRPr="00473F20" w:rsidRDefault="00385ABE" w:rsidP="00CC4A38">
      <w:pPr>
        <w:pStyle w:val="FootnoteText"/>
        <w:rPr>
          <w:rFonts w:asciiTheme="majorBidi" w:hAnsiTheme="majorBidi" w:cstheme="majorBidi"/>
          <w:lang w:val="fr-CH"/>
        </w:rPr>
      </w:pPr>
      <w:r w:rsidRPr="00CC4A38">
        <w:rPr>
          <w:rStyle w:val="FootnoteReference"/>
        </w:rPr>
        <w:footnoteRef/>
      </w:r>
      <w:r w:rsidRPr="000E0B8C">
        <w:rPr>
          <w:rFonts w:asciiTheme="majorBidi" w:hAnsiTheme="majorBidi" w:cstheme="majorBidi"/>
          <w:lang w:val="fr-CH"/>
        </w:rPr>
        <w:t xml:space="preserve"> </w:t>
      </w:r>
      <w:r>
        <w:rPr>
          <w:rFonts w:asciiTheme="majorBidi" w:hAnsiTheme="majorBidi" w:cstheme="majorBidi"/>
          <w:lang w:val="fr-CH"/>
        </w:rPr>
        <w:tab/>
      </w:r>
      <w:r w:rsidRPr="00CC4A38">
        <w:rPr>
          <w:rFonts w:eastAsia="Calibri"/>
          <w:color w:val="000000"/>
          <w:szCs w:val="24"/>
        </w:rPr>
        <w:t>Recommendation</w:t>
      </w:r>
      <w:r w:rsidRPr="000E0B8C">
        <w:rPr>
          <w:rFonts w:asciiTheme="majorBidi" w:hAnsiTheme="majorBidi" w:cstheme="majorBidi"/>
          <w:lang w:val="fr-CH" w:eastAsia="fr-FR"/>
        </w:rPr>
        <w:t xml:space="preserve"> ITU-R </w:t>
      </w:r>
      <w:r>
        <w:rPr>
          <w:rFonts w:asciiTheme="majorBidi" w:hAnsiTheme="majorBidi" w:cstheme="majorBidi"/>
          <w:lang w:val="fr-CH" w:eastAsia="fr-FR"/>
        </w:rPr>
        <w:t>SM.</w:t>
      </w:r>
      <w:r w:rsidRPr="000E0B8C">
        <w:rPr>
          <w:rFonts w:asciiTheme="majorBidi" w:hAnsiTheme="majorBidi" w:cstheme="majorBidi"/>
          <w:lang w:val="fr-CH" w:eastAsia="fr-FR"/>
        </w:rPr>
        <w:t>3</w:t>
      </w:r>
      <w:r>
        <w:rPr>
          <w:rFonts w:asciiTheme="majorBidi" w:hAnsiTheme="majorBidi" w:cstheme="majorBidi"/>
          <w:lang w:val="fr-CH" w:eastAsia="fr-FR"/>
        </w:rPr>
        <w:t>3</w:t>
      </w:r>
      <w:r w:rsidRPr="000E0B8C">
        <w:rPr>
          <w:rFonts w:asciiTheme="majorBidi" w:hAnsiTheme="majorBidi" w:cstheme="majorBidi"/>
          <w:lang w:val="fr-CH" w:eastAsia="fr-FR"/>
        </w:rPr>
        <w:t>7-6</w:t>
      </w:r>
      <w:r>
        <w:rPr>
          <w:rFonts w:asciiTheme="majorBidi" w:hAnsiTheme="majorBidi" w:cstheme="majorBidi"/>
          <w:lang w:val="fr-CH" w:eastAsia="fr-FR"/>
        </w:rPr>
        <w:t>.</w:t>
      </w:r>
    </w:p>
  </w:footnote>
  <w:footnote w:id="6">
    <w:p w:rsidR="00385ABE" w:rsidRPr="007500DC" w:rsidRDefault="00385ABE" w:rsidP="00CC4A38">
      <w:pPr>
        <w:pStyle w:val="FootnoteText"/>
        <w:rPr>
          <w:lang w:val="fr-CH"/>
        </w:rPr>
      </w:pPr>
      <w:r w:rsidRPr="00CC4A38">
        <w:rPr>
          <w:rStyle w:val="FootnoteReference"/>
        </w:rPr>
        <w:footnoteRef/>
      </w:r>
      <w:r w:rsidRPr="000E0B8C">
        <w:rPr>
          <w:rFonts w:asciiTheme="majorBidi" w:hAnsiTheme="majorBidi" w:cstheme="majorBidi"/>
          <w:lang w:val="fr-CH"/>
        </w:rPr>
        <w:t xml:space="preserve"> </w:t>
      </w:r>
      <w:r>
        <w:rPr>
          <w:rFonts w:asciiTheme="majorBidi" w:hAnsiTheme="majorBidi" w:cstheme="majorBidi"/>
          <w:lang w:val="fr-CH"/>
        </w:rPr>
        <w:tab/>
      </w:r>
      <w:r w:rsidRPr="00CC4A38">
        <w:rPr>
          <w:rFonts w:eastAsia="Calibri"/>
          <w:color w:val="000000"/>
          <w:szCs w:val="24"/>
        </w:rPr>
        <w:t>Recommendation</w:t>
      </w:r>
      <w:r w:rsidRPr="000E0B8C">
        <w:rPr>
          <w:rFonts w:asciiTheme="majorBidi" w:hAnsiTheme="majorBidi" w:cstheme="majorBidi"/>
          <w:lang w:val="fr-CH" w:eastAsia="fr-FR"/>
        </w:rPr>
        <w:t xml:space="preserve"> ITU-R </w:t>
      </w:r>
      <w:r>
        <w:rPr>
          <w:rFonts w:asciiTheme="majorBidi" w:hAnsiTheme="majorBidi" w:cstheme="majorBidi"/>
          <w:lang w:val="fr-CH" w:eastAsia="fr-FR"/>
        </w:rPr>
        <w:t>SM.</w:t>
      </w:r>
      <w:r w:rsidRPr="000E0B8C">
        <w:rPr>
          <w:rFonts w:asciiTheme="majorBidi" w:hAnsiTheme="majorBidi" w:cstheme="majorBidi"/>
          <w:lang w:val="fr-CH" w:eastAsia="fr-FR"/>
        </w:rPr>
        <w:t>3</w:t>
      </w:r>
      <w:r>
        <w:rPr>
          <w:rFonts w:asciiTheme="majorBidi" w:hAnsiTheme="majorBidi" w:cstheme="majorBidi"/>
          <w:lang w:val="fr-CH" w:eastAsia="fr-FR"/>
        </w:rPr>
        <w:t>3</w:t>
      </w:r>
      <w:r w:rsidRPr="000E0B8C">
        <w:rPr>
          <w:rFonts w:asciiTheme="majorBidi" w:hAnsiTheme="majorBidi" w:cstheme="majorBidi"/>
          <w:lang w:val="fr-CH" w:eastAsia="fr-FR"/>
        </w:rPr>
        <w:t>7-6</w:t>
      </w:r>
      <w:r>
        <w:rPr>
          <w:rFonts w:asciiTheme="majorBidi" w:hAnsiTheme="majorBidi" w:cstheme="majorBidi"/>
          <w:lang w:val="fr-CH" w:eastAsia="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ABE" w:rsidRPr="005A7013" w:rsidRDefault="00385ABE" w:rsidP="0089083E">
    <w:pPr>
      <w:tabs>
        <w:tab w:val="clear" w:pos="794"/>
        <w:tab w:val="clear" w:pos="1191"/>
        <w:tab w:val="clear" w:pos="1588"/>
        <w:tab w:val="clear" w:pos="1985"/>
        <w:tab w:val="center" w:pos="4820"/>
      </w:tabs>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542E0A">
      <w:rPr>
        <w:b/>
        <w:bCs/>
        <w:noProof/>
        <w:lang w:val="en-US"/>
      </w:rPr>
      <w:t>ii</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542E0A" w:rsidRPr="00542E0A">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542E0A">
      <w:rPr>
        <w:b/>
        <w:bCs/>
        <w:noProof/>
      </w:rPr>
      <w:t>ITU-R  F.2326-0</w:t>
    </w:r>
    <w:r w:rsidRPr="00D9592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ABE" w:rsidRDefault="00385ABE" w:rsidP="005761BF">
    <w:pPr>
      <w:ind w:right="360" w:firstLine="360"/>
    </w:pPr>
    <w:r>
      <w:rPr>
        <w:noProof/>
        <w:lang w:val="en-US" w:eastAsia="zh-CN"/>
      </w:rPr>
      <w:drawing>
        <wp:anchor distT="0" distB="0" distL="114300" distR="114300" simplePos="0" relativeHeight="251659264" behindDoc="0" locked="0" layoutInCell="1" allowOverlap="1" wp14:anchorId="3656DF61" wp14:editId="3DC44CAD">
          <wp:simplePos x="0" y="0"/>
          <wp:positionH relativeFrom="margin">
            <wp:posOffset>0</wp:posOffset>
          </wp:positionH>
          <wp:positionV relativeFrom="margin">
            <wp:posOffset>8754745</wp:posOffset>
          </wp:positionV>
          <wp:extent cx="1247775" cy="935831"/>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192" behindDoc="1" locked="0" layoutInCell="1" allowOverlap="1" wp14:anchorId="2EBE6AC8" wp14:editId="5A133DA4">
          <wp:simplePos x="0" y="0"/>
          <wp:positionH relativeFrom="page">
            <wp:posOffset>0</wp:posOffset>
          </wp:positionH>
          <wp:positionV relativeFrom="page">
            <wp:posOffset>0</wp:posOffset>
          </wp:positionV>
          <wp:extent cx="7592060" cy="10753725"/>
          <wp:effectExtent l="19050" t="0" r="8890" b="0"/>
          <wp:wrapNone/>
          <wp:docPr id="3" name="Picture 3"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ABE" w:rsidRPr="0089083E" w:rsidRDefault="00385ABE" w:rsidP="0089083E">
    <w:pPr>
      <w:tabs>
        <w:tab w:val="clear" w:pos="794"/>
        <w:tab w:val="clear" w:pos="1191"/>
        <w:tab w:val="clear" w:pos="1588"/>
        <w:tab w:val="clear" w:pos="1985"/>
        <w:tab w:val="center" w:pos="4820"/>
      </w:tabs>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542E0A">
      <w:rPr>
        <w:b/>
        <w:bCs/>
        <w:noProof/>
        <w:lang w:val="en-US"/>
      </w:rPr>
      <w:t>4</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542E0A" w:rsidRPr="00542E0A">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542E0A">
      <w:rPr>
        <w:b/>
        <w:bCs/>
        <w:noProof/>
      </w:rPr>
      <w:t>ITU-R  F.2326-0</w:t>
    </w:r>
    <w:r w:rsidRPr="00D9592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ABE" w:rsidRPr="00514E68" w:rsidRDefault="00385ABE" w:rsidP="00514E68">
    <w:pPr>
      <w:tabs>
        <w:tab w:val="clear" w:pos="794"/>
        <w:tab w:val="clear" w:pos="1191"/>
        <w:tab w:val="clear" w:pos="1588"/>
        <w:tab w:val="clear" w:pos="1985"/>
        <w:tab w:val="center" w:pos="4820"/>
        <w:tab w:val="right" w:pos="9498"/>
      </w:tabs>
      <w:rPr>
        <w:lang w:val="en-US"/>
      </w:rPr>
    </w:pPr>
    <w:r w:rsidRPr="00D95923">
      <w:rPr>
        <w:lang w:val="en-US"/>
      </w:rPr>
      <w:tab/>
    </w:r>
    <w:r>
      <w:fldChar w:fldCharType="begin"/>
    </w:r>
    <w:r w:rsidRPr="005A7013">
      <w:rPr>
        <w:lang w:val="en-US"/>
      </w:rPr>
      <w:instrText xml:space="preserve"> DOCPROPERTY "Header 2" \* MERGEFORMAT </w:instrText>
    </w:r>
    <w:r>
      <w:fldChar w:fldCharType="separate"/>
    </w:r>
    <w:r w:rsidR="00542E0A" w:rsidRPr="00542E0A">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542E0A">
      <w:rPr>
        <w:b/>
        <w:bCs/>
        <w:noProof/>
      </w:rPr>
      <w:t>ITU-R  F.2326-0</w:t>
    </w:r>
    <w:r w:rsidRPr="00D95923">
      <w:fldChar w:fldCharType="end"/>
    </w:r>
    <w:r>
      <w:tab/>
    </w:r>
    <w:r w:rsidRPr="00D95923">
      <w:rPr>
        <w:b/>
        <w:bCs/>
      </w:rPr>
      <w:fldChar w:fldCharType="begin"/>
    </w:r>
    <w:r w:rsidRPr="00D95923">
      <w:rPr>
        <w:b/>
        <w:bCs/>
        <w:lang w:val="en-US"/>
      </w:rPr>
      <w:instrText xml:space="preserve"> PAGE </w:instrText>
    </w:r>
    <w:r w:rsidRPr="00D95923">
      <w:rPr>
        <w:b/>
        <w:bCs/>
      </w:rPr>
      <w:fldChar w:fldCharType="separate"/>
    </w:r>
    <w:r w:rsidR="00542E0A">
      <w:rPr>
        <w:b/>
        <w:bCs/>
        <w:noProof/>
        <w:lang w:val="en-US"/>
      </w:rPr>
      <w:t>5</w:t>
    </w:r>
    <w:r w:rsidRPr="00D95923">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ABE" w:rsidRPr="0089083E" w:rsidRDefault="00385ABE" w:rsidP="0089083E">
    <w:pPr>
      <w:tabs>
        <w:tab w:val="clear" w:pos="794"/>
        <w:tab w:val="clear" w:pos="1191"/>
        <w:tab w:val="clear" w:pos="1588"/>
        <w:tab w:val="clear" w:pos="1985"/>
        <w:tab w:val="center" w:pos="4820"/>
        <w:tab w:val="right" w:pos="9498"/>
      </w:tabs>
      <w:rPr>
        <w:lang w:val="en-US"/>
      </w:rPr>
    </w:pPr>
    <w:r w:rsidRPr="00D95923">
      <w:rPr>
        <w:lang w:val="en-US"/>
      </w:rPr>
      <w:tab/>
    </w:r>
    <w:r>
      <w:fldChar w:fldCharType="begin"/>
    </w:r>
    <w:r w:rsidRPr="005A7013">
      <w:rPr>
        <w:lang w:val="en-US"/>
      </w:rPr>
      <w:instrText xml:space="preserve"> DOCPROPERTY "Header 2" \* MERGEFORMAT </w:instrText>
    </w:r>
    <w:r>
      <w:fldChar w:fldCharType="separate"/>
    </w:r>
    <w:r w:rsidR="00542E0A" w:rsidRPr="00542E0A">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542E0A">
      <w:rPr>
        <w:b/>
        <w:bCs/>
        <w:noProof/>
      </w:rPr>
      <w:t>ITU-R  F.2326-0</w:t>
    </w:r>
    <w:r w:rsidRPr="00D95923">
      <w:fldChar w:fldCharType="end"/>
    </w:r>
    <w:r>
      <w:tab/>
    </w:r>
    <w:r w:rsidRPr="00D95923">
      <w:rPr>
        <w:b/>
        <w:bCs/>
      </w:rPr>
      <w:fldChar w:fldCharType="begin"/>
    </w:r>
    <w:r w:rsidRPr="00D95923">
      <w:rPr>
        <w:b/>
        <w:bCs/>
        <w:lang w:val="en-US"/>
      </w:rPr>
      <w:instrText xml:space="preserve"> PAGE </w:instrText>
    </w:r>
    <w:r w:rsidRPr="00D95923">
      <w:rPr>
        <w:b/>
        <w:bCs/>
      </w:rPr>
      <w:fldChar w:fldCharType="separate"/>
    </w:r>
    <w:r w:rsidR="00542E0A">
      <w:rPr>
        <w:b/>
        <w:bCs/>
        <w:noProof/>
        <w:lang w:val="en-US"/>
      </w:rPr>
      <w:t>1</w:t>
    </w:r>
    <w:r w:rsidRPr="00D95923">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ABE" w:rsidRPr="0089083E" w:rsidRDefault="00385ABE" w:rsidP="00514E68">
    <w:pPr>
      <w:tabs>
        <w:tab w:val="clear" w:pos="794"/>
        <w:tab w:val="clear" w:pos="1191"/>
        <w:tab w:val="clear" w:pos="1588"/>
        <w:tab w:val="clear" w:pos="1985"/>
        <w:tab w:val="center" w:pos="7088"/>
      </w:tabs>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542E0A">
      <w:rPr>
        <w:b/>
        <w:bCs/>
        <w:noProof/>
        <w:lang w:val="en-US"/>
      </w:rPr>
      <w:t>6</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542E0A" w:rsidRPr="00542E0A">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542E0A">
      <w:rPr>
        <w:b/>
        <w:bCs/>
        <w:noProof/>
      </w:rPr>
      <w:t>ITU-R  F.2326-0</w:t>
    </w:r>
    <w:r w:rsidRPr="00D95923">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ABE" w:rsidRPr="00792937" w:rsidRDefault="00385ABE" w:rsidP="005761BF">
    <w:pPr>
      <w:rPr>
        <w:rStyle w:val="PageNumber"/>
        <w:lang w:val="de-CH"/>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r w:rsidRPr="00792937">
      <w:rPr>
        <w:rStyle w:val="PageNumber"/>
        <w:lang w:val="de-CH"/>
      </w:rPr>
      <w:t xml:space="preserve"> -</w:t>
    </w:r>
  </w:p>
  <w:p w:rsidR="00385ABE" w:rsidRPr="00792937" w:rsidRDefault="00385ABE" w:rsidP="005761BF">
    <w:pPr>
      <w:rPr>
        <w:lang w:val="de-CH"/>
      </w:rPr>
    </w:pPr>
    <w:r w:rsidRPr="00792937">
      <w:rPr>
        <w:lang w:val="de-CH"/>
      </w:rPr>
      <w:t>5/122(Rev.</w:t>
    </w:r>
    <w:r>
      <w:rPr>
        <w:lang w:val="de-CH"/>
      </w:rPr>
      <w:t>1)</w:t>
    </w:r>
    <w:r w:rsidRPr="00792937">
      <w:rPr>
        <w:lang w:val="de-CH"/>
      </w:rPr>
      <w:t>-E</w:t>
    </w:r>
  </w:p>
  <w:p w:rsidR="00385ABE" w:rsidRPr="00792937" w:rsidRDefault="00385ABE" w:rsidP="005761BF">
    <w:pPr>
      <w:rPr>
        <w:lang w:val="de-CH"/>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ABE" w:rsidRPr="00514E68" w:rsidRDefault="00385ABE" w:rsidP="00514E68">
    <w:pPr>
      <w:tabs>
        <w:tab w:val="clear" w:pos="794"/>
        <w:tab w:val="clear" w:pos="1191"/>
        <w:tab w:val="clear" w:pos="1588"/>
        <w:tab w:val="clear" w:pos="1985"/>
        <w:tab w:val="center" w:pos="4820"/>
      </w:tabs>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542E0A">
      <w:rPr>
        <w:b/>
        <w:bCs/>
        <w:noProof/>
        <w:lang w:val="en-US"/>
      </w:rPr>
      <w:t>30</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542E0A" w:rsidRPr="00542E0A">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542E0A">
      <w:rPr>
        <w:b/>
        <w:bCs/>
        <w:noProof/>
      </w:rPr>
      <w:t>ITU-R  F.2326-0</w:t>
    </w:r>
    <w:r w:rsidRPr="00D95923">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ABE" w:rsidRPr="00514E68" w:rsidRDefault="00385ABE" w:rsidP="00514E68">
    <w:pPr>
      <w:tabs>
        <w:tab w:val="clear" w:pos="794"/>
        <w:tab w:val="clear" w:pos="1191"/>
        <w:tab w:val="clear" w:pos="1588"/>
        <w:tab w:val="clear" w:pos="1985"/>
        <w:tab w:val="center" w:pos="4820"/>
        <w:tab w:val="right" w:pos="9498"/>
      </w:tabs>
      <w:rPr>
        <w:lang w:val="en-US"/>
      </w:rPr>
    </w:pPr>
    <w:r w:rsidRPr="00D95923">
      <w:rPr>
        <w:lang w:val="en-US"/>
      </w:rPr>
      <w:tab/>
    </w:r>
    <w:r>
      <w:fldChar w:fldCharType="begin"/>
    </w:r>
    <w:r w:rsidRPr="005A7013">
      <w:rPr>
        <w:lang w:val="en-US"/>
      </w:rPr>
      <w:instrText xml:space="preserve"> DOCPROPERTY "Header 2" \* MERGEFORMAT </w:instrText>
    </w:r>
    <w:r>
      <w:fldChar w:fldCharType="separate"/>
    </w:r>
    <w:r w:rsidR="00542E0A" w:rsidRPr="00542E0A">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542E0A">
      <w:rPr>
        <w:b/>
        <w:bCs/>
        <w:noProof/>
      </w:rPr>
      <w:t>ITU-R  F.2326-0</w:t>
    </w:r>
    <w:r w:rsidRPr="00D95923">
      <w:fldChar w:fldCharType="end"/>
    </w:r>
    <w:r>
      <w:tab/>
    </w:r>
    <w:r w:rsidRPr="00D95923">
      <w:rPr>
        <w:b/>
        <w:bCs/>
      </w:rPr>
      <w:fldChar w:fldCharType="begin"/>
    </w:r>
    <w:r w:rsidRPr="00D95923">
      <w:rPr>
        <w:b/>
        <w:bCs/>
        <w:lang w:val="en-US"/>
      </w:rPr>
      <w:instrText xml:space="preserve"> PAGE </w:instrText>
    </w:r>
    <w:r w:rsidRPr="00D95923">
      <w:rPr>
        <w:b/>
        <w:bCs/>
      </w:rPr>
      <w:fldChar w:fldCharType="separate"/>
    </w:r>
    <w:r w:rsidR="00542E0A">
      <w:rPr>
        <w:b/>
        <w:bCs/>
        <w:noProof/>
        <w:lang w:val="en-US"/>
      </w:rPr>
      <w:t>29</w:t>
    </w:r>
    <w:r w:rsidRPr="00D9592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15A3B"/>
    <w:multiLevelType w:val="multilevel"/>
    <w:tmpl w:val="081A37FE"/>
    <w:lvl w:ilvl="0">
      <w:start w:val="1"/>
      <w:numFmt w:val="none"/>
      <w:lvlText w:val="%1"/>
      <w:lvlJc w:val="left"/>
      <w:pPr>
        <w:tabs>
          <w:tab w:val="num" w:pos="0"/>
        </w:tabs>
        <w:ind w:left="0" w:firstLine="0"/>
      </w:pPr>
      <w:rPr>
        <w:rFonts w:hint="default"/>
        <w:color w:val="FFFFFF"/>
      </w:rPr>
    </w:lvl>
    <w:lvl w:ilvl="1">
      <w:start w:val="1"/>
      <w:numFmt w:val="decimal"/>
      <w:lvlRestart w:val="0"/>
      <w:lvlText w:val="%2"/>
      <w:lvlJc w:val="left"/>
      <w:pPr>
        <w:tabs>
          <w:tab w:val="num" w:pos="0"/>
        </w:tabs>
        <w:ind w:left="0" w:hanging="720"/>
      </w:pPr>
      <w:rPr>
        <w:rFonts w:hint="default"/>
        <w:color w:val="FFFFFF"/>
      </w:rPr>
    </w:lvl>
    <w:lvl w:ilvl="2">
      <w:start w:val="1"/>
      <w:numFmt w:val="none"/>
      <w:lvlRestart w:val="0"/>
      <w:lvlText w:val=""/>
      <w:lvlJc w:val="left"/>
      <w:pPr>
        <w:tabs>
          <w:tab w:val="num" w:pos="284"/>
        </w:tabs>
        <w:ind w:left="284" w:firstLine="0"/>
      </w:pPr>
      <w:rPr>
        <w:rFonts w:hint="default"/>
      </w:rPr>
    </w:lvl>
    <w:lvl w:ilvl="3">
      <w:start w:val="1"/>
      <w:numFmt w:val="decimal"/>
      <w:lvlRestart w:val="2"/>
      <w:lvlText w:val="%2.%4"/>
      <w:lvlJc w:val="left"/>
      <w:pPr>
        <w:tabs>
          <w:tab w:val="num" w:pos="0"/>
        </w:tabs>
        <w:ind w:left="720" w:hanging="720"/>
      </w:pPr>
      <w:rPr>
        <w:rFonts w:hint="default"/>
      </w:rPr>
    </w:lvl>
    <w:lvl w:ilvl="4">
      <w:start w:val="1"/>
      <w:numFmt w:val="decimal"/>
      <w:lvlText w:val="%2.%4.%5"/>
      <w:lvlJc w:val="left"/>
      <w:pPr>
        <w:tabs>
          <w:tab w:val="num" w:pos="1656"/>
        </w:tabs>
        <w:ind w:left="1656" w:hanging="936"/>
      </w:pPr>
      <w:rPr>
        <w:rFonts w:hint="default"/>
      </w:rPr>
    </w:lvl>
    <w:lvl w:ilvl="5">
      <w:start w:val="1"/>
      <w:numFmt w:val="lowerLetter"/>
      <w:lvlRestart w:val="4"/>
      <w:lvlText w:val="%6)"/>
      <w:lvlJc w:val="left"/>
      <w:pPr>
        <w:tabs>
          <w:tab w:val="num" w:pos="1080"/>
        </w:tabs>
        <w:ind w:left="1080" w:hanging="360"/>
      </w:pPr>
      <w:rPr>
        <w:rFonts w:hint="default"/>
      </w:rPr>
    </w:lvl>
    <w:lvl w:ilvl="6">
      <w:start w:val="1"/>
      <w:numFmt w:val="lowerRoman"/>
      <w:lvlRestart w:val="4"/>
      <w:lvlText w:val="%7)"/>
      <w:lvlJc w:val="left"/>
      <w:pPr>
        <w:tabs>
          <w:tab w:val="num" w:pos="1080"/>
        </w:tabs>
        <w:ind w:left="1080" w:hanging="360"/>
      </w:pPr>
      <w:rPr>
        <w:rFonts w:hint="default"/>
        <w:color w:val="auto"/>
      </w:rPr>
    </w:lvl>
    <w:lvl w:ilvl="7">
      <w:start w:val="1"/>
      <w:numFmt w:val="none"/>
      <w:lvlRestart w:val="0"/>
      <w:lvlText w:val="%8"/>
      <w:lvlJc w:val="left"/>
      <w:pPr>
        <w:tabs>
          <w:tab w:val="num" w:pos="0"/>
        </w:tabs>
        <w:ind w:left="0" w:firstLine="0"/>
      </w:pPr>
      <w:rPr>
        <w:rFonts w:hint="default"/>
        <w:color w:val="auto"/>
      </w:rPr>
    </w:lvl>
    <w:lvl w:ilvl="8">
      <w:start w:val="1"/>
      <w:numFmt w:val="none"/>
      <w:lvlRestart w:val="0"/>
      <w:suff w:val="nothing"/>
      <w:lvlText w:val=""/>
      <w:lvlJc w:val="left"/>
      <w:pPr>
        <w:ind w:left="0" w:firstLine="0"/>
      </w:pPr>
      <w:rPr>
        <w:rFonts w:hint="default"/>
      </w:rPr>
    </w:lvl>
  </w:abstractNum>
  <w:abstractNum w:abstractNumId="1">
    <w:nsid w:val="02A3446C"/>
    <w:multiLevelType w:val="hybridMultilevel"/>
    <w:tmpl w:val="C28876E4"/>
    <w:lvl w:ilvl="0" w:tplc="1BA27D34">
      <w:start w:val="20"/>
      <w:numFmt w:val="bullet"/>
      <w:lvlText w:val="-"/>
      <w:lvlJc w:val="left"/>
      <w:pPr>
        <w:ind w:left="720" w:hanging="360"/>
      </w:pPr>
      <w:rPr>
        <w:rFonts w:ascii="CG Times" w:eastAsia="Times New Roman" w:hAnsi="CG Times"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D62083F"/>
    <w:multiLevelType w:val="multilevel"/>
    <w:tmpl w:val="0809001D"/>
    <w:lvl w:ilvl="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07D2D67"/>
    <w:multiLevelType w:val="hybridMultilevel"/>
    <w:tmpl w:val="4A00465C"/>
    <w:lvl w:ilvl="0" w:tplc="BE0EA49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6B260DF"/>
    <w:multiLevelType w:val="hybridMultilevel"/>
    <w:tmpl w:val="4D9CB2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1F6D446A"/>
    <w:multiLevelType w:val="hybridMultilevel"/>
    <w:tmpl w:val="2F345962"/>
    <w:lvl w:ilvl="0" w:tplc="2F10E9DC">
      <w:numFmt w:val="bullet"/>
      <w:lvlText w:val="·"/>
      <w:lvlJc w:val="left"/>
      <w:pPr>
        <w:ind w:left="645" w:hanging="360"/>
      </w:pPr>
      <w:rPr>
        <w:rFonts w:ascii="Arial" w:eastAsiaTheme="minorEastAsia" w:hAnsi="Arial" w:cs="Arial" w:hint="default"/>
        <w:i w:val="0"/>
      </w:rPr>
    </w:lvl>
    <w:lvl w:ilvl="1" w:tplc="08090003" w:tentative="1">
      <w:start w:val="1"/>
      <w:numFmt w:val="bullet"/>
      <w:lvlText w:val="o"/>
      <w:lvlJc w:val="left"/>
      <w:pPr>
        <w:ind w:left="1365" w:hanging="360"/>
      </w:pPr>
      <w:rPr>
        <w:rFonts w:ascii="Courier New" w:hAnsi="Courier New" w:cs="Courier New" w:hint="default"/>
      </w:rPr>
    </w:lvl>
    <w:lvl w:ilvl="2" w:tplc="08090005" w:tentative="1">
      <w:start w:val="1"/>
      <w:numFmt w:val="bullet"/>
      <w:lvlText w:val=""/>
      <w:lvlJc w:val="left"/>
      <w:pPr>
        <w:ind w:left="2085" w:hanging="360"/>
      </w:pPr>
      <w:rPr>
        <w:rFonts w:ascii="Wingdings" w:hAnsi="Wingdings" w:hint="default"/>
      </w:rPr>
    </w:lvl>
    <w:lvl w:ilvl="3" w:tplc="08090001" w:tentative="1">
      <w:start w:val="1"/>
      <w:numFmt w:val="bullet"/>
      <w:lvlText w:val=""/>
      <w:lvlJc w:val="left"/>
      <w:pPr>
        <w:ind w:left="2805" w:hanging="360"/>
      </w:pPr>
      <w:rPr>
        <w:rFonts w:ascii="Symbol" w:hAnsi="Symbol" w:hint="default"/>
      </w:rPr>
    </w:lvl>
    <w:lvl w:ilvl="4" w:tplc="08090003" w:tentative="1">
      <w:start w:val="1"/>
      <w:numFmt w:val="bullet"/>
      <w:lvlText w:val="o"/>
      <w:lvlJc w:val="left"/>
      <w:pPr>
        <w:ind w:left="3525" w:hanging="360"/>
      </w:pPr>
      <w:rPr>
        <w:rFonts w:ascii="Courier New" w:hAnsi="Courier New" w:cs="Courier New" w:hint="default"/>
      </w:rPr>
    </w:lvl>
    <w:lvl w:ilvl="5" w:tplc="08090005" w:tentative="1">
      <w:start w:val="1"/>
      <w:numFmt w:val="bullet"/>
      <w:lvlText w:val=""/>
      <w:lvlJc w:val="left"/>
      <w:pPr>
        <w:ind w:left="4245" w:hanging="360"/>
      </w:pPr>
      <w:rPr>
        <w:rFonts w:ascii="Wingdings" w:hAnsi="Wingdings" w:hint="default"/>
      </w:rPr>
    </w:lvl>
    <w:lvl w:ilvl="6" w:tplc="08090001" w:tentative="1">
      <w:start w:val="1"/>
      <w:numFmt w:val="bullet"/>
      <w:lvlText w:val=""/>
      <w:lvlJc w:val="left"/>
      <w:pPr>
        <w:ind w:left="4965" w:hanging="360"/>
      </w:pPr>
      <w:rPr>
        <w:rFonts w:ascii="Symbol" w:hAnsi="Symbol" w:hint="default"/>
      </w:rPr>
    </w:lvl>
    <w:lvl w:ilvl="7" w:tplc="08090003" w:tentative="1">
      <w:start w:val="1"/>
      <w:numFmt w:val="bullet"/>
      <w:lvlText w:val="o"/>
      <w:lvlJc w:val="left"/>
      <w:pPr>
        <w:ind w:left="5685" w:hanging="360"/>
      </w:pPr>
      <w:rPr>
        <w:rFonts w:ascii="Courier New" w:hAnsi="Courier New" w:cs="Courier New" w:hint="default"/>
      </w:rPr>
    </w:lvl>
    <w:lvl w:ilvl="8" w:tplc="08090005" w:tentative="1">
      <w:start w:val="1"/>
      <w:numFmt w:val="bullet"/>
      <w:lvlText w:val=""/>
      <w:lvlJc w:val="left"/>
      <w:pPr>
        <w:ind w:left="6405" w:hanging="360"/>
      </w:pPr>
      <w:rPr>
        <w:rFonts w:ascii="Wingdings" w:hAnsi="Wingdings" w:hint="default"/>
      </w:rPr>
    </w:lvl>
  </w:abstractNum>
  <w:abstractNum w:abstractNumId="6">
    <w:nsid w:val="229A3033"/>
    <w:multiLevelType w:val="hybridMultilevel"/>
    <w:tmpl w:val="B388F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A77B72"/>
    <w:multiLevelType w:val="hybridMultilevel"/>
    <w:tmpl w:val="9CF4CAE6"/>
    <w:lvl w:ilvl="0" w:tplc="C3705BD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0D5919"/>
    <w:multiLevelType w:val="hybridMultilevel"/>
    <w:tmpl w:val="6AC8E88E"/>
    <w:lvl w:ilvl="0" w:tplc="56766026">
      <w:start w:val="1"/>
      <w:numFmt w:val="decimal"/>
      <w:lvlText w:val="%1)"/>
      <w:lvlJc w:val="left"/>
      <w:pPr>
        <w:ind w:left="644" w:hanging="360"/>
      </w:pPr>
      <w:rPr>
        <w:rFonts w:ascii="Times New Roman" w:eastAsia="Times New Roman"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2B7A1C8D"/>
    <w:multiLevelType w:val="hybridMultilevel"/>
    <w:tmpl w:val="598EF2F2"/>
    <w:lvl w:ilvl="0" w:tplc="EAE4D58E">
      <w:start w:val="2"/>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2C672D5C"/>
    <w:multiLevelType w:val="hybridMultilevel"/>
    <w:tmpl w:val="4D4CCB62"/>
    <w:lvl w:ilvl="0" w:tplc="1DD8617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CCE24A2"/>
    <w:multiLevelType w:val="hybridMultilevel"/>
    <w:tmpl w:val="4BAC8F9C"/>
    <w:lvl w:ilvl="0" w:tplc="97563826">
      <w:start w:val="6"/>
      <w:numFmt w:val="bullet"/>
      <w:lvlText w:val="–"/>
      <w:lvlJc w:val="left"/>
      <w:pPr>
        <w:ind w:left="1080" w:hanging="360"/>
      </w:pPr>
      <w:rPr>
        <w:rFonts w:ascii="Times New Roman" w:eastAsia="MS Mincho" w:hAnsi="Times New Roman" w:cs="Times New Roman" w:hint="default"/>
        <w:b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1B23E9D"/>
    <w:multiLevelType w:val="hybridMultilevel"/>
    <w:tmpl w:val="087CD4B0"/>
    <w:lvl w:ilvl="0" w:tplc="A1DE6BF4">
      <w:start w:val="4"/>
      <w:numFmt w:val="bullet"/>
      <w:lvlText w:val="−"/>
      <w:lvlJc w:val="left"/>
      <w:pPr>
        <w:ind w:left="720" w:hanging="360"/>
      </w:pPr>
      <w:rPr>
        <w:rFonts w:ascii="CG Times" w:eastAsia="Times New Roman" w:hAnsi="CG Time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4C76229"/>
    <w:multiLevelType w:val="hybridMultilevel"/>
    <w:tmpl w:val="9288EB06"/>
    <w:lvl w:ilvl="0" w:tplc="B6DC90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353D20A7"/>
    <w:multiLevelType w:val="hybridMultilevel"/>
    <w:tmpl w:val="BAF49E8A"/>
    <w:lvl w:ilvl="0" w:tplc="9F1CA044">
      <w:start w:val="1"/>
      <w:numFmt w:val="lowerLetter"/>
      <w:lvlText w:val="%1)"/>
      <w:lvlJc w:val="left"/>
      <w:pPr>
        <w:ind w:left="1494" w:hanging="360"/>
      </w:pPr>
      <w:rPr>
        <w:rFonts w:ascii="Times" w:hAnsi="Time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5">
    <w:nsid w:val="3B200179"/>
    <w:multiLevelType w:val="hybridMultilevel"/>
    <w:tmpl w:val="6D4EC484"/>
    <w:lvl w:ilvl="0" w:tplc="F976EA00">
      <w:numFmt w:val="bullet"/>
      <w:lvlText w:val="•"/>
      <w:lvlJc w:val="left"/>
      <w:pPr>
        <w:ind w:left="1560" w:hanging="120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F0E09C4"/>
    <w:multiLevelType w:val="hybridMultilevel"/>
    <w:tmpl w:val="6EFC2992"/>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510022EB"/>
    <w:multiLevelType w:val="hybridMultilevel"/>
    <w:tmpl w:val="D88289E2"/>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nsid w:val="519D45A9"/>
    <w:multiLevelType w:val="hybridMultilevel"/>
    <w:tmpl w:val="68A03CDA"/>
    <w:lvl w:ilvl="0" w:tplc="C644A08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56CC1038"/>
    <w:multiLevelType w:val="hybridMultilevel"/>
    <w:tmpl w:val="9A72A8BE"/>
    <w:lvl w:ilvl="0" w:tplc="227C57EE">
      <w:start w:val="1"/>
      <w:numFmt w:val="lowerRoman"/>
      <w:lvlText w:val="%1."/>
      <w:lvlJc w:val="righ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4C11796"/>
    <w:multiLevelType w:val="multilevel"/>
    <w:tmpl w:val="7BAE55DE"/>
    <w:lvl w:ilvl="0">
      <w:start w:val="1"/>
      <w:numFmt w:val="decimal"/>
      <w:lvlText w:val="SECTION %1."/>
      <w:lvlJc w:val="right"/>
      <w:pPr>
        <w:ind w:left="1260" w:hanging="360"/>
      </w:pPr>
      <w:rPr>
        <w:rFonts w:ascii="Times New Roman" w:hAnsi="Times New Roman" w:hint="default"/>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679B0080"/>
    <w:multiLevelType w:val="hybridMultilevel"/>
    <w:tmpl w:val="D0108402"/>
    <w:lvl w:ilvl="0" w:tplc="697E8DA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735724CC"/>
    <w:multiLevelType w:val="hybridMultilevel"/>
    <w:tmpl w:val="F508BE5A"/>
    <w:lvl w:ilvl="0" w:tplc="058E94EE">
      <w:start w:val="1"/>
      <w:numFmt w:val="decimal"/>
      <w:lvlText w:val="%1."/>
      <w:lvlJc w:val="left"/>
      <w:pPr>
        <w:ind w:left="928" w:hanging="360"/>
      </w:pPr>
      <w:rPr>
        <w:rFonts w:hint="default"/>
      </w:rPr>
    </w:lvl>
    <w:lvl w:ilvl="1" w:tplc="08090019">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3">
    <w:nsid w:val="782037B5"/>
    <w:multiLevelType w:val="hybridMultilevel"/>
    <w:tmpl w:val="AF20D2E0"/>
    <w:lvl w:ilvl="0" w:tplc="C644A08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7B3212E4"/>
    <w:multiLevelType w:val="multilevel"/>
    <w:tmpl w:val="A724997C"/>
    <w:lvl w:ilvl="0">
      <w:start w:val="1"/>
      <w:numFmt w:val="decimal"/>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7C6E5929"/>
    <w:multiLevelType w:val="hybridMultilevel"/>
    <w:tmpl w:val="96860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DDF2948"/>
    <w:multiLevelType w:val="hybridMultilevel"/>
    <w:tmpl w:val="170C85AA"/>
    <w:lvl w:ilvl="0" w:tplc="4C18C26A">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num w:numId="1">
    <w:abstractNumId w:val="4"/>
  </w:num>
  <w:num w:numId="2">
    <w:abstractNumId w:val="20"/>
  </w:num>
  <w:num w:numId="3">
    <w:abstractNumId w:val="8"/>
  </w:num>
  <w:num w:numId="4">
    <w:abstractNumId w:val="3"/>
  </w:num>
  <w:num w:numId="5">
    <w:abstractNumId w:val="26"/>
  </w:num>
  <w:num w:numId="6">
    <w:abstractNumId w:val="16"/>
  </w:num>
  <w:num w:numId="7">
    <w:abstractNumId w:val="13"/>
  </w:num>
  <w:num w:numId="8">
    <w:abstractNumId w:val="17"/>
  </w:num>
  <w:num w:numId="9">
    <w:abstractNumId w:val="5"/>
  </w:num>
  <w:num w:numId="10">
    <w:abstractNumId w:val="2"/>
  </w:num>
  <w:num w:numId="11">
    <w:abstractNumId w:val="22"/>
  </w:num>
  <w:num w:numId="12">
    <w:abstractNumId w:val="0"/>
  </w:num>
  <w:num w:numId="13">
    <w:abstractNumId w:val="19"/>
  </w:num>
  <w:num w:numId="14">
    <w:abstractNumId w:val="24"/>
  </w:num>
  <w:num w:numId="15">
    <w:abstractNumId w:val="14"/>
  </w:num>
  <w:num w:numId="16">
    <w:abstractNumId w:val="21"/>
  </w:num>
  <w:num w:numId="17">
    <w:abstractNumId w:val="10"/>
  </w:num>
  <w:num w:numId="18">
    <w:abstractNumId w:val="25"/>
  </w:num>
  <w:num w:numId="19">
    <w:abstractNumId w:val="15"/>
  </w:num>
  <w:num w:numId="20">
    <w:abstractNumId w:val="6"/>
  </w:num>
  <w:num w:numId="21">
    <w:abstractNumId w:val="1"/>
  </w:num>
  <w:num w:numId="22">
    <w:abstractNumId w:val="12"/>
  </w:num>
  <w:num w:numId="23">
    <w:abstractNumId w:val="9"/>
  </w:num>
  <w:num w:numId="24">
    <w:abstractNumId w:val="18"/>
  </w:num>
  <w:num w:numId="25">
    <w:abstractNumId w:val="23"/>
  </w:num>
  <w:num w:numId="26">
    <w:abstractNumId w:val="11"/>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displayBackgroundShape/>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28F"/>
    <w:rsid w:val="00004394"/>
    <w:rsid w:val="00007419"/>
    <w:rsid w:val="000235E3"/>
    <w:rsid w:val="0004392C"/>
    <w:rsid w:val="0006092B"/>
    <w:rsid w:val="00073407"/>
    <w:rsid w:val="00083E63"/>
    <w:rsid w:val="000A0C8D"/>
    <w:rsid w:val="000A1F30"/>
    <w:rsid w:val="000F7763"/>
    <w:rsid w:val="00100F77"/>
    <w:rsid w:val="0013190E"/>
    <w:rsid w:val="00135300"/>
    <w:rsid w:val="001C0389"/>
    <w:rsid w:val="001D45D7"/>
    <w:rsid w:val="001D5531"/>
    <w:rsid w:val="001E7F80"/>
    <w:rsid w:val="00217EBF"/>
    <w:rsid w:val="002330EA"/>
    <w:rsid w:val="00242AEE"/>
    <w:rsid w:val="002679B7"/>
    <w:rsid w:val="00275AA8"/>
    <w:rsid w:val="00283341"/>
    <w:rsid w:val="0028786F"/>
    <w:rsid w:val="002A6FFA"/>
    <w:rsid w:val="002C0597"/>
    <w:rsid w:val="002C5FBE"/>
    <w:rsid w:val="002C6720"/>
    <w:rsid w:val="002D76C4"/>
    <w:rsid w:val="00304846"/>
    <w:rsid w:val="00313D18"/>
    <w:rsid w:val="00357646"/>
    <w:rsid w:val="0037365B"/>
    <w:rsid w:val="00385ABE"/>
    <w:rsid w:val="00393AEC"/>
    <w:rsid w:val="003A6AD8"/>
    <w:rsid w:val="003B414E"/>
    <w:rsid w:val="003C4EA3"/>
    <w:rsid w:val="003E7A02"/>
    <w:rsid w:val="003F73B1"/>
    <w:rsid w:val="00424D03"/>
    <w:rsid w:val="00452441"/>
    <w:rsid w:val="004823B7"/>
    <w:rsid w:val="00483641"/>
    <w:rsid w:val="00491AFF"/>
    <w:rsid w:val="004A76E7"/>
    <w:rsid w:val="004B38C3"/>
    <w:rsid w:val="004C0AC9"/>
    <w:rsid w:val="004C548C"/>
    <w:rsid w:val="004D6063"/>
    <w:rsid w:val="004D7A06"/>
    <w:rsid w:val="004E01CD"/>
    <w:rsid w:val="005010BD"/>
    <w:rsid w:val="005016B7"/>
    <w:rsid w:val="00514E68"/>
    <w:rsid w:val="0052529D"/>
    <w:rsid w:val="00536A16"/>
    <w:rsid w:val="00542E0A"/>
    <w:rsid w:val="00562BED"/>
    <w:rsid w:val="005731A3"/>
    <w:rsid w:val="00575B8A"/>
    <w:rsid w:val="00575F6D"/>
    <w:rsid w:val="005761BF"/>
    <w:rsid w:val="00592ECC"/>
    <w:rsid w:val="005A3E8F"/>
    <w:rsid w:val="005B5869"/>
    <w:rsid w:val="005D119B"/>
    <w:rsid w:val="005D2CBD"/>
    <w:rsid w:val="005D70BE"/>
    <w:rsid w:val="005E01F8"/>
    <w:rsid w:val="00602E29"/>
    <w:rsid w:val="00607D68"/>
    <w:rsid w:val="00615CCD"/>
    <w:rsid w:val="006255DA"/>
    <w:rsid w:val="00647CAF"/>
    <w:rsid w:val="00673AA7"/>
    <w:rsid w:val="006824BC"/>
    <w:rsid w:val="006A2C2D"/>
    <w:rsid w:val="006A3BDF"/>
    <w:rsid w:val="006B3194"/>
    <w:rsid w:val="006C23C3"/>
    <w:rsid w:val="006C2BAD"/>
    <w:rsid w:val="006C4C52"/>
    <w:rsid w:val="006C620A"/>
    <w:rsid w:val="006E771F"/>
    <w:rsid w:val="006F1CA3"/>
    <w:rsid w:val="0071695E"/>
    <w:rsid w:val="00727CD5"/>
    <w:rsid w:val="007468DA"/>
    <w:rsid w:val="00761B46"/>
    <w:rsid w:val="00770013"/>
    <w:rsid w:val="00784F9B"/>
    <w:rsid w:val="00797CFE"/>
    <w:rsid w:val="007B5048"/>
    <w:rsid w:val="007B516D"/>
    <w:rsid w:val="007E56B6"/>
    <w:rsid w:val="00804A53"/>
    <w:rsid w:val="00823453"/>
    <w:rsid w:val="00826E2F"/>
    <w:rsid w:val="0083488C"/>
    <w:rsid w:val="008418C2"/>
    <w:rsid w:val="00852FC1"/>
    <w:rsid w:val="0089083E"/>
    <w:rsid w:val="00891FAA"/>
    <w:rsid w:val="00897639"/>
    <w:rsid w:val="008B5E5F"/>
    <w:rsid w:val="008E34E1"/>
    <w:rsid w:val="008E437E"/>
    <w:rsid w:val="008F58B0"/>
    <w:rsid w:val="0090130C"/>
    <w:rsid w:val="00911AA7"/>
    <w:rsid w:val="009210E9"/>
    <w:rsid w:val="00924E0E"/>
    <w:rsid w:val="00925B87"/>
    <w:rsid w:val="0092698F"/>
    <w:rsid w:val="0095568A"/>
    <w:rsid w:val="0095787C"/>
    <w:rsid w:val="00970FDA"/>
    <w:rsid w:val="00973213"/>
    <w:rsid w:val="0098529F"/>
    <w:rsid w:val="009D036A"/>
    <w:rsid w:val="009D1FE4"/>
    <w:rsid w:val="009E00A8"/>
    <w:rsid w:val="00A05335"/>
    <w:rsid w:val="00A218CE"/>
    <w:rsid w:val="00A4569E"/>
    <w:rsid w:val="00A51A65"/>
    <w:rsid w:val="00A548DF"/>
    <w:rsid w:val="00A5725B"/>
    <w:rsid w:val="00A57276"/>
    <w:rsid w:val="00A6617B"/>
    <w:rsid w:val="00A77EDC"/>
    <w:rsid w:val="00A81EB5"/>
    <w:rsid w:val="00A92361"/>
    <w:rsid w:val="00AB0DC8"/>
    <w:rsid w:val="00AB64F6"/>
    <w:rsid w:val="00AC3951"/>
    <w:rsid w:val="00AD0F36"/>
    <w:rsid w:val="00AD5667"/>
    <w:rsid w:val="00AD774B"/>
    <w:rsid w:val="00AE5EF6"/>
    <w:rsid w:val="00AF59A0"/>
    <w:rsid w:val="00B12570"/>
    <w:rsid w:val="00B23070"/>
    <w:rsid w:val="00B35919"/>
    <w:rsid w:val="00B44E24"/>
    <w:rsid w:val="00B54A57"/>
    <w:rsid w:val="00B60A61"/>
    <w:rsid w:val="00B70E0B"/>
    <w:rsid w:val="00B74C26"/>
    <w:rsid w:val="00B95242"/>
    <w:rsid w:val="00BA572B"/>
    <w:rsid w:val="00BA7788"/>
    <w:rsid w:val="00BD303C"/>
    <w:rsid w:val="00BD4AF4"/>
    <w:rsid w:val="00BE2E8F"/>
    <w:rsid w:val="00C015C5"/>
    <w:rsid w:val="00C032E0"/>
    <w:rsid w:val="00C24737"/>
    <w:rsid w:val="00C42727"/>
    <w:rsid w:val="00C5123D"/>
    <w:rsid w:val="00C51D02"/>
    <w:rsid w:val="00C7058E"/>
    <w:rsid w:val="00CA1C71"/>
    <w:rsid w:val="00CA785C"/>
    <w:rsid w:val="00CC4A38"/>
    <w:rsid w:val="00CE1312"/>
    <w:rsid w:val="00D021AE"/>
    <w:rsid w:val="00D14ADD"/>
    <w:rsid w:val="00D3106D"/>
    <w:rsid w:val="00D40142"/>
    <w:rsid w:val="00D44DAA"/>
    <w:rsid w:val="00D529B7"/>
    <w:rsid w:val="00D62EA6"/>
    <w:rsid w:val="00D679EE"/>
    <w:rsid w:val="00D73F85"/>
    <w:rsid w:val="00DB6878"/>
    <w:rsid w:val="00DC71DA"/>
    <w:rsid w:val="00DD0201"/>
    <w:rsid w:val="00DD175E"/>
    <w:rsid w:val="00DD4546"/>
    <w:rsid w:val="00DF028F"/>
    <w:rsid w:val="00DF0A68"/>
    <w:rsid w:val="00DF4176"/>
    <w:rsid w:val="00E14E19"/>
    <w:rsid w:val="00E3505E"/>
    <w:rsid w:val="00E35D97"/>
    <w:rsid w:val="00E72DFA"/>
    <w:rsid w:val="00E7495F"/>
    <w:rsid w:val="00E777AF"/>
    <w:rsid w:val="00E82A2C"/>
    <w:rsid w:val="00E91981"/>
    <w:rsid w:val="00EB28CB"/>
    <w:rsid w:val="00EC76F8"/>
    <w:rsid w:val="00EE137B"/>
    <w:rsid w:val="00EF4450"/>
    <w:rsid w:val="00F1340F"/>
    <w:rsid w:val="00F136D8"/>
    <w:rsid w:val="00F20184"/>
    <w:rsid w:val="00F348BB"/>
    <w:rsid w:val="00F41739"/>
    <w:rsid w:val="00F52D20"/>
    <w:rsid w:val="00F56314"/>
    <w:rsid w:val="00FA30B8"/>
    <w:rsid w:val="00FA7BDD"/>
    <w:rsid w:val="00FB0BFC"/>
    <w:rsid w:val="00FB1E5D"/>
    <w:rsid w:val="00FB2343"/>
    <w:rsid w:val="00FC711E"/>
    <w:rsid w:val="00FD0810"/>
    <w:rsid w:val="00FE314A"/>
    <w:rsid w:val="00FE3568"/>
    <w:rsid w:val="00FF34A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5:docId w15:val="{39E9F2E3-E428-4215-9221-5A4D5563C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0A6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97639"/>
    <w:pPr>
      <w:keepNext/>
      <w:keepLines/>
      <w:spacing w:before="480"/>
      <w:ind w:left="794" w:hanging="794"/>
      <w:outlineLvl w:val="0"/>
    </w:pPr>
    <w:rPr>
      <w:b/>
    </w:rPr>
  </w:style>
  <w:style w:type="paragraph" w:styleId="Heading2">
    <w:name w:val="heading 2"/>
    <w:basedOn w:val="Heading1"/>
    <w:next w:val="Normal"/>
    <w:link w:val="Heading2Char"/>
    <w:qFormat/>
    <w:rsid w:val="00897639"/>
    <w:pPr>
      <w:spacing w:before="320"/>
      <w:outlineLvl w:val="1"/>
    </w:pPr>
  </w:style>
  <w:style w:type="paragraph" w:styleId="Heading3">
    <w:name w:val="heading 3"/>
    <w:basedOn w:val="Heading1"/>
    <w:next w:val="Normal"/>
    <w:link w:val="Heading3Char"/>
    <w:qFormat/>
    <w:rsid w:val="00897639"/>
    <w:pPr>
      <w:spacing w:before="200"/>
      <w:outlineLvl w:val="2"/>
    </w:pPr>
  </w:style>
  <w:style w:type="paragraph" w:styleId="Heading4">
    <w:name w:val="heading 4"/>
    <w:basedOn w:val="Heading3"/>
    <w:next w:val="Normal"/>
    <w:link w:val="Heading4Char"/>
    <w:qFormat/>
    <w:rsid w:val="00897639"/>
    <w:pPr>
      <w:tabs>
        <w:tab w:val="clear" w:pos="794"/>
        <w:tab w:val="left" w:pos="992"/>
      </w:tabs>
      <w:ind w:left="992" w:hanging="992"/>
      <w:outlineLvl w:val="3"/>
    </w:pPr>
  </w:style>
  <w:style w:type="paragraph" w:styleId="Heading5">
    <w:name w:val="heading 5"/>
    <w:basedOn w:val="Heading4"/>
    <w:next w:val="Normal"/>
    <w:link w:val="Heading5Char"/>
    <w:qFormat/>
    <w:rsid w:val="00897639"/>
    <w:pPr>
      <w:outlineLvl w:val="4"/>
    </w:pPr>
  </w:style>
  <w:style w:type="paragraph" w:styleId="Heading6">
    <w:name w:val="heading 6"/>
    <w:basedOn w:val="Heading4"/>
    <w:next w:val="Normal"/>
    <w:link w:val="Heading6Char"/>
    <w:qFormat/>
    <w:rsid w:val="00897639"/>
    <w:pPr>
      <w:tabs>
        <w:tab w:val="clear" w:pos="992"/>
        <w:tab w:val="clear" w:pos="1191"/>
      </w:tabs>
      <w:ind w:left="1588" w:hanging="1588"/>
      <w:outlineLvl w:val="5"/>
    </w:pPr>
  </w:style>
  <w:style w:type="paragraph" w:styleId="Heading7">
    <w:name w:val="heading 7"/>
    <w:basedOn w:val="Heading6"/>
    <w:next w:val="Normal"/>
    <w:link w:val="Heading7Char"/>
    <w:qFormat/>
    <w:rsid w:val="00897639"/>
    <w:pPr>
      <w:outlineLvl w:val="6"/>
    </w:pPr>
  </w:style>
  <w:style w:type="paragraph" w:styleId="Heading8">
    <w:name w:val="heading 8"/>
    <w:basedOn w:val="Heading6"/>
    <w:next w:val="Normal"/>
    <w:link w:val="Heading8Char"/>
    <w:qFormat/>
    <w:rsid w:val="00897639"/>
    <w:pPr>
      <w:outlineLvl w:val="7"/>
    </w:pPr>
  </w:style>
  <w:style w:type="paragraph" w:styleId="Heading9">
    <w:name w:val="heading 9"/>
    <w:basedOn w:val="Heading6"/>
    <w:next w:val="Normal"/>
    <w:link w:val="Heading9Char"/>
    <w:qFormat/>
    <w:rsid w:val="0089763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9763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897639"/>
    <w:rPr>
      <w:sz w:val="24"/>
      <w:lang w:val="fr-FR" w:eastAsia="en-US"/>
    </w:rPr>
  </w:style>
  <w:style w:type="character" w:styleId="PageNumber">
    <w:name w:val="page number"/>
    <w:basedOn w:val="DefaultParagraphFont"/>
    <w:rsid w:val="00897639"/>
  </w:style>
  <w:style w:type="paragraph" w:customStyle="1" w:styleId="Headingb">
    <w:name w:val="Heading_b"/>
    <w:basedOn w:val="Heading3"/>
    <w:next w:val="Normal"/>
    <w:link w:val="HeadingbChar"/>
    <w:rsid w:val="00897639"/>
    <w:pPr>
      <w:spacing w:before="160"/>
      <w:ind w:left="0" w:firstLine="0"/>
      <w:outlineLvl w:val="9"/>
    </w:pPr>
  </w:style>
  <w:style w:type="paragraph" w:customStyle="1" w:styleId="Headingi">
    <w:name w:val="Heading_i"/>
    <w:basedOn w:val="Heading3"/>
    <w:next w:val="Normal"/>
    <w:rsid w:val="00897639"/>
    <w:pPr>
      <w:spacing w:before="160"/>
      <w:ind w:left="0" w:firstLine="0"/>
    </w:pPr>
    <w:rPr>
      <w:b w:val="0"/>
      <w:i/>
    </w:rPr>
  </w:style>
  <w:style w:type="character" w:customStyle="1" w:styleId="href">
    <w:name w:val="href"/>
    <w:basedOn w:val="DefaultParagraphFont"/>
    <w:rsid w:val="00897639"/>
  </w:style>
  <w:style w:type="paragraph" w:customStyle="1" w:styleId="enumlev1">
    <w:name w:val="enumlev1"/>
    <w:basedOn w:val="Normal"/>
    <w:link w:val="enumlev1Char"/>
    <w:rsid w:val="00897639"/>
    <w:pPr>
      <w:spacing w:before="80"/>
      <w:ind w:left="794" w:hanging="794"/>
    </w:pPr>
  </w:style>
  <w:style w:type="paragraph" w:customStyle="1" w:styleId="enumlev2">
    <w:name w:val="enumlev2"/>
    <w:basedOn w:val="enumlev1"/>
    <w:rsid w:val="00897639"/>
    <w:pPr>
      <w:ind w:left="1191" w:hanging="397"/>
    </w:pPr>
  </w:style>
  <w:style w:type="paragraph" w:customStyle="1" w:styleId="enumlev3">
    <w:name w:val="enumlev3"/>
    <w:basedOn w:val="enumlev2"/>
    <w:rsid w:val="00897639"/>
    <w:pPr>
      <w:ind w:left="1588"/>
    </w:pPr>
  </w:style>
  <w:style w:type="paragraph" w:customStyle="1" w:styleId="Normalaftertitle">
    <w:name w:val="Normal_after_title"/>
    <w:basedOn w:val="Normal"/>
    <w:next w:val="Normal"/>
    <w:link w:val="NormalaftertitleChar"/>
    <w:rsid w:val="00897639"/>
    <w:pPr>
      <w:spacing w:before="320"/>
    </w:pPr>
  </w:style>
  <w:style w:type="paragraph" w:customStyle="1" w:styleId="Note">
    <w:name w:val="Note"/>
    <w:basedOn w:val="Normal"/>
    <w:link w:val="NoteChar"/>
    <w:rsid w:val="00897639"/>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89763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97639"/>
    <w:pPr>
      <w:spacing w:before="240"/>
    </w:pPr>
    <w:rPr>
      <w:sz w:val="22"/>
      <w:lang w:val="es-ES_tradnl"/>
    </w:rPr>
  </w:style>
  <w:style w:type="paragraph" w:customStyle="1" w:styleId="Recref">
    <w:name w:val="Rec_ref"/>
    <w:basedOn w:val="Normal"/>
    <w:next w:val="Recdate"/>
    <w:rsid w:val="00897639"/>
    <w:pPr>
      <w:jc w:val="center"/>
    </w:pPr>
  </w:style>
  <w:style w:type="paragraph" w:customStyle="1" w:styleId="Recdate">
    <w:name w:val="Rec_date"/>
    <w:basedOn w:val="Recref"/>
    <w:next w:val="Normalaftertitle"/>
    <w:rsid w:val="00897639"/>
    <w:pPr>
      <w:jc w:val="right"/>
    </w:pPr>
  </w:style>
  <w:style w:type="paragraph" w:customStyle="1" w:styleId="AnnexNoTitle">
    <w:name w:val="Annex_NoTitle"/>
    <w:basedOn w:val="Normal"/>
    <w:next w:val="Normalaftertitle"/>
    <w:rsid w:val="00897639"/>
    <w:pPr>
      <w:keepNext/>
      <w:keepLines/>
      <w:spacing w:before="480" w:after="80"/>
      <w:jc w:val="center"/>
    </w:pPr>
    <w:rPr>
      <w:b/>
      <w:sz w:val="28"/>
    </w:rPr>
  </w:style>
  <w:style w:type="paragraph" w:customStyle="1" w:styleId="AppendixNoTitle">
    <w:name w:val="Appendix_NoTitle"/>
    <w:basedOn w:val="AnnexNoTitle"/>
    <w:next w:val="Normal"/>
    <w:rsid w:val="00897639"/>
  </w:style>
  <w:style w:type="paragraph" w:customStyle="1" w:styleId="Tablefin">
    <w:name w:val="Table_fin"/>
    <w:basedOn w:val="Normal"/>
    <w:next w:val="Normal"/>
    <w:rsid w:val="00897639"/>
    <w:pPr>
      <w:spacing w:before="0"/>
    </w:pPr>
    <w:rPr>
      <w:sz w:val="20"/>
      <w:lang w:val="en-GB"/>
    </w:rPr>
  </w:style>
  <w:style w:type="paragraph" w:customStyle="1" w:styleId="Tablehead">
    <w:name w:val="Table_head"/>
    <w:basedOn w:val="Normal"/>
    <w:next w:val="Normal"/>
    <w:link w:val="TableheadChar"/>
    <w:rsid w:val="0089763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8976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97639"/>
    <w:pPr>
      <w:keepNext/>
      <w:spacing w:before="360" w:after="120"/>
      <w:jc w:val="center"/>
    </w:pPr>
  </w:style>
  <w:style w:type="paragraph" w:customStyle="1" w:styleId="Tabletext">
    <w:name w:val="Table_text"/>
    <w:basedOn w:val="Normal"/>
    <w:link w:val="TabletextChar"/>
    <w:rsid w:val="008976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897639"/>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89763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97639"/>
    <w:pPr>
      <w:ind w:left="794"/>
    </w:pPr>
  </w:style>
  <w:style w:type="paragraph" w:customStyle="1" w:styleId="Figurelegend">
    <w:name w:val="Figure_legend"/>
    <w:basedOn w:val="Normal"/>
    <w:rsid w:val="0089763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97639"/>
    <w:pPr>
      <w:keepNext/>
      <w:keepLines/>
      <w:spacing w:before="480" w:after="80"/>
      <w:jc w:val="center"/>
    </w:pPr>
    <w:rPr>
      <w:caps/>
      <w:sz w:val="18"/>
    </w:rPr>
  </w:style>
  <w:style w:type="paragraph" w:customStyle="1" w:styleId="tocpart">
    <w:name w:val="tocpart"/>
    <w:basedOn w:val="Normal"/>
    <w:rsid w:val="0089763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97639"/>
    <w:pPr>
      <w:keepNext/>
      <w:keepLines/>
      <w:spacing w:before="480"/>
      <w:jc w:val="center"/>
    </w:pPr>
    <w:rPr>
      <w:sz w:val="28"/>
    </w:rPr>
  </w:style>
  <w:style w:type="paragraph" w:customStyle="1" w:styleId="Arttitle">
    <w:name w:val="Art_title"/>
    <w:basedOn w:val="Normal"/>
    <w:next w:val="Normalaftertitle"/>
    <w:rsid w:val="00897639"/>
    <w:pPr>
      <w:keepNext/>
      <w:keepLines/>
      <w:spacing w:before="240"/>
      <w:jc w:val="center"/>
    </w:pPr>
    <w:rPr>
      <w:b/>
      <w:sz w:val="28"/>
    </w:rPr>
  </w:style>
  <w:style w:type="paragraph" w:customStyle="1" w:styleId="Blanc">
    <w:name w:val="Blanc"/>
    <w:basedOn w:val="Normal"/>
    <w:next w:val="Tabletext"/>
    <w:rsid w:val="0089763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9763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97639"/>
    <w:pPr>
      <w:keepNext/>
      <w:keepLines/>
      <w:spacing w:before="160"/>
      <w:ind w:left="794"/>
    </w:pPr>
    <w:rPr>
      <w:i/>
    </w:rPr>
  </w:style>
  <w:style w:type="paragraph" w:customStyle="1" w:styleId="ChapNo">
    <w:name w:val="Chap_No"/>
    <w:basedOn w:val="ArtNo"/>
    <w:next w:val="Chaptitle"/>
    <w:rsid w:val="00897639"/>
    <w:rPr>
      <w:b/>
    </w:rPr>
  </w:style>
  <w:style w:type="paragraph" w:customStyle="1" w:styleId="Chaptitle">
    <w:name w:val="Chap_title"/>
    <w:basedOn w:val="Arttitle"/>
    <w:next w:val="Normalaftertitle"/>
    <w:rsid w:val="00897639"/>
  </w:style>
  <w:style w:type="character" w:styleId="FootnoteReference">
    <w:name w:val="footnote reference"/>
    <w:basedOn w:val="DefaultParagraphFont"/>
    <w:rsid w:val="00897639"/>
    <w:rPr>
      <w:position w:val="6"/>
      <w:sz w:val="18"/>
    </w:rPr>
  </w:style>
  <w:style w:type="paragraph" w:styleId="Footer">
    <w:name w:val="footer"/>
    <w:basedOn w:val="Normal"/>
    <w:link w:val="FooterChar"/>
    <w:rsid w:val="00897639"/>
    <w:pPr>
      <w:tabs>
        <w:tab w:val="clear" w:pos="794"/>
        <w:tab w:val="clear" w:pos="1191"/>
        <w:tab w:val="clear" w:pos="1588"/>
        <w:tab w:val="clear" w:pos="1985"/>
      </w:tabs>
      <w:spacing w:before="0"/>
    </w:pPr>
    <w:rPr>
      <w:noProof/>
      <w:sz w:val="18"/>
    </w:rPr>
  </w:style>
  <w:style w:type="paragraph" w:styleId="Index1">
    <w:name w:val="index 1"/>
    <w:basedOn w:val="Normal"/>
    <w:next w:val="Normal"/>
    <w:semiHidden/>
    <w:rsid w:val="00897639"/>
  </w:style>
  <w:style w:type="paragraph" w:styleId="Index2">
    <w:name w:val="index 2"/>
    <w:basedOn w:val="Normal"/>
    <w:next w:val="Normal"/>
    <w:semiHidden/>
    <w:rsid w:val="00897639"/>
    <w:pPr>
      <w:ind w:left="283"/>
    </w:pPr>
  </w:style>
  <w:style w:type="paragraph" w:styleId="Index3">
    <w:name w:val="index 3"/>
    <w:basedOn w:val="Normal"/>
    <w:next w:val="Normal"/>
    <w:semiHidden/>
    <w:rsid w:val="00897639"/>
    <w:pPr>
      <w:ind w:left="566"/>
    </w:pPr>
  </w:style>
  <w:style w:type="paragraph" w:styleId="IndexHeading">
    <w:name w:val="index heading"/>
    <w:basedOn w:val="Normal"/>
    <w:next w:val="Index1"/>
    <w:rsid w:val="00897639"/>
  </w:style>
  <w:style w:type="paragraph" w:customStyle="1" w:styleId="Line">
    <w:name w:val="Line"/>
    <w:basedOn w:val="Normal"/>
    <w:next w:val="Normal"/>
    <w:rsid w:val="0089763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9763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97639"/>
  </w:style>
  <w:style w:type="paragraph" w:customStyle="1" w:styleId="Partref">
    <w:name w:val="Part_ref"/>
    <w:basedOn w:val="Normal"/>
    <w:next w:val="Normal"/>
    <w:rsid w:val="00897639"/>
    <w:pPr>
      <w:keepNext/>
      <w:keepLines/>
      <w:spacing w:after="280"/>
      <w:jc w:val="center"/>
    </w:pPr>
  </w:style>
  <w:style w:type="paragraph" w:customStyle="1" w:styleId="Parttitle">
    <w:name w:val="Part_title"/>
    <w:basedOn w:val="Normal"/>
    <w:next w:val="Normalaftertitle"/>
    <w:rsid w:val="0089763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97639"/>
  </w:style>
  <w:style w:type="paragraph" w:customStyle="1" w:styleId="QuestionNo">
    <w:name w:val="Question_No"/>
    <w:basedOn w:val="RecNo"/>
    <w:next w:val="Normal"/>
    <w:rsid w:val="00897639"/>
  </w:style>
  <w:style w:type="paragraph" w:customStyle="1" w:styleId="Questionref">
    <w:name w:val="Question_ref"/>
    <w:basedOn w:val="Recref"/>
    <w:next w:val="Questiondate"/>
    <w:rsid w:val="00897639"/>
  </w:style>
  <w:style w:type="paragraph" w:customStyle="1" w:styleId="Questiontitle">
    <w:name w:val="Question_title"/>
    <w:basedOn w:val="Normal"/>
    <w:next w:val="Questionref"/>
    <w:rsid w:val="00897639"/>
  </w:style>
  <w:style w:type="paragraph" w:customStyle="1" w:styleId="Reftext">
    <w:name w:val="Ref_text"/>
    <w:basedOn w:val="Normal"/>
    <w:rsid w:val="00897639"/>
    <w:pPr>
      <w:ind w:left="794" w:hanging="794"/>
    </w:pPr>
    <w:rPr>
      <w:sz w:val="22"/>
    </w:rPr>
  </w:style>
  <w:style w:type="paragraph" w:customStyle="1" w:styleId="Reftitle">
    <w:name w:val="Ref_title"/>
    <w:basedOn w:val="Normal"/>
    <w:next w:val="Reftext"/>
    <w:rsid w:val="0089763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97639"/>
  </w:style>
  <w:style w:type="paragraph" w:customStyle="1" w:styleId="RepNo">
    <w:name w:val="Rep_No"/>
    <w:basedOn w:val="RecNo"/>
    <w:next w:val="Reptitle"/>
    <w:rsid w:val="00897639"/>
  </w:style>
  <w:style w:type="paragraph" w:customStyle="1" w:styleId="Repref">
    <w:name w:val="Rep_ref"/>
    <w:basedOn w:val="Recref"/>
    <w:next w:val="Repdate"/>
    <w:rsid w:val="00897639"/>
  </w:style>
  <w:style w:type="paragraph" w:customStyle="1" w:styleId="Reptitle">
    <w:name w:val="Rep_title"/>
    <w:basedOn w:val="Rectitle"/>
    <w:next w:val="Repref"/>
    <w:rsid w:val="00897639"/>
  </w:style>
  <w:style w:type="paragraph" w:customStyle="1" w:styleId="Resdate">
    <w:name w:val="Res_date"/>
    <w:basedOn w:val="Recdate"/>
    <w:next w:val="Normalaftertitle"/>
    <w:rsid w:val="00897639"/>
  </w:style>
  <w:style w:type="paragraph" w:customStyle="1" w:styleId="ResNo">
    <w:name w:val="Res_No"/>
    <w:basedOn w:val="RecNo"/>
    <w:next w:val="Restitle"/>
    <w:rsid w:val="00897639"/>
  </w:style>
  <w:style w:type="paragraph" w:customStyle="1" w:styleId="Resref">
    <w:name w:val="Res_ref"/>
    <w:basedOn w:val="Recref"/>
    <w:next w:val="Resdate"/>
    <w:rsid w:val="00897639"/>
  </w:style>
  <w:style w:type="paragraph" w:customStyle="1" w:styleId="Restitle">
    <w:name w:val="Res_title"/>
    <w:basedOn w:val="Normal"/>
    <w:next w:val="Resref"/>
    <w:link w:val="RestitleChar"/>
    <w:rsid w:val="00897639"/>
    <w:pPr>
      <w:spacing w:before="240"/>
      <w:jc w:val="center"/>
    </w:pPr>
    <w:rPr>
      <w:b/>
      <w:sz w:val="28"/>
    </w:rPr>
  </w:style>
  <w:style w:type="paragraph" w:customStyle="1" w:styleId="SectionNo">
    <w:name w:val="Section_No"/>
    <w:basedOn w:val="Normal"/>
    <w:next w:val="Normal"/>
    <w:rsid w:val="00897639"/>
  </w:style>
  <w:style w:type="paragraph" w:customStyle="1" w:styleId="Sectiontitle">
    <w:name w:val="Section_title"/>
    <w:basedOn w:val="Normal"/>
    <w:next w:val="Normalaftertitle"/>
    <w:rsid w:val="0089763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97639"/>
    <w:pPr>
      <w:tabs>
        <w:tab w:val="clear" w:pos="794"/>
        <w:tab w:val="clear" w:pos="1191"/>
        <w:tab w:val="clear" w:pos="1588"/>
        <w:tab w:val="clear" w:pos="1985"/>
        <w:tab w:val="right" w:pos="9611"/>
      </w:tabs>
    </w:pPr>
    <w:rPr>
      <w:i/>
    </w:rPr>
  </w:style>
  <w:style w:type="paragraph" w:styleId="TOC1">
    <w:name w:val="toc 1"/>
    <w:basedOn w:val="Normal"/>
    <w:rsid w:val="008976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97639"/>
    <w:pPr>
      <w:tabs>
        <w:tab w:val="clear" w:pos="567"/>
        <w:tab w:val="left" w:pos="1276"/>
      </w:tabs>
      <w:spacing w:before="160"/>
      <w:ind w:left="1276" w:hanging="709"/>
    </w:pPr>
  </w:style>
  <w:style w:type="paragraph" w:styleId="TOC3">
    <w:name w:val="toc 3"/>
    <w:basedOn w:val="TOC2"/>
    <w:rsid w:val="00897639"/>
    <w:pPr>
      <w:tabs>
        <w:tab w:val="clear" w:pos="1276"/>
        <w:tab w:val="left" w:pos="2155"/>
      </w:tabs>
      <w:ind w:left="2155" w:hanging="879"/>
    </w:pPr>
  </w:style>
  <w:style w:type="paragraph" w:styleId="TOC4">
    <w:name w:val="toc 4"/>
    <w:basedOn w:val="TOC3"/>
    <w:rsid w:val="00897639"/>
    <w:pPr>
      <w:tabs>
        <w:tab w:val="left" w:pos="3261"/>
      </w:tabs>
      <w:spacing w:before="80"/>
      <w:ind w:left="3261" w:hanging="993"/>
    </w:pPr>
  </w:style>
  <w:style w:type="paragraph" w:styleId="TOC5">
    <w:name w:val="toc 5"/>
    <w:basedOn w:val="TOC4"/>
    <w:rsid w:val="00897639"/>
  </w:style>
  <w:style w:type="paragraph" w:styleId="TOC6">
    <w:name w:val="toc 6"/>
    <w:basedOn w:val="TOC4"/>
    <w:rsid w:val="00897639"/>
  </w:style>
  <w:style w:type="paragraph" w:styleId="TOC7">
    <w:name w:val="toc 7"/>
    <w:basedOn w:val="TOC4"/>
    <w:rsid w:val="00897639"/>
  </w:style>
  <w:style w:type="paragraph" w:styleId="TOC8">
    <w:name w:val="toc 8"/>
    <w:basedOn w:val="TOC4"/>
    <w:rsid w:val="00897639"/>
  </w:style>
  <w:style w:type="paragraph" w:customStyle="1" w:styleId="Rectitle">
    <w:name w:val="Rec_title"/>
    <w:basedOn w:val="Normal"/>
    <w:next w:val="Recref"/>
    <w:link w:val="RectitleChar"/>
    <w:rsid w:val="00897639"/>
    <w:pPr>
      <w:keepNext/>
      <w:keepLines/>
      <w:spacing w:before="240"/>
      <w:jc w:val="center"/>
    </w:pPr>
    <w:rPr>
      <w:b/>
      <w:sz w:val="28"/>
    </w:rPr>
  </w:style>
  <w:style w:type="paragraph" w:customStyle="1" w:styleId="Annexref">
    <w:name w:val="Annex_ref"/>
    <w:basedOn w:val="Normal"/>
    <w:next w:val="Normalaftertitle"/>
    <w:rsid w:val="00897639"/>
    <w:pPr>
      <w:keepNext/>
      <w:keepLines/>
      <w:spacing w:after="280"/>
      <w:jc w:val="center"/>
    </w:pPr>
  </w:style>
  <w:style w:type="paragraph" w:customStyle="1" w:styleId="Appendixref">
    <w:name w:val="Appendix_ref"/>
    <w:basedOn w:val="Annexref"/>
    <w:next w:val="Normalaftertitle"/>
    <w:rsid w:val="00897639"/>
  </w:style>
  <w:style w:type="paragraph" w:customStyle="1" w:styleId="Figuretitle">
    <w:name w:val="Figure_title"/>
    <w:basedOn w:val="Normal"/>
    <w:next w:val="Figure"/>
    <w:link w:val="FiguretitleChar"/>
    <w:rsid w:val="0092698F"/>
    <w:pPr>
      <w:keepNext/>
      <w:spacing w:before="0" w:after="120"/>
      <w:jc w:val="center"/>
    </w:pPr>
    <w:rPr>
      <w:b/>
      <w:sz w:val="18"/>
    </w:rPr>
  </w:style>
  <w:style w:type="paragraph" w:customStyle="1" w:styleId="Tabletitle">
    <w:name w:val="Table_title"/>
    <w:basedOn w:val="Normal"/>
    <w:next w:val="Tablehead"/>
    <w:link w:val="TabletitleChar"/>
    <w:rsid w:val="00897639"/>
    <w:pPr>
      <w:keepNext/>
      <w:spacing w:before="0" w:after="120"/>
      <w:jc w:val="center"/>
    </w:pPr>
    <w:rPr>
      <w:b/>
    </w:rPr>
  </w:style>
  <w:style w:type="paragraph" w:customStyle="1" w:styleId="Summary">
    <w:name w:val="Summary"/>
    <w:basedOn w:val="Normal"/>
    <w:next w:val="Normalaftertitle"/>
    <w:autoRedefine/>
    <w:rsid w:val="00897639"/>
    <w:pPr>
      <w:spacing w:after="480"/>
    </w:pPr>
    <w:rPr>
      <w:sz w:val="22"/>
      <w:lang w:val="es-ES_tradnl"/>
    </w:rPr>
  </w:style>
  <w:style w:type="paragraph" w:customStyle="1" w:styleId="TableLegendNote">
    <w:name w:val="Table_Legend_Note"/>
    <w:basedOn w:val="Tablelegend"/>
    <w:next w:val="Tablelegend"/>
    <w:rsid w:val="00897639"/>
    <w:pPr>
      <w:ind w:left="-85" w:firstLine="0"/>
    </w:pPr>
    <w:rPr>
      <w:lang w:val="en-US"/>
    </w:rPr>
  </w:style>
  <w:style w:type="paragraph" w:customStyle="1" w:styleId="Figure">
    <w:name w:val="Figure"/>
    <w:basedOn w:val="FigureNo"/>
    <w:next w:val="Normal"/>
    <w:rsid w:val="00897639"/>
    <w:pPr>
      <w:keepNext w:val="0"/>
      <w:spacing w:before="0" w:after="240"/>
    </w:pPr>
  </w:style>
  <w:style w:type="character" w:customStyle="1" w:styleId="Heading1Char">
    <w:name w:val="Heading 1 Char"/>
    <w:basedOn w:val="DefaultParagraphFont"/>
    <w:link w:val="Heading1"/>
    <w:rsid w:val="00DF028F"/>
    <w:rPr>
      <w:b/>
      <w:sz w:val="24"/>
      <w:lang w:val="fr-FR" w:eastAsia="en-US"/>
    </w:rPr>
  </w:style>
  <w:style w:type="character" w:customStyle="1" w:styleId="FooterChar">
    <w:name w:val="Footer Char"/>
    <w:basedOn w:val="DefaultParagraphFont"/>
    <w:link w:val="Footer"/>
    <w:rsid w:val="00897639"/>
    <w:rPr>
      <w:noProof/>
      <w:sz w:val="18"/>
      <w:lang w:val="fr-FR" w:eastAsia="en-US"/>
    </w:rPr>
  </w:style>
  <w:style w:type="character" w:styleId="Hyperlink">
    <w:name w:val="Hyperlink"/>
    <w:basedOn w:val="DefaultParagraphFont"/>
    <w:rsid w:val="00DF028F"/>
    <w:rPr>
      <w:color w:val="0000FF"/>
      <w:u w:val="single"/>
    </w:rPr>
  </w:style>
  <w:style w:type="character" w:customStyle="1" w:styleId="Heading2Char">
    <w:name w:val="Heading 2 Char"/>
    <w:basedOn w:val="DefaultParagraphFont"/>
    <w:link w:val="Heading2"/>
    <w:rsid w:val="00AF59A0"/>
    <w:rPr>
      <w:b/>
      <w:sz w:val="24"/>
      <w:lang w:val="fr-FR" w:eastAsia="en-US"/>
    </w:rPr>
  </w:style>
  <w:style w:type="character" w:customStyle="1" w:styleId="Heading3Char">
    <w:name w:val="Heading 3 Char"/>
    <w:basedOn w:val="DefaultParagraphFont"/>
    <w:link w:val="Heading3"/>
    <w:rsid w:val="00AF59A0"/>
    <w:rPr>
      <w:b/>
      <w:sz w:val="24"/>
      <w:lang w:val="fr-FR" w:eastAsia="en-US"/>
    </w:rPr>
  </w:style>
  <w:style w:type="character" w:customStyle="1" w:styleId="Heading4Char">
    <w:name w:val="Heading 4 Char"/>
    <w:basedOn w:val="DefaultParagraphFont"/>
    <w:link w:val="Heading4"/>
    <w:rsid w:val="00AF59A0"/>
    <w:rPr>
      <w:b/>
      <w:sz w:val="24"/>
      <w:lang w:val="fr-FR" w:eastAsia="en-US"/>
    </w:rPr>
  </w:style>
  <w:style w:type="character" w:customStyle="1" w:styleId="Heading5Char">
    <w:name w:val="Heading 5 Char"/>
    <w:basedOn w:val="DefaultParagraphFont"/>
    <w:link w:val="Heading5"/>
    <w:rsid w:val="00AF59A0"/>
    <w:rPr>
      <w:b/>
      <w:sz w:val="24"/>
      <w:lang w:val="fr-FR" w:eastAsia="en-US"/>
    </w:rPr>
  </w:style>
  <w:style w:type="character" w:customStyle="1" w:styleId="Heading6Char">
    <w:name w:val="Heading 6 Char"/>
    <w:basedOn w:val="DefaultParagraphFont"/>
    <w:link w:val="Heading6"/>
    <w:rsid w:val="00AF59A0"/>
    <w:rPr>
      <w:b/>
      <w:sz w:val="24"/>
      <w:lang w:val="fr-FR" w:eastAsia="en-US"/>
    </w:rPr>
  </w:style>
  <w:style w:type="character" w:customStyle="1" w:styleId="Heading7Char">
    <w:name w:val="Heading 7 Char"/>
    <w:basedOn w:val="DefaultParagraphFont"/>
    <w:link w:val="Heading7"/>
    <w:rsid w:val="00AF59A0"/>
    <w:rPr>
      <w:b/>
      <w:sz w:val="24"/>
      <w:lang w:val="fr-FR" w:eastAsia="en-US"/>
    </w:rPr>
  </w:style>
  <w:style w:type="character" w:customStyle="1" w:styleId="Heading8Char">
    <w:name w:val="Heading 8 Char"/>
    <w:basedOn w:val="DefaultParagraphFont"/>
    <w:link w:val="Heading8"/>
    <w:rsid w:val="00AF59A0"/>
    <w:rPr>
      <w:b/>
      <w:sz w:val="24"/>
      <w:lang w:val="fr-FR" w:eastAsia="en-US"/>
    </w:rPr>
  </w:style>
  <w:style w:type="character" w:customStyle="1" w:styleId="Heading9Char">
    <w:name w:val="Heading 9 Char"/>
    <w:basedOn w:val="DefaultParagraphFont"/>
    <w:link w:val="Heading9"/>
    <w:rsid w:val="00AF59A0"/>
    <w:rPr>
      <w:b/>
      <w:sz w:val="24"/>
      <w:lang w:val="fr-FR" w:eastAsia="en-US"/>
    </w:rPr>
  </w:style>
  <w:style w:type="paragraph" w:styleId="FootnoteText">
    <w:name w:val="footnote text"/>
    <w:basedOn w:val="Normal"/>
    <w:link w:val="FootnoteTextChar"/>
    <w:semiHidden/>
    <w:rsid w:val="00897639"/>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897639"/>
    <w:rPr>
      <w:sz w:val="22"/>
      <w:lang w:val="fr-FR" w:eastAsia="en-US"/>
    </w:rPr>
  </w:style>
  <w:style w:type="character" w:customStyle="1" w:styleId="TabletextChar">
    <w:name w:val="Table_text Char"/>
    <w:link w:val="Tabletext"/>
    <w:locked/>
    <w:rsid w:val="00AF59A0"/>
    <w:rPr>
      <w:sz w:val="22"/>
      <w:lang w:val="fr-FR" w:eastAsia="en-US"/>
    </w:rPr>
  </w:style>
  <w:style w:type="paragraph" w:styleId="Revision">
    <w:name w:val="Revision"/>
    <w:hidden/>
    <w:uiPriority w:val="99"/>
    <w:semiHidden/>
    <w:rsid w:val="00AF59A0"/>
    <w:rPr>
      <w:sz w:val="24"/>
      <w:lang w:val="en-GB" w:eastAsia="en-US"/>
    </w:rPr>
  </w:style>
  <w:style w:type="character" w:customStyle="1" w:styleId="enumlev1Char">
    <w:name w:val="enumlev1 Char"/>
    <w:link w:val="enumlev1"/>
    <w:locked/>
    <w:rsid w:val="00AF59A0"/>
    <w:rPr>
      <w:sz w:val="24"/>
      <w:lang w:val="fr-FR" w:eastAsia="en-US"/>
    </w:rPr>
  </w:style>
  <w:style w:type="character" w:customStyle="1" w:styleId="EquationlegendChar">
    <w:name w:val="Equation_legend Char"/>
    <w:link w:val="Equationlegend"/>
    <w:locked/>
    <w:rsid w:val="00AF59A0"/>
    <w:rPr>
      <w:sz w:val="24"/>
      <w:lang w:eastAsia="en-US"/>
    </w:rPr>
  </w:style>
  <w:style w:type="character" w:customStyle="1" w:styleId="TabletitleChar">
    <w:name w:val="Table_title Char"/>
    <w:link w:val="Tabletitle"/>
    <w:locked/>
    <w:rsid w:val="00AF59A0"/>
    <w:rPr>
      <w:b/>
      <w:sz w:val="24"/>
      <w:lang w:val="fr-FR" w:eastAsia="en-US"/>
    </w:rPr>
  </w:style>
  <w:style w:type="character" w:customStyle="1" w:styleId="FiguretitleChar">
    <w:name w:val="Figure_title Char"/>
    <w:link w:val="Figuretitle"/>
    <w:locked/>
    <w:rsid w:val="0092698F"/>
    <w:rPr>
      <w:b/>
      <w:sz w:val="18"/>
      <w:lang w:val="fr-FR" w:eastAsia="en-US"/>
    </w:rPr>
  </w:style>
  <w:style w:type="character" w:customStyle="1" w:styleId="FigureNoChar">
    <w:name w:val="Figure_No Char"/>
    <w:link w:val="FigureNo"/>
    <w:locked/>
    <w:rsid w:val="00AF59A0"/>
    <w:rPr>
      <w:caps/>
      <w:sz w:val="18"/>
      <w:lang w:val="fr-FR" w:eastAsia="en-US"/>
    </w:rPr>
  </w:style>
  <w:style w:type="character" w:customStyle="1" w:styleId="TableNoChar">
    <w:name w:val="Table_No Char"/>
    <w:link w:val="TableNo"/>
    <w:locked/>
    <w:rsid w:val="00AF59A0"/>
    <w:rPr>
      <w:sz w:val="24"/>
      <w:lang w:val="fr-FR" w:eastAsia="en-US"/>
    </w:rPr>
  </w:style>
  <w:style w:type="character" w:customStyle="1" w:styleId="RectitleChar">
    <w:name w:val="Rec_title Char"/>
    <w:link w:val="Rectitle"/>
    <w:locked/>
    <w:rsid w:val="00AF59A0"/>
    <w:rPr>
      <w:b/>
      <w:sz w:val="28"/>
      <w:lang w:val="fr-FR" w:eastAsia="en-US"/>
    </w:rPr>
  </w:style>
  <w:style w:type="character" w:customStyle="1" w:styleId="RecNoChar">
    <w:name w:val="Rec_No Char"/>
    <w:link w:val="RecNo"/>
    <w:locked/>
    <w:rsid w:val="00AF59A0"/>
    <w:rPr>
      <w:sz w:val="28"/>
      <w:lang w:val="fr-FR" w:eastAsia="en-US"/>
    </w:rPr>
  </w:style>
  <w:style w:type="character" w:customStyle="1" w:styleId="CallChar">
    <w:name w:val="Call Char"/>
    <w:link w:val="Call"/>
    <w:locked/>
    <w:rsid w:val="00AF59A0"/>
    <w:rPr>
      <w:i/>
      <w:sz w:val="24"/>
      <w:lang w:val="fr-FR" w:eastAsia="en-US"/>
    </w:rPr>
  </w:style>
  <w:style w:type="character" w:customStyle="1" w:styleId="TableheadChar">
    <w:name w:val="Table_head Char"/>
    <w:link w:val="Tablehead"/>
    <w:locked/>
    <w:rsid w:val="00AF59A0"/>
    <w:rPr>
      <w:b/>
      <w:sz w:val="22"/>
      <w:lang w:val="fr-FR" w:eastAsia="en-US"/>
    </w:rPr>
  </w:style>
  <w:style w:type="character" w:customStyle="1" w:styleId="NormalaftertitleChar">
    <w:name w:val="Normal_after_title Char"/>
    <w:link w:val="Normalaftertitle"/>
    <w:locked/>
    <w:rsid w:val="00AF59A0"/>
    <w:rPr>
      <w:sz w:val="24"/>
      <w:lang w:val="fr-FR" w:eastAsia="en-US"/>
    </w:rPr>
  </w:style>
  <w:style w:type="character" w:customStyle="1" w:styleId="TablelegendChar">
    <w:name w:val="Table_legend Char"/>
    <w:link w:val="Tablelegend"/>
    <w:locked/>
    <w:rsid w:val="00AF59A0"/>
    <w:rPr>
      <w:sz w:val="22"/>
      <w:lang w:val="fr-FR" w:eastAsia="en-US"/>
    </w:rPr>
  </w:style>
  <w:style w:type="character" w:customStyle="1" w:styleId="HeadingbChar">
    <w:name w:val="Heading_b Char"/>
    <w:link w:val="Headingb"/>
    <w:locked/>
    <w:rsid w:val="00AF59A0"/>
    <w:rPr>
      <w:b/>
      <w:sz w:val="24"/>
      <w:lang w:val="fr-FR" w:eastAsia="en-US"/>
    </w:rPr>
  </w:style>
  <w:style w:type="character" w:customStyle="1" w:styleId="EquationChar">
    <w:name w:val="Equation Char"/>
    <w:link w:val="Equation"/>
    <w:locked/>
    <w:rsid w:val="00AF59A0"/>
    <w:rPr>
      <w:sz w:val="24"/>
      <w:lang w:val="fr-FR" w:eastAsia="en-US"/>
    </w:rPr>
  </w:style>
  <w:style w:type="character" w:customStyle="1" w:styleId="NoteChar">
    <w:name w:val="Note Char"/>
    <w:link w:val="Note"/>
    <w:rsid w:val="00AF59A0"/>
    <w:rPr>
      <w:sz w:val="22"/>
      <w:lang w:val="fr-FR" w:eastAsia="en-US"/>
    </w:rPr>
  </w:style>
  <w:style w:type="character" w:customStyle="1" w:styleId="RestitleChar">
    <w:name w:val="Res_title Char"/>
    <w:link w:val="Restitle"/>
    <w:rsid w:val="00AF59A0"/>
    <w:rPr>
      <w:b/>
      <w:sz w:val="28"/>
      <w:lang w:val="fr-FR" w:eastAsia="en-US"/>
    </w:rPr>
  </w:style>
  <w:style w:type="table" w:styleId="TableGrid">
    <w:name w:val="Table Grid"/>
    <w:basedOn w:val="TableNormal"/>
    <w:rsid w:val="00761B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D14ADD"/>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FigureTitle0">
    <w:name w:val="Figure_Title"/>
    <w:basedOn w:val="Tabletitle"/>
    <w:next w:val="Normal"/>
    <w:rsid w:val="001E7F80"/>
    <w:pPr>
      <w:keepNext w:val="0"/>
      <w:keepLines/>
      <w:spacing w:after="480"/>
    </w:pPr>
    <w:rPr>
      <w:rFonts w:eastAsia="SimSun"/>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header" Target="header3.xml"/><Relationship Id="rId26" Type="http://schemas.openxmlformats.org/officeDocument/2006/relationships/footer" Target="footer4.xml"/><Relationship Id="rId39" Type="http://schemas.openxmlformats.org/officeDocument/2006/relationships/oleObject" Target="embeddings/oleObject8.bin"/><Relationship Id="rId21" Type="http://schemas.openxmlformats.org/officeDocument/2006/relationships/footer" Target="footer2.xml"/><Relationship Id="rId34" Type="http://schemas.openxmlformats.org/officeDocument/2006/relationships/oleObject" Target="embeddings/oleObject5.bin"/><Relationship Id="rId42" Type="http://schemas.openxmlformats.org/officeDocument/2006/relationships/image" Target="media/image11.wmf"/><Relationship Id="rId47" Type="http://schemas.openxmlformats.org/officeDocument/2006/relationships/image" Target="media/image14.wmf"/><Relationship Id="rId50" Type="http://schemas.openxmlformats.org/officeDocument/2006/relationships/oleObject" Target="embeddings/oleObject13.bin"/><Relationship Id="rId55" Type="http://schemas.openxmlformats.org/officeDocument/2006/relationships/chart" Target="charts/chart9.xml"/><Relationship Id="rId63" Type="http://schemas.openxmlformats.org/officeDocument/2006/relationships/chart" Target="charts/chart17.xml"/><Relationship Id="rId68" Type="http://schemas.openxmlformats.org/officeDocument/2006/relationships/chart" Target="charts/chart22.xml"/><Relationship Id="rId76" Type="http://schemas.openxmlformats.org/officeDocument/2006/relationships/chart" Target="charts/chart30.xml"/><Relationship Id="rId7" Type="http://schemas.openxmlformats.org/officeDocument/2006/relationships/endnotes" Target="endnotes.xml"/><Relationship Id="rId71" Type="http://schemas.openxmlformats.org/officeDocument/2006/relationships/chart" Target="charts/chart25.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6.wmf"/><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7.emf"/><Relationship Id="rId37" Type="http://schemas.openxmlformats.org/officeDocument/2006/relationships/oleObject" Target="embeddings/oleObject7.bin"/><Relationship Id="rId40" Type="http://schemas.openxmlformats.org/officeDocument/2006/relationships/image" Target="media/image10.wmf"/><Relationship Id="rId45" Type="http://schemas.openxmlformats.org/officeDocument/2006/relationships/oleObject" Target="embeddings/oleObject11.bin"/><Relationship Id="rId53" Type="http://schemas.openxmlformats.org/officeDocument/2006/relationships/chart" Target="charts/chart7.xml"/><Relationship Id="rId58" Type="http://schemas.openxmlformats.org/officeDocument/2006/relationships/chart" Target="charts/chart12.xml"/><Relationship Id="rId66" Type="http://schemas.openxmlformats.org/officeDocument/2006/relationships/chart" Target="charts/chart20.xml"/><Relationship Id="rId74" Type="http://schemas.openxmlformats.org/officeDocument/2006/relationships/chart" Target="charts/chart28.xml"/><Relationship Id="rId79" Type="http://schemas.openxmlformats.org/officeDocument/2006/relationships/chart" Target="charts/chart33.xml"/><Relationship Id="rId5" Type="http://schemas.openxmlformats.org/officeDocument/2006/relationships/webSettings" Target="webSettings.xml"/><Relationship Id="rId61" Type="http://schemas.openxmlformats.org/officeDocument/2006/relationships/chart" Target="charts/chart15.xml"/><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oleObject" Target="embeddings/oleObject3.bin"/><Relationship Id="rId44" Type="http://schemas.openxmlformats.org/officeDocument/2006/relationships/image" Target="media/image12.wmf"/><Relationship Id="rId52" Type="http://schemas.openxmlformats.org/officeDocument/2006/relationships/chart" Target="charts/chart6.xml"/><Relationship Id="rId60" Type="http://schemas.openxmlformats.org/officeDocument/2006/relationships/chart" Target="charts/chart14.xml"/><Relationship Id="rId65" Type="http://schemas.openxmlformats.org/officeDocument/2006/relationships/chart" Target="charts/chart19.xml"/><Relationship Id="rId73" Type="http://schemas.openxmlformats.org/officeDocument/2006/relationships/chart" Target="charts/chart27.xml"/><Relationship Id="rId78" Type="http://schemas.openxmlformats.org/officeDocument/2006/relationships/chart" Target="charts/chart32.xml"/><Relationship Id="rId8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header" Target="header5.xml"/><Relationship Id="rId27" Type="http://schemas.openxmlformats.org/officeDocument/2006/relationships/chart" Target="charts/chart3.xml"/><Relationship Id="rId30" Type="http://schemas.openxmlformats.org/officeDocument/2006/relationships/oleObject" Target="embeddings/oleObject2.bin"/><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oleObject" Target="embeddings/oleObject12.bin"/><Relationship Id="rId56" Type="http://schemas.openxmlformats.org/officeDocument/2006/relationships/chart" Target="charts/chart10.xml"/><Relationship Id="rId64" Type="http://schemas.openxmlformats.org/officeDocument/2006/relationships/chart" Target="charts/chart18.xml"/><Relationship Id="rId69" Type="http://schemas.openxmlformats.org/officeDocument/2006/relationships/chart" Target="charts/chart23.xml"/><Relationship Id="rId77" Type="http://schemas.openxmlformats.org/officeDocument/2006/relationships/chart" Target="charts/chart31.xml"/><Relationship Id="rId8" Type="http://schemas.openxmlformats.org/officeDocument/2006/relationships/image" Target="media/image1.wmf"/><Relationship Id="rId51" Type="http://schemas.openxmlformats.org/officeDocument/2006/relationships/chart" Target="charts/chart5.xml"/><Relationship Id="rId72" Type="http://schemas.openxmlformats.org/officeDocument/2006/relationships/chart" Target="charts/chart26.xml"/><Relationship Id="rId80" Type="http://schemas.openxmlformats.org/officeDocument/2006/relationships/header" Target="header8.xm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chart" Target="charts/chart2.xml"/><Relationship Id="rId25" Type="http://schemas.openxmlformats.org/officeDocument/2006/relationships/header" Target="header7.xml"/><Relationship Id="rId33" Type="http://schemas.openxmlformats.org/officeDocument/2006/relationships/oleObject" Target="embeddings/oleObject4.bin"/><Relationship Id="rId38" Type="http://schemas.openxmlformats.org/officeDocument/2006/relationships/image" Target="media/image9.emf"/><Relationship Id="rId46" Type="http://schemas.openxmlformats.org/officeDocument/2006/relationships/image" Target="media/image13.wmf"/><Relationship Id="rId59" Type="http://schemas.openxmlformats.org/officeDocument/2006/relationships/chart" Target="charts/chart13.xml"/><Relationship Id="rId67" Type="http://schemas.openxmlformats.org/officeDocument/2006/relationships/chart" Target="charts/chart21.xml"/><Relationship Id="rId20" Type="http://schemas.openxmlformats.org/officeDocument/2006/relationships/footer" Target="footer1.xml"/><Relationship Id="rId41" Type="http://schemas.openxmlformats.org/officeDocument/2006/relationships/oleObject" Target="embeddings/oleObject9.bin"/><Relationship Id="rId54" Type="http://schemas.openxmlformats.org/officeDocument/2006/relationships/chart" Target="charts/chart8.xml"/><Relationship Id="rId62" Type="http://schemas.openxmlformats.org/officeDocument/2006/relationships/chart" Target="charts/chart16.xml"/><Relationship Id="rId70" Type="http://schemas.openxmlformats.org/officeDocument/2006/relationships/chart" Target="charts/chart24.xml"/><Relationship Id="rId75" Type="http://schemas.openxmlformats.org/officeDocument/2006/relationships/chart" Target="charts/chart29.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footer" Target="footer3.xml"/><Relationship Id="rId28" Type="http://schemas.openxmlformats.org/officeDocument/2006/relationships/chart" Target="charts/chart4.xml"/><Relationship Id="rId36" Type="http://schemas.openxmlformats.org/officeDocument/2006/relationships/image" Target="media/image8.emf"/><Relationship Id="rId49" Type="http://schemas.openxmlformats.org/officeDocument/2006/relationships/image" Target="media/image15.wmf"/><Relationship Id="rId57" Type="http://schemas.openxmlformats.org/officeDocument/2006/relationships/chart" Target="charts/chart1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5.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7.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8.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9.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0.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1.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2.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4.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5.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26.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27.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8647471697617"/>
          <c:y val="5.2980935522594572E-2"/>
          <c:w val="0.84120471783132367"/>
          <c:h val="0.73465787706769392"/>
        </c:manualLayout>
      </c:layout>
      <c:scatterChart>
        <c:scatterStyle val="lineMarker"/>
        <c:varyColors val="0"/>
        <c:ser>
          <c:idx val="0"/>
          <c:order val="0"/>
          <c:tx>
            <c:strRef>
              <c:f>Лист1!$B$1</c:f>
              <c:strCache>
                <c:ptCount val="1"/>
                <c:pt idx="0">
                  <c:v>Band 5925-6425 MHz,                Channel
Separation 20 MHz</c:v>
                </c:pt>
              </c:strCache>
            </c:strRef>
          </c:tx>
          <c:spPr>
            <a:ln w="38100">
              <a:solidFill>
                <a:sysClr val="windowText" lastClr="000000"/>
              </a:solidFill>
            </a:ln>
          </c:spPr>
          <c:marker>
            <c:symbol val="none"/>
          </c:marker>
          <c:xVal>
            <c:numRef>
              <c:f>Лист1!$A$2:$A$9</c:f>
              <c:numCache>
                <c:formatCode>0.00</c:formatCode>
                <c:ptCount val="8"/>
                <c:pt idx="0">
                  <c:v>-20.05</c:v>
                </c:pt>
                <c:pt idx="1">
                  <c:v>-15.05</c:v>
                </c:pt>
                <c:pt idx="2">
                  <c:v>-10.050000000000002</c:v>
                </c:pt>
                <c:pt idx="3">
                  <c:v>-10</c:v>
                </c:pt>
                <c:pt idx="4">
                  <c:v>10</c:v>
                </c:pt>
                <c:pt idx="5">
                  <c:v>10.050000000000002</c:v>
                </c:pt>
                <c:pt idx="6">
                  <c:v>15.05</c:v>
                </c:pt>
                <c:pt idx="7">
                  <c:v>20.05</c:v>
                </c:pt>
              </c:numCache>
            </c:numRef>
          </c:xVal>
          <c:yVal>
            <c:numRef>
              <c:f>Лист1!$B$2:$B$9</c:f>
              <c:numCache>
                <c:formatCode>0.00</c:formatCode>
                <c:ptCount val="8"/>
                <c:pt idx="0">
                  <c:v>48</c:v>
                </c:pt>
                <c:pt idx="1">
                  <c:v>48</c:v>
                </c:pt>
                <c:pt idx="2">
                  <c:v>40.93</c:v>
                </c:pt>
                <c:pt idx="3">
                  <c:v>0</c:v>
                </c:pt>
                <c:pt idx="4">
                  <c:v>0</c:v>
                </c:pt>
                <c:pt idx="5">
                  <c:v>40.93</c:v>
                </c:pt>
                <c:pt idx="6">
                  <c:v>48</c:v>
                </c:pt>
                <c:pt idx="7">
                  <c:v>48</c:v>
                </c:pt>
              </c:numCache>
            </c:numRef>
          </c:yVal>
          <c:smooth val="0"/>
        </c:ser>
        <c:dLbls>
          <c:showLegendKey val="0"/>
          <c:showVal val="0"/>
          <c:showCatName val="0"/>
          <c:showSerName val="0"/>
          <c:showPercent val="0"/>
          <c:showBubbleSize val="0"/>
        </c:dLbls>
        <c:axId val="615828880"/>
        <c:axId val="615830056"/>
      </c:scatterChart>
      <c:valAx>
        <c:axId val="615828880"/>
        <c:scaling>
          <c:orientation val="minMax"/>
        </c:scaling>
        <c:delete val="0"/>
        <c:axPos val="t"/>
        <c:majorGridlines/>
        <c:minorGridlines/>
        <c:title>
          <c:tx>
            <c:rich>
              <a:bodyPr/>
              <a:lstStyle/>
              <a:p>
                <a:pPr>
                  <a:defRPr/>
                </a:pPr>
                <a:r>
                  <a:rPr lang="en-US" sz="1000" b="1" i="0" baseline="0">
                    <a:effectLst/>
                    <a:latin typeface="Symbol" panose="05050102010706020507" pitchFamily="18" charset="2"/>
                  </a:rPr>
                  <a:t>D</a:t>
                </a:r>
                <a:r>
                  <a:rPr lang="en-US" sz="1000" b="1" i="0" baseline="0">
                    <a:effectLst/>
                  </a:rPr>
                  <a:t> </a:t>
                </a:r>
                <a:r>
                  <a:rPr lang="en-US" sz="1000" b="1" i="1" baseline="0">
                    <a:effectLst/>
                  </a:rPr>
                  <a:t>f</a:t>
                </a:r>
                <a:r>
                  <a:rPr lang="en-US" sz="1000" b="1" i="0" baseline="0">
                    <a:effectLst/>
                  </a:rPr>
                  <a:t> (MHz)</a:t>
                </a:r>
                <a:endParaRPr lang="ru-RU" sz="1000">
                  <a:effectLst/>
                </a:endParaRPr>
              </a:p>
            </c:rich>
          </c:tx>
          <c:layout>
            <c:manualLayout>
              <c:xMode val="edge"/>
              <c:yMode val="edge"/>
              <c:x val="0.48611699853307838"/>
              <c:y val="0.89791819099535486"/>
            </c:manualLayout>
          </c:layout>
          <c:overlay val="0"/>
        </c:title>
        <c:numFmt formatCode="0.00" sourceLinked="1"/>
        <c:majorTickMark val="none"/>
        <c:minorTickMark val="none"/>
        <c:tickLblPos val="high"/>
        <c:crossAx val="615830056"/>
        <c:crosses val="autoZero"/>
        <c:crossBetween val="midCat"/>
        <c:minorUnit val="1"/>
      </c:valAx>
      <c:valAx>
        <c:axId val="615830056"/>
        <c:scaling>
          <c:orientation val="maxMin"/>
          <c:max val="50"/>
        </c:scaling>
        <c:delete val="0"/>
        <c:axPos val="l"/>
        <c:majorGridlines>
          <c:spPr>
            <a:ln>
              <a:solidFill>
                <a:sysClr val="windowText" lastClr="000000"/>
              </a:solidFill>
            </a:ln>
          </c:spPr>
        </c:majorGridlines>
        <c:minorGridlines/>
        <c:title>
          <c:tx>
            <c:rich>
              <a:bodyPr rot="-5400000" vert="horz"/>
              <a:lstStyle/>
              <a:p>
                <a:pPr>
                  <a:defRPr sz="1000"/>
                </a:pPr>
                <a:r>
                  <a:rPr lang="en-US" sz="1000" b="1" i="1" baseline="0">
                    <a:effectLst/>
                  </a:rPr>
                  <a:t>a </a:t>
                </a:r>
                <a:r>
                  <a:rPr lang="en-US" sz="1000" b="1" i="0" baseline="0">
                    <a:effectLst/>
                  </a:rPr>
                  <a:t>(dB)</a:t>
                </a:r>
                <a:endParaRPr lang="ru-RU" sz="1000">
                  <a:effectLst/>
                </a:endParaRPr>
              </a:p>
            </c:rich>
          </c:tx>
          <c:layout>
            <c:manualLayout>
              <c:xMode val="edge"/>
              <c:yMode val="edge"/>
              <c:x val="2.6254086660220152E-2"/>
              <c:y val="0.45278998586715213"/>
            </c:manualLayout>
          </c:layout>
          <c:overlay val="0"/>
        </c:title>
        <c:numFmt formatCode="0" sourceLinked="0"/>
        <c:majorTickMark val="none"/>
        <c:minorTickMark val="none"/>
        <c:tickLblPos val="low"/>
        <c:crossAx val="615828880"/>
        <c:crosses val="autoZero"/>
        <c:crossBetween val="midCat"/>
        <c:majorUnit val="5"/>
        <c:minorUnit val="5"/>
      </c:valAx>
    </c:plotArea>
    <c:legend>
      <c:legendPos val="l"/>
      <c:layout>
        <c:manualLayout>
          <c:xMode val="edge"/>
          <c:yMode val="edge"/>
          <c:x val="0.40053620938227885"/>
          <c:y val="0.232288754603349"/>
          <c:w val="0.28610631945901582"/>
          <c:h val="0.21836619259801876"/>
        </c:manualLayout>
      </c:layout>
      <c:overlay val="1"/>
      <c:spPr>
        <a:solidFill>
          <a:sysClr val="window" lastClr="FFFFFF"/>
        </a:solidFill>
      </c:spPr>
      <c:txPr>
        <a:bodyPr/>
        <a:lstStyle/>
        <a:p>
          <a:pPr>
            <a:defRPr sz="800"/>
          </a:pPr>
          <a:endParaRPr lang="en-US"/>
        </a:p>
      </c:txPr>
    </c:legend>
    <c:plotVisOnly val="1"/>
    <c:dispBlanksAs val="gap"/>
    <c:showDLblsOverMax val="0"/>
  </c:chart>
  <c:spPr>
    <a:ln w="15875">
      <a:solidFill>
        <a:sysClr val="windowText" lastClr="000000"/>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700"/>
            </a:pPr>
            <a:r>
              <a:rPr lang="fr-FR" sz="700" b="1" i="0" baseline="0">
                <a:effectLst/>
                <a:latin typeface="Times New Roman" panose="02020603050405020304" pitchFamily="18" charset="0"/>
                <a:cs typeface="Times New Roman" panose="02020603050405020304" pitchFamily="18" charset="0"/>
              </a:rPr>
              <a:t>(</a:t>
            </a:r>
            <a:r>
              <a:rPr lang="en-US" sz="700" b="1" i="1" baseline="0">
                <a:effectLst/>
                <a:latin typeface="Times New Roman" panose="02020603050405020304" pitchFamily="18" charset="0"/>
                <a:cs typeface="Times New Roman" panose="02020603050405020304" pitchFamily="18" charset="0"/>
              </a:rPr>
              <a:t>C</a:t>
            </a:r>
            <a:r>
              <a:rPr lang="fr-FR" sz="700" b="1" i="0" baseline="0">
                <a:effectLst/>
                <a:latin typeface="Times New Roman" panose="02020603050405020304" pitchFamily="18" charset="0"/>
                <a:cs typeface="Times New Roman" panose="02020603050405020304" pitchFamily="18" charset="0"/>
              </a:rPr>
              <a:t>/</a:t>
            </a:r>
            <a:r>
              <a:rPr lang="fr-FR" sz="700" b="1" i="1" baseline="0">
                <a:effectLst/>
                <a:latin typeface="Times New Roman" panose="02020603050405020304" pitchFamily="18" charset="0"/>
                <a:cs typeface="Times New Roman" panose="02020603050405020304" pitchFamily="18" charset="0"/>
              </a:rPr>
              <a:t>I</a:t>
            </a:r>
            <a:r>
              <a:rPr lang="fr-FR" sz="700" b="1" i="0" baseline="0">
                <a:effectLst/>
                <a:latin typeface="Times New Roman" panose="02020603050405020304" pitchFamily="18" charset="0"/>
                <a:cs typeface="Times New Roman" panose="02020603050405020304" pitchFamily="18" charset="0"/>
              </a:rPr>
              <a:t>)</a:t>
            </a:r>
            <a:r>
              <a:rPr lang="fr-FR" sz="700" b="1" i="1" baseline="0">
                <a:effectLst/>
                <a:latin typeface="Times New Roman" panose="02020603050405020304" pitchFamily="18" charset="0"/>
                <a:cs typeface="Times New Roman" panose="02020603050405020304" pitchFamily="18" charset="0"/>
              </a:rPr>
              <a:t> </a:t>
            </a:r>
            <a:r>
              <a:rPr lang="en-GB" sz="700" b="1" i="1" baseline="-25000">
                <a:effectLst/>
                <a:latin typeface="Times New Roman" panose="02020603050405020304" pitchFamily="18" charset="0"/>
                <a:cs typeface="Times New Roman" panose="02020603050405020304" pitchFamily="18" charset="0"/>
              </a:rPr>
              <a:t>required</a:t>
            </a:r>
            <a:r>
              <a:rPr lang="fr-FR" sz="700" b="1" i="0" baseline="0">
                <a:effectLst/>
                <a:latin typeface="Times New Roman" panose="02020603050405020304" pitchFamily="18" charset="0"/>
                <a:cs typeface="Times New Roman" panose="02020603050405020304" pitchFamily="18" charset="0"/>
              </a:rPr>
              <a:t>  = 55 dB;   </a:t>
            </a:r>
          </a:p>
          <a:p>
            <a:pPr algn="l">
              <a:defRPr sz="700"/>
            </a:pPr>
            <a:r>
              <a:rPr lang="fr-FR" sz="700" b="1" i="0" baseline="0">
                <a:effectLst/>
                <a:latin typeface="Times New Roman" panose="02020603050405020304" pitchFamily="18" charset="0"/>
                <a:cs typeface="Times New Roman" panose="02020603050405020304" pitchFamily="18" charset="0"/>
              </a:rPr>
              <a:t>Channel Separation 40 MHz;           </a:t>
            </a:r>
            <a:endParaRPr lang="ru-RU" sz="700">
              <a:effectLst/>
              <a:latin typeface="Times New Roman" panose="02020603050405020304" pitchFamily="18" charset="0"/>
              <a:cs typeface="Times New Roman" panose="02020603050405020304" pitchFamily="18" charset="0"/>
            </a:endParaRPr>
          </a:p>
          <a:p>
            <a:pPr algn="l">
              <a:defRPr sz="700"/>
            </a:pPr>
            <a:r>
              <a:rPr lang="en-GB" sz="700" b="1" i="0" baseline="0">
                <a:effectLst/>
                <a:latin typeface="Times New Roman" panose="02020603050405020304" pitchFamily="18" charset="0"/>
                <a:cs typeface="Times New Roman" panose="02020603050405020304" pitchFamily="18" charset="0"/>
              </a:rPr>
              <a:t>Co‑channel (</a:t>
            </a:r>
            <a:r>
              <a:rPr lang="en-US" sz="700" b="1" i="1" baseline="0">
                <a:effectLst/>
                <a:latin typeface="Times New Roman" panose="02020603050405020304" pitchFamily="18" charset="0"/>
                <a:cs typeface="Times New Roman" panose="02020603050405020304" pitchFamily="18" charset="0"/>
              </a:rPr>
              <a:t>MD </a:t>
            </a:r>
            <a:r>
              <a:rPr lang="en-US" sz="700" b="1" i="0" baseline="0">
                <a:effectLst/>
                <a:latin typeface="Times New Roman" panose="02020603050405020304" pitchFamily="18" charset="0"/>
                <a:cs typeface="Times New Roman" panose="02020603050405020304" pitchFamily="18" charset="0"/>
              </a:rPr>
              <a:t>+ </a:t>
            </a:r>
            <a:r>
              <a:rPr lang="en-US" sz="700" b="1" i="1" baseline="0">
                <a:effectLst/>
                <a:latin typeface="Times New Roman" panose="02020603050405020304" pitchFamily="18" charset="0"/>
                <a:cs typeface="Times New Roman" panose="02020603050405020304" pitchFamily="18" charset="0"/>
              </a:rPr>
              <a:t>NFD</a:t>
            </a:r>
            <a:r>
              <a:rPr lang="en-US" sz="700" b="1" i="0" u="none" strike="noStrike" baseline="0">
                <a:effectLst/>
              </a:rPr>
              <a:t>(∆</a:t>
            </a:r>
            <a:r>
              <a:rPr lang="en-US" sz="700" b="1" i="1" u="none" strike="noStrike" baseline="0">
                <a:effectLst/>
              </a:rPr>
              <a:t>f</a:t>
            </a:r>
            <a:r>
              <a:rPr lang="en-US" sz="700" b="1" i="0" baseline="0">
                <a:effectLst/>
                <a:latin typeface="Times New Roman" panose="02020603050405020304" pitchFamily="18" charset="0"/>
                <a:cs typeface="Times New Roman" panose="02020603050405020304" pitchFamily="18" charset="0"/>
              </a:rPr>
              <a:t>) = 0 dB); </a:t>
            </a:r>
            <a:r>
              <a:rPr lang="ru-RU" sz="700" b="1" i="0" baseline="0">
                <a:effectLst/>
                <a:latin typeface="Times New Roman" panose="02020603050405020304" pitchFamily="18" charset="0"/>
                <a:cs typeface="Times New Roman" panose="02020603050405020304" pitchFamily="18" charset="0"/>
              </a:rPr>
              <a:t> </a:t>
            </a:r>
            <a:endParaRPr lang="en-US" sz="700" b="1" i="0" baseline="0">
              <a:effectLst/>
              <a:latin typeface="Times New Roman" panose="02020603050405020304" pitchFamily="18" charset="0"/>
              <a:cs typeface="Times New Roman" panose="02020603050405020304" pitchFamily="18" charset="0"/>
            </a:endParaRPr>
          </a:p>
          <a:p>
            <a:pPr algn="l">
              <a:defRPr sz="700"/>
            </a:pPr>
            <a:r>
              <a:rPr lang="en-GB" sz="700" b="1" i="1" baseline="0">
                <a:effectLst/>
                <a:latin typeface="Times New Roman" panose="02020603050405020304" pitchFamily="18" charset="0"/>
                <a:cs typeface="Times New Roman" panose="02020603050405020304" pitchFamily="18" charset="0"/>
              </a:rPr>
              <a:t>a</a:t>
            </a:r>
            <a:r>
              <a:rPr lang="en-GB" sz="700" b="1" i="1" baseline="-25000">
                <a:effectLst/>
                <a:latin typeface="Times New Roman" panose="02020603050405020304" pitchFamily="18" charset="0"/>
                <a:cs typeface="Times New Roman" panose="02020603050405020304" pitchFamily="18" charset="0"/>
              </a:rPr>
              <a:t>indoor</a:t>
            </a:r>
            <a:r>
              <a:rPr lang="en-GB" sz="700" b="1" i="0" baseline="0">
                <a:effectLst/>
                <a:latin typeface="Times New Roman" panose="02020603050405020304" pitchFamily="18" charset="0"/>
                <a:cs typeface="Times New Roman" panose="02020603050405020304" pitchFamily="18" charset="0"/>
              </a:rPr>
              <a:t> = 25 dB;  </a:t>
            </a:r>
            <a:r>
              <a:rPr lang="en-GB" sz="700" b="1" i="1" baseline="0">
                <a:effectLst/>
                <a:latin typeface="Times New Roman" panose="02020603050405020304" pitchFamily="18" charset="0"/>
                <a:cs typeface="Times New Roman" panose="02020603050405020304" pitchFamily="18" charset="0"/>
              </a:rPr>
              <a:t>A</a:t>
            </a:r>
            <a:r>
              <a:rPr lang="en-GB" sz="700" b="1" i="1" baseline="-25000">
                <a:effectLst/>
                <a:latin typeface="Times New Roman" panose="02020603050405020304" pitchFamily="18" charset="0"/>
                <a:cs typeface="Times New Roman" panose="02020603050405020304" pitchFamily="18" charset="0"/>
              </a:rPr>
              <a:t>hTx</a:t>
            </a:r>
            <a:r>
              <a:rPr lang="en-GB" sz="700" b="1" i="0" baseline="0">
                <a:effectLst/>
                <a:latin typeface="Times New Roman" panose="02020603050405020304" pitchFamily="18" charset="0"/>
                <a:cs typeface="Times New Roman" panose="02020603050405020304" pitchFamily="18" charset="0"/>
              </a:rPr>
              <a:t> = 0 dB</a:t>
            </a:r>
            <a:endParaRPr lang="ru-RU" sz="700">
              <a:effectLst/>
              <a:latin typeface="Times New Roman" panose="02020603050405020304" pitchFamily="18" charset="0"/>
              <a:cs typeface="Times New Roman" panose="02020603050405020304" pitchFamily="18" charset="0"/>
            </a:endParaRPr>
          </a:p>
        </c:rich>
      </c:tx>
      <c:layout>
        <c:manualLayout>
          <c:xMode val="edge"/>
          <c:yMode val="edge"/>
          <c:x val="0.16537738071202682"/>
          <c:y val="3.4400196378330402E-3"/>
        </c:manualLayout>
      </c:layout>
      <c:overlay val="0"/>
    </c:title>
    <c:autoTitleDeleted val="0"/>
    <c:plotArea>
      <c:layout>
        <c:manualLayout>
          <c:layoutTarget val="inner"/>
          <c:xMode val="edge"/>
          <c:yMode val="edge"/>
          <c:x val="9.3170637324180627E-2"/>
          <c:y val="0.21870590766318146"/>
          <c:w val="0.87584645669291505"/>
          <c:h val="0.69672350308729392"/>
        </c:manualLayout>
      </c:layout>
      <c:scatterChart>
        <c:scatterStyle val="lineMarker"/>
        <c:varyColors val="0"/>
        <c:ser>
          <c:idx val="0"/>
          <c:order val="0"/>
          <c:tx>
            <c:strRef>
              <c:f>Лист1!$B$1</c:f>
              <c:strCache>
                <c:ptCount val="1"/>
                <c:pt idx="0">
                  <c:v>Link Length 10 km</c:v>
                </c:pt>
              </c:strCache>
            </c:strRef>
          </c:tx>
          <c:spPr>
            <a:ln>
              <a:solidFill>
                <a:srgbClr val="00B05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4.8199999999999985</c:v>
                </c:pt>
                <c:pt idx="1">
                  <c:v>3.52</c:v>
                </c:pt>
                <c:pt idx="2">
                  <c:v>1.3800000000000001</c:v>
                </c:pt>
                <c:pt idx="3">
                  <c:v>1.02</c:v>
                </c:pt>
                <c:pt idx="4">
                  <c:v>0.4</c:v>
                </c:pt>
                <c:pt idx="5">
                  <c:v>0.30000000000000032</c:v>
                </c:pt>
                <c:pt idx="6">
                  <c:v>0.24000000000000021</c:v>
                </c:pt>
                <c:pt idx="7">
                  <c:v>0.2</c:v>
                </c:pt>
                <c:pt idx="8">
                  <c:v>0.18000000000000024</c:v>
                </c:pt>
                <c:pt idx="9">
                  <c:v>0.14000000000000001</c:v>
                </c:pt>
                <c:pt idx="10">
                  <c:v>0.14000000000000001</c:v>
                </c:pt>
                <c:pt idx="11">
                  <c:v>0.12000000000000002</c:v>
                </c:pt>
                <c:pt idx="12">
                  <c:v>8.0000000000000043E-2</c:v>
                </c:pt>
                <c:pt idx="13">
                  <c:v>8.0000000000000043E-2</c:v>
                </c:pt>
                <c:pt idx="14">
                  <c:v>8.0000000000000043E-2</c:v>
                </c:pt>
                <c:pt idx="15">
                  <c:v>8.0000000000000043E-2</c:v>
                </c:pt>
                <c:pt idx="16">
                  <c:v>8.0000000000000043E-2</c:v>
                </c:pt>
                <c:pt idx="17">
                  <c:v>8.0000000000000043E-2</c:v>
                </c:pt>
                <c:pt idx="18">
                  <c:v>4.0000000000000022E-2</c:v>
                </c:pt>
                <c:pt idx="19">
                  <c:v>4.0000000000000022E-2</c:v>
                </c:pt>
                <c:pt idx="20">
                  <c:v>4.0000000000000022E-2</c:v>
                </c:pt>
                <c:pt idx="21">
                  <c:v>4.0000000000000022E-2</c:v>
                </c:pt>
                <c:pt idx="22">
                  <c:v>4.0000000000000022E-2</c:v>
                </c:pt>
                <c:pt idx="23">
                  <c:v>4.0000000000000022E-2</c:v>
                </c:pt>
                <c:pt idx="24">
                  <c:v>4.0000000000000022E-2</c:v>
                </c:pt>
                <c:pt idx="25">
                  <c:v>4.0000000000000022E-2</c:v>
                </c:pt>
                <c:pt idx="26">
                  <c:v>4.0000000000000022E-2</c:v>
                </c:pt>
                <c:pt idx="27">
                  <c:v>4.0000000000000022E-2</c:v>
                </c:pt>
                <c:pt idx="28">
                  <c:v>4.0000000000000022E-2</c:v>
                </c:pt>
                <c:pt idx="29">
                  <c:v>4.0000000000000022E-2</c:v>
                </c:pt>
                <c:pt idx="30">
                  <c:v>4.0000000000000022E-2</c:v>
                </c:pt>
                <c:pt idx="31">
                  <c:v>4.0000000000000022E-2</c:v>
                </c:pt>
                <c:pt idx="32">
                  <c:v>4.0000000000000022E-2</c:v>
                </c:pt>
                <c:pt idx="33">
                  <c:v>4.0000000000000022E-2</c:v>
                </c:pt>
                <c:pt idx="34">
                  <c:v>4.0000000000000022E-2</c:v>
                </c:pt>
                <c:pt idx="35">
                  <c:v>4.0000000000000022E-2</c:v>
                </c:pt>
                <c:pt idx="36">
                  <c:v>4.0000000000000022E-2</c:v>
                </c:pt>
                <c:pt idx="37">
                  <c:v>4.0000000000000022E-2</c:v>
                </c:pt>
                <c:pt idx="38">
                  <c:v>4.0000000000000022E-2</c:v>
                </c:pt>
                <c:pt idx="39">
                  <c:v>4.0000000000000022E-2</c:v>
                </c:pt>
                <c:pt idx="40">
                  <c:v>4.0000000000000022E-2</c:v>
                </c:pt>
                <c:pt idx="41">
                  <c:v>4.0000000000000022E-2</c:v>
                </c:pt>
                <c:pt idx="42">
                  <c:v>4.0000000000000022E-2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14.98</c:v>
                </c:pt>
                <c:pt idx="1">
                  <c:v>10.9</c:v>
                </c:pt>
                <c:pt idx="2">
                  <c:v>4.2</c:v>
                </c:pt>
                <c:pt idx="3">
                  <c:v>3.1</c:v>
                </c:pt>
                <c:pt idx="4">
                  <c:v>1.1800000000000026</c:v>
                </c:pt>
                <c:pt idx="5">
                  <c:v>0.88</c:v>
                </c:pt>
                <c:pt idx="6">
                  <c:v>0.70000000000000062</c:v>
                </c:pt>
                <c:pt idx="7">
                  <c:v>0.58000000000000007</c:v>
                </c:pt>
                <c:pt idx="8">
                  <c:v>0.5</c:v>
                </c:pt>
                <c:pt idx="9">
                  <c:v>0.42000000000000032</c:v>
                </c:pt>
                <c:pt idx="10">
                  <c:v>0.38000000000000073</c:v>
                </c:pt>
                <c:pt idx="11">
                  <c:v>0.34</c:v>
                </c:pt>
                <c:pt idx="12">
                  <c:v>0.30000000000000032</c:v>
                </c:pt>
                <c:pt idx="13">
                  <c:v>0.28000000000000008</c:v>
                </c:pt>
                <c:pt idx="14">
                  <c:v>0.26</c:v>
                </c:pt>
                <c:pt idx="15">
                  <c:v>0.24000000000000021</c:v>
                </c:pt>
                <c:pt idx="16">
                  <c:v>0.22</c:v>
                </c:pt>
                <c:pt idx="17">
                  <c:v>0.2</c:v>
                </c:pt>
                <c:pt idx="18">
                  <c:v>0.18000000000000024</c:v>
                </c:pt>
                <c:pt idx="19">
                  <c:v>0.18000000000000024</c:v>
                </c:pt>
                <c:pt idx="20">
                  <c:v>0.16</c:v>
                </c:pt>
                <c:pt idx="21">
                  <c:v>0.16</c:v>
                </c:pt>
                <c:pt idx="22">
                  <c:v>0.14000000000000001</c:v>
                </c:pt>
                <c:pt idx="23">
                  <c:v>0.14000000000000001</c:v>
                </c:pt>
                <c:pt idx="24">
                  <c:v>0.14000000000000001</c:v>
                </c:pt>
                <c:pt idx="25">
                  <c:v>0.12000000000000002</c:v>
                </c:pt>
                <c:pt idx="26">
                  <c:v>0.12000000000000002</c:v>
                </c:pt>
                <c:pt idx="27">
                  <c:v>0.12000000000000002</c:v>
                </c:pt>
                <c:pt idx="28">
                  <c:v>0.12000000000000002</c:v>
                </c:pt>
                <c:pt idx="29">
                  <c:v>8.0000000000000043E-2</c:v>
                </c:pt>
                <c:pt idx="30">
                  <c:v>8.0000000000000043E-2</c:v>
                </c:pt>
                <c:pt idx="31">
                  <c:v>8.0000000000000043E-2</c:v>
                </c:pt>
                <c:pt idx="32">
                  <c:v>8.0000000000000043E-2</c:v>
                </c:pt>
                <c:pt idx="33">
                  <c:v>8.0000000000000043E-2</c:v>
                </c:pt>
                <c:pt idx="34">
                  <c:v>8.0000000000000043E-2</c:v>
                </c:pt>
                <c:pt idx="35">
                  <c:v>8.0000000000000043E-2</c:v>
                </c:pt>
                <c:pt idx="36">
                  <c:v>8.0000000000000043E-2</c:v>
                </c:pt>
                <c:pt idx="37">
                  <c:v>8.0000000000000043E-2</c:v>
                </c:pt>
                <c:pt idx="38">
                  <c:v>8.0000000000000043E-2</c:v>
                </c:pt>
                <c:pt idx="39">
                  <c:v>8.0000000000000043E-2</c:v>
                </c:pt>
                <c:pt idx="40">
                  <c:v>8.0000000000000043E-2</c:v>
                </c:pt>
                <c:pt idx="41">
                  <c:v>8.0000000000000043E-2</c:v>
                </c:pt>
                <c:pt idx="42">
                  <c:v>8.0000000000000043E-2</c:v>
                </c:pt>
                <c:pt idx="43">
                  <c:v>4.0000000000000022E-2</c:v>
                </c:pt>
                <c:pt idx="44">
                  <c:v>4.0000000000000022E-2</c:v>
                </c:pt>
                <c:pt idx="45">
                  <c:v>4.0000000000000022E-2</c:v>
                </c:pt>
                <c:pt idx="46">
                  <c:v>4.0000000000000022E-2</c:v>
                </c:pt>
                <c:pt idx="47">
                  <c:v>4.0000000000000022E-2</c:v>
                </c:pt>
                <c:pt idx="48">
                  <c:v>4.0000000000000022E-2</c:v>
                </c:pt>
                <c:pt idx="49">
                  <c:v>4.0000000000000022E-2</c:v>
                </c:pt>
                <c:pt idx="50">
                  <c:v>4.0000000000000022E-2</c:v>
                </c:pt>
                <c:pt idx="51">
                  <c:v>4.0000000000000022E-2</c:v>
                </c:pt>
                <c:pt idx="52">
                  <c:v>4.0000000000000022E-2</c:v>
                </c:pt>
                <c:pt idx="53">
                  <c:v>4.0000000000000022E-2</c:v>
                </c:pt>
                <c:pt idx="54">
                  <c:v>4.0000000000000022E-2</c:v>
                </c:pt>
                <c:pt idx="55">
                  <c:v>4.0000000000000022E-2</c:v>
                </c:pt>
                <c:pt idx="56">
                  <c:v>4.0000000000000022E-2</c:v>
                </c:pt>
                <c:pt idx="57">
                  <c:v>4.0000000000000022E-2</c:v>
                </c:pt>
                <c:pt idx="58">
                  <c:v>4.0000000000000022E-2</c:v>
                </c:pt>
                <c:pt idx="59">
                  <c:v>4.0000000000000022E-2</c:v>
                </c:pt>
                <c:pt idx="60">
                  <c:v>4.0000000000000022E-2</c:v>
                </c:pt>
                <c:pt idx="61">
                  <c:v>4.0000000000000022E-2</c:v>
                </c:pt>
                <c:pt idx="62">
                  <c:v>4.0000000000000022E-2</c:v>
                </c:pt>
                <c:pt idx="63">
                  <c:v>4.0000000000000022E-2</c:v>
                </c:pt>
                <c:pt idx="64">
                  <c:v>4.0000000000000022E-2</c:v>
                </c:pt>
                <c:pt idx="65">
                  <c:v>4.0000000000000022E-2</c:v>
                </c:pt>
                <c:pt idx="66">
                  <c:v>4.0000000000000022E-2</c:v>
                </c:pt>
                <c:pt idx="67">
                  <c:v>4.0000000000000022E-2</c:v>
                </c:pt>
                <c:pt idx="68">
                  <c:v>4.0000000000000022E-2</c:v>
                </c:pt>
                <c:pt idx="69">
                  <c:v>4.0000000000000022E-2</c:v>
                </c:pt>
                <c:pt idx="70">
                  <c:v>4.0000000000000022E-2</c:v>
                </c:pt>
                <c:pt idx="71">
                  <c:v>4.0000000000000022E-2</c:v>
                </c:pt>
                <c:pt idx="72">
                  <c:v>4.0000000000000022E-2</c:v>
                </c:pt>
                <c:pt idx="73">
                  <c:v>4.0000000000000022E-2</c:v>
                </c:pt>
                <c:pt idx="74">
                  <c:v>4.0000000000000022E-2</c:v>
                </c:pt>
                <c:pt idx="75">
                  <c:v>4.0000000000000022E-2</c:v>
                </c:pt>
                <c:pt idx="76">
                  <c:v>4.0000000000000022E-2</c:v>
                </c:pt>
                <c:pt idx="77">
                  <c:v>4.0000000000000022E-2</c:v>
                </c:pt>
                <c:pt idx="78">
                  <c:v>4.0000000000000022E-2</c:v>
                </c:pt>
                <c:pt idx="79">
                  <c:v>4.0000000000000022E-2</c:v>
                </c:pt>
                <c:pt idx="80">
                  <c:v>4.0000000000000022E-2</c:v>
                </c:pt>
                <c:pt idx="81">
                  <c:v>4.0000000000000022E-2</c:v>
                </c:pt>
                <c:pt idx="82">
                  <c:v>4.0000000000000022E-2</c:v>
                </c:pt>
                <c:pt idx="83">
                  <c:v>4.0000000000000022E-2</c:v>
                </c:pt>
                <c:pt idx="84">
                  <c:v>4.0000000000000022E-2</c:v>
                </c:pt>
                <c:pt idx="85">
                  <c:v>4.0000000000000022E-2</c:v>
                </c:pt>
                <c:pt idx="86">
                  <c:v>4.0000000000000022E-2</c:v>
                </c:pt>
                <c:pt idx="87">
                  <c:v>4.0000000000000022E-2</c:v>
                </c:pt>
                <c:pt idx="88">
                  <c:v>4.0000000000000022E-2</c:v>
                </c:pt>
                <c:pt idx="89">
                  <c:v>4.0000000000000022E-2</c:v>
                </c:pt>
                <c:pt idx="90">
                  <c:v>4.0000000000000022E-2</c:v>
                </c:pt>
                <c:pt idx="91">
                  <c:v>4.0000000000000022E-2</c:v>
                </c:pt>
                <c:pt idx="92">
                  <c:v>4.0000000000000022E-2</c:v>
                </c:pt>
                <c:pt idx="93">
                  <c:v>4.0000000000000022E-2</c:v>
                </c:pt>
                <c:pt idx="94">
                  <c:v>4.0000000000000022E-2</c:v>
                </c:pt>
                <c:pt idx="95">
                  <c:v>4.0000000000000022E-2</c:v>
                </c:pt>
                <c:pt idx="96">
                  <c:v>4.0000000000000022E-2</c:v>
                </c:pt>
                <c:pt idx="97">
                  <c:v>4.0000000000000022E-2</c:v>
                </c:pt>
                <c:pt idx="98">
                  <c:v>4.0000000000000022E-2</c:v>
                </c:pt>
                <c:pt idx="99">
                  <c:v>4.0000000000000022E-2</c:v>
                </c:pt>
                <c:pt idx="100">
                  <c:v>4.0000000000000022E-2</c:v>
                </c:pt>
                <c:pt idx="101">
                  <c:v>4.0000000000000022E-2</c:v>
                </c:pt>
                <c:pt idx="102">
                  <c:v>4.0000000000000022E-2</c:v>
                </c:pt>
                <c:pt idx="103">
                  <c:v>4.0000000000000022E-2</c:v>
                </c:pt>
                <c:pt idx="104">
                  <c:v>4.0000000000000022E-2</c:v>
                </c:pt>
                <c:pt idx="105">
                  <c:v>4.0000000000000022E-2</c:v>
                </c:pt>
                <c:pt idx="106">
                  <c:v>4.0000000000000022E-2</c:v>
                </c:pt>
                <c:pt idx="107">
                  <c:v>4.0000000000000022E-2</c:v>
                </c:pt>
                <c:pt idx="108">
                  <c:v>4.0000000000000022E-2</c:v>
                </c:pt>
                <c:pt idx="109">
                  <c:v>4.0000000000000022E-2</c:v>
                </c:pt>
                <c:pt idx="110">
                  <c:v>4.0000000000000022E-2</c:v>
                </c:pt>
                <c:pt idx="111">
                  <c:v>4.0000000000000022E-2</c:v>
                </c:pt>
                <c:pt idx="112">
                  <c:v>4.0000000000000022E-2</c:v>
                </c:pt>
                <c:pt idx="113">
                  <c:v>4.0000000000000022E-2</c:v>
                </c:pt>
                <c:pt idx="114">
                  <c:v>4.0000000000000022E-2</c:v>
                </c:pt>
                <c:pt idx="115">
                  <c:v>4.0000000000000022E-2</c:v>
                </c:pt>
                <c:pt idx="116">
                  <c:v>4.0000000000000022E-2</c:v>
                </c:pt>
                <c:pt idx="117">
                  <c:v>4.0000000000000022E-2</c:v>
                </c:pt>
                <c:pt idx="118">
                  <c:v>4.0000000000000022E-2</c:v>
                </c:pt>
                <c:pt idx="119">
                  <c:v>4.0000000000000022E-2</c:v>
                </c:pt>
                <c:pt idx="120">
                  <c:v>4.0000000000000022E-2</c:v>
                </c:pt>
                <c:pt idx="121">
                  <c:v>4.0000000000000022E-2</c:v>
                </c:pt>
                <c:pt idx="122">
                  <c:v>4.0000000000000022E-2</c:v>
                </c:pt>
                <c:pt idx="123">
                  <c:v>4.0000000000000022E-2</c:v>
                </c:pt>
                <c:pt idx="124">
                  <c:v>4.0000000000000022E-2</c:v>
                </c:pt>
                <c:pt idx="125">
                  <c:v>4.0000000000000022E-2</c:v>
                </c:pt>
                <c:pt idx="126">
                  <c:v>4.0000000000000022E-2</c:v>
                </c:pt>
                <c:pt idx="127">
                  <c:v>4.0000000000000022E-2</c:v>
                </c:pt>
                <c:pt idx="128">
                  <c:v>4.0000000000000022E-2</c:v>
                </c:pt>
                <c:pt idx="129">
                  <c:v>4.0000000000000022E-2</c:v>
                </c:pt>
                <c:pt idx="130">
                  <c:v>4.0000000000000022E-2</c:v>
                </c:pt>
                <c:pt idx="131">
                  <c:v>4.0000000000000022E-2</c:v>
                </c:pt>
                <c:pt idx="132">
                  <c:v>4.0000000000000022E-2</c:v>
                </c:pt>
                <c:pt idx="133">
                  <c:v>4.0000000000000022E-2</c:v>
                </c:pt>
                <c:pt idx="134">
                  <c:v>4.0000000000000022E-2</c:v>
                </c:pt>
                <c:pt idx="135">
                  <c:v>4.0000000000000022E-2</c:v>
                </c:pt>
                <c:pt idx="136">
                  <c:v>4.0000000000000022E-2</c:v>
                </c:pt>
                <c:pt idx="137">
                  <c:v>4.0000000000000022E-2</c:v>
                </c:pt>
                <c:pt idx="138">
                  <c:v>4.0000000000000022E-2</c:v>
                </c:pt>
                <c:pt idx="139">
                  <c:v>4.0000000000000022E-2</c:v>
                </c:pt>
                <c:pt idx="140">
                  <c:v>4.0000000000000022E-2</c:v>
                </c:pt>
                <c:pt idx="141">
                  <c:v>4.0000000000000022E-2</c:v>
                </c:pt>
                <c:pt idx="142">
                  <c:v>4.0000000000000022E-2</c:v>
                </c:pt>
                <c:pt idx="143">
                  <c:v>4.0000000000000022E-2</c:v>
                </c:pt>
                <c:pt idx="144">
                  <c:v>4.0000000000000022E-2</c:v>
                </c:pt>
                <c:pt idx="145">
                  <c:v>4.0000000000000022E-2</c:v>
                </c:pt>
                <c:pt idx="146">
                  <c:v>4.0000000000000022E-2</c:v>
                </c:pt>
                <c:pt idx="147">
                  <c:v>4.0000000000000022E-2</c:v>
                </c:pt>
                <c:pt idx="148">
                  <c:v>4.0000000000000022E-2</c:v>
                </c:pt>
                <c:pt idx="149">
                  <c:v>4.0000000000000022E-2</c:v>
                </c:pt>
                <c:pt idx="150">
                  <c:v>4.0000000000000022E-2</c:v>
                </c:pt>
                <c:pt idx="151">
                  <c:v>4.0000000000000022E-2</c:v>
                </c:pt>
                <c:pt idx="152">
                  <c:v>4.0000000000000022E-2</c:v>
                </c:pt>
                <c:pt idx="153">
                  <c:v>4.0000000000000022E-2</c:v>
                </c:pt>
                <c:pt idx="154">
                  <c:v>4.0000000000000022E-2</c:v>
                </c:pt>
                <c:pt idx="155">
                  <c:v>4.0000000000000022E-2</c:v>
                </c:pt>
                <c:pt idx="156">
                  <c:v>4.0000000000000022E-2</c:v>
                </c:pt>
                <c:pt idx="157">
                  <c:v>4.0000000000000022E-2</c:v>
                </c:pt>
                <c:pt idx="158">
                  <c:v>4.0000000000000022E-2</c:v>
                </c:pt>
                <c:pt idx="159">
                  <c:v>4.0000000000000022E-2</c:v>
                </c:pt>
                <c:pt idx="160">
                  <c:v>4.0000000000000022E-2</c:v>
                </c:pt>
                <c:pt idx="161">
                  <c:v>4.0000000000000022E-2</c:v>
                </c:pt>
                <c:pt idx="162">
                  <c:v>4.0000000000000022E-2</c:v>
                </c:pt>
                <c:pt idx="163">
                  <c:v>4.0000000000000022E-2</c:v>
                </c:pt>
                <c:pt idx="164">
                  <c:v>4.0000000000000022E-2</c:v>
                </c:pt>
                <c:pt idx="165">
                  <c:v>4.0000000000000022E-2</c:v>
                </c:pt>
                <c:pt idx="166">
                  <c:v>4.0000000000000022E-2</c:v>
                </c:pt>
                <c:pt idx="167">
                  <c:v>4.0000000000000022E-2</c:v>
                </c:pt>
                <c:pt idx="168">
                  <c:v>4.0000000000000022E-2</c:v>
                </c:pt>
                <c:pt idx="169">
                  <c:v>4.0000000000000022E-2</c:v>
                </c:pt>
                <c:pt idx="170">
                  <c:v>4.0000000000000022E-2</c:v>
                </c:pt>
                <c:pt idx="171">
                  <c:v>4.0000000000000022E-2</c:v>
                </c:pt>
                <c:pt idx="172">
                  <c:v>4.0000000000000022E-2</c:v>
                </c:pt>
                <c:pt idx="173">
                  <c:v>4.0000000000000022E-2</c:v>
                </c:pt>
                <c:pt idx="174">
                  <c:v>4.0000000000000022E-2</c:v>
                </c:pt>
                <c:pt idx="175">
                  <c:v>4.0000000000000022E-2</c:v>
                </c:pt>
                <c:pt idx="176">
                  <c:v>4.0000000000000022E-2</c:v>
                </c:pt>
                <c:pt idx="177">
                  <c:v>4.0000000000000022E-2</c:v>
                </c:pt>
                <c:pt idx="178">
                  <c:v>4.0000000000000022E-2</c:v>
                </c:pt>
                <c:pt idx="179">
                  <c:v>4.0000000000000022E-2</c:v>
                </c:pt>
                <c:pt idx="180">
                  <c:v>4.0000000000000022E-2</c:v>
                </c:pt>
              </c:numCache>
            </c:numRef>
          </c:yVal>
          <c:smooth val="0"/>
        </c:ser>
        <c:ser>
          <c:idx val="2"/>
          <c:order val="2"/>
          <c:tx>
            <c:strRef>
              <c:f>Лист1!$D$1</c:f>
              <c:strCache>
                <c:ptCount val="1"/>
                <c:pt idx="0">
                  <c:v>Link Length 50 km</c:v>
                </c:pt>
              </c:strCache>
            </c:strRef>
          </c:tx>
          <c:spPr>
            <a:ln>
              <a:solidFill>
                <a:srgbClr val="0070C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25.1</c:v>
                </c:pt>
                <c:pt idx="1">
                  <c:v>18.399999999999999</c:v>
                </c:pt>
                <c:pt idx="2">
                  <c:v>7.1</c:v>
                </c:pt>
                <c:pt idx="3">
                  <c:v>5.24</c:v>
                </c:pt>
                <c:pt idx="4">
                  <c:v>1.9600000000000026</c:v>
                </c:pt>
                <c:pt idx="5">
                  <c:v>1.48</c:v>
                </c:pt>
                <c:pt idx="6">
                  <c:v>1.1800000000000026</c:v>
                </c:pt>
                <c:pt idx="7">
                  <c:v>0.98</c:v>
                </c:pt>
                <c:pt idx="8">
                  <c:v>0.82000000000000062</c:v>
                </c:pt>
                <c:pt idx="9">
                  <c:v>0.72000000000000064</c:v>
                </c:pt>
                <c:pt idx="10">
                  <c:v>0.62000000000000133</c:v>
                </c:pt>
                <c:pt idx="11">
                  <c:v>0.56000000000000005</c:v>
                </c:pt>
                <c:pt idx="12">
                  <c:v>0.5</c:v>
                </c:pt>
                <c:pt idx="13">
                  <c:v>0.46</c:v>
                </c:pt>
                <c:pt idx="14">
                  <c:v>0.42000000000000032</c:v>
                </c:pt>
                <c:pt idx="15">
                  <c:v>0.38000000000000073</c:v>
                </c:pt>
                <c:pt idx="16">
                  <c:v>0.36000000000000032</c:v>
                </c:pt>
                <c:pt idx="17">
                  <c:v>0.32000000000000073</c:v>
                </c:pt>
                <c:pt idx="18">
                  <c:v>0.30000000000000032</c:v>
                </c:pt>
                <c:pt idx="19">
                  <c:v>0.28000000000000008</c:v>
                </c:pt>
                <c:pt idx="20">
                  <c:v>0.26</c:v>
                </c:pt>
                <c:pt idx="21">
                  <c:v>0.26</c:v>
                </c:pt>
                <c:pt idx="22">
                  <c:v>0.24000000000000021</c:v>
                </c:pt>
                <c:pt idx="23">
                  <c:v>0.22</c:v>
                </c:pt>
                <c:pt idx="24">
                  <c:v>0.22</c:v>
                </c:pt>
                <c:pt idx="25">
                  <c:v>0.2</c:v>
                </c:pt>
                <c:pt idx="26">
                  <c:v>0.2</c:v>
                </c:pt>
                <c:pt idx="27">
                  <c:v>0.18000000000000024</c:v>
                </c:pt>
                <c:pt idx="28">
                  <c:v>0.18000000000000024</c:v>
                </c:pt>
                <c:pt idx="29">
                  <c:v>0.18000000000000024</c:v>
                </c:pt>
                <c:pt idx="30">
                  <c:v>0.16</c:v>
                </c:pt>
                <c:pt idx="31">
                  <c:v>0.16</c:v>
                </c:pt>
                <c:pt idx="32">
                  <c:v>0.16</c:v>
                </c:pt>
                <c:pt idx="33">
                  <c:v>0.14000000000000001</c:v>
                </c:pt>
                <c:pt idx="34">
                  <c:v>0.14000000000000001</c:v>
                </c:pt>
                <c:pt idx="35">
                  <c:v>0.14000000000000001</c:v>
                </c:pt>
                <c:pt idx="36">
                  <c:v>0.14000000000000001</c:v>
                </c:pt>
                <c:pt idx="37">
                  <c:v>0.12000000000000002</c:v>
                </c:pt>
                <c:pt idx="38">
                  <c:v>0.12000000000000002</c:v>
                </c:pt>
                <c:pt idx="39">
                  <c:v>0.12000000000000002</c:v>
                </c:pt>
                <c:pt idx="40">
                  <c:v>0.12000000000000002</c:v>
                </c:pt>
                <c:pt idx="41">
                  <c:v>0.12000000000000002</c:v>
                </c:pt>
                <c:pt idx="42">
                  <c:v>0.12000000000000002</c:v>
                </c:pt>
                <c:pt idx="43">
                  <c:v>8.0000000000000043E-2</c:v>
                </c:pt>
                <c:pt idx="44">
                  <c:v>8.0000000000000043E-2</c:v>
                </c:pt>
                <c:pt idx="45">
                  <c:v>8.0000000000000043E-2</c:v>
                </c:pt>
                <c:pt idx="46">
                  <c:v>8.0000000000000043E-2</c:v>
                </c:pt>
                <c:pt idx="47">
                  <c:v>8.0000000000000043E-2</c:v>
                </c:pt>
                <c:pt idx="48">
                  <c:v>8.0000000000000043E-2</c:v>
                </c:pt>
                <c:pt idx="49">
                  <c:v>8.0000000000000043E-2</c:v>
                </c:pt>
                <c:pt idx="50">
                  <c:v>8.0000000000000043E-2</c:v>
                </c:pt>
                <c:pt idx="51">
                  <c:v>8.0000000000000043E-2</c:v>
                </c:pt>
                <c:pt idx="52">
                  <c:v>8.0000000000000043E-2</c:v>
                </c:pt>
                <c:pt idx="53">
                  <c:v>8.0000000000000043E-2</c:v>
                </c:pt>
                <c:pt idx="54">
                  <c:v>8.0000000000000043E-2</c:v>
                </c:pt>
                <c:pt idx="55">
                  <c:v>8.0000000000000043E-2</c:v>
                </c:pt>
                <c:pt idx="56">
                  <c:v>8.0000000000000043E-2</c:v>
                </c:pt>
                <c:pt idx="57">
                  <c:v>8.0000000000000043E-2</c:v>
                </c:pt>
                <c:pt idx="58">
                  <c:v>8.0000000000000043E-2</c:v>
                </c:pt>
                <c:pt idx="59">
                  <c:v>8.0000000000000043E-2</c:v>
                </c:pt>
                <c:pt idx="60">
                  <c:v>8.0000000000000043E-2</c:v>
                </c:pt>
                <c:pt idx="61">
                  <c:v>8.0000000000000043E-2</c:v>
                </c:pt>
                <c:pt idx="62">
                  <c:v>8.0000000000000043E-2</c:v>
                </c:pt>
                <c:pt idx="63">
                  <c:v>8.0000000000000043E-2</c:v>
                </c:pt>
                <c:pt idx="64">
                  <c:v>8.0000000000000043E-2</c:v>
                </c:pt>
                <c:pt idx="65">
                  <c:v>8.0000000000000043E-2</c:v>
                </c:pt>
                <c:pt idx="66">
                  <c:v>8.0000000000000043E-2</c:v>
                </c:pt>
                <c:pt idx="67">
                  <c:v>8.0000000000000043E-2</c:v>
                </c:pt>
                <c:pt idx="68">
                  <c:v>8.0000000000000043E-2</c:v>
                </c:pt>
                <c:pt idx="69">
                  <c:v>8.0000000000000043E-2</c:v>
                </c:pt>
                <c:pt idx="70">
                  <c:v>8.0000000000000043E-2</c:v>
                </c:pt>
                <c:pt idx="71">
                  <c:v>8.0000000000000043E-2</c:v>
                </c:pt>
                <c:pt idx="72">
                  <c:v>8.0000000000000043E-2</c:v>
                </c:pt>
                <c:pt idx="73">
                  <c:v>8.0000000000000043E-2</c:v>
                </c:pt>
                <c:pt idx="74">
                  <c:v>8.0000000000000043E-2</c:v>
                </c:pt>
                <c:pt idx="75">
                  <c:v>8.0000000000000043E-2</c:v>
                </c:pt>
                <c:pt idx="76">
                  <c:v>8.0000000000000043E-2</c:v>
                </c:pt>
                <c:pt idx="77">
                  <c:v>8.0000000000000043E-2</c:v>
                </c:pt>
                <c:pt idx="78">
                  <c:v>8.0000000000000043E-2</c:v>
                </c:pt>
                <c:pt idx="79">
                  <c:v>8.0000000000000043E-2</c:v>
                </c:pt>
                <c:pt idx="80">
                  <c:v>8.0000000000000043E-2</c:v>
                </c:pt>
                <c:pt idx="81">
                  <c:v>8.0000000000000043E-2</c:v>
                </c:pt>
                <c:pt idx="82">
                  <c:v>8.0000000000000043E-2</c:v>
                </c:pt>
                <c:pt idx="83">
                  <c:v>8.0000000000000043E-2</c:v>
                </c:pt>
                <c:pt idx="84">
                  <c:v>8.0000000000000043E-2</c:v>
                </c:pt>
                <c:pt idx="85">
                  <c:v>8.0000000000000043E-2</c:v>
                </c:pt>
                <c:pt idx="86">
                  <c:v>8.0000000000000043E-2</c:v>
                </c:pt>
                <c:pt idx="87">
                  <c:v>8.0000000000000043E-2</c:v>
                </c:pt>
                <c:pt idx="88">
                  <c:v>8.0000000000000043E-2</c:v>
                </c:pt>
                <c:pt idx="89">
                  <c:v>8.0000000000000043E-2</c:v>
                </c:pt>
                <c:pt idx="90">
                  <c:v>8.0000000000000043E-2</c:v>
                </c:pt>
                <c:pt idx="91">
                  <c:v>8.0000000000000043E-2</c:v>
                </c:pt>
                <c:pt idx="92">
                  <c:v>8.0000000000000043E-2</c:v>
                </c:pt>
                <c:pt idx="93">
                  <c:v>8.0000000000000043E-2</c:v>
                </c:pt>
                <c:pt idx="94">
                  <c:v>8.0000000000000043E-2</c:v>
                </c:pt>
                <c:pt idx="95">
                  <c:v>8.0000000000000043E-2</c:v>
                </c:pt>
                <c:pt idx="96">
                  <c:v>8.0000000000000043E-2</c:v>
                </c:pt>
                <c:pt idx="97">
                  <c:v>8.0000000000000043E-2</c:v>
                </c:pt>
                <c:pt idx="98">
                  <c:v>8.0000000000000043E-2</c:v>
                </c:pt>
                <c:pt idx="99">
                  <c:v>8.0000000000000043E-2</c:v>
                </c:pt>
                <c:pt idx="100">
                  <c:v>8.0000000000000043E-2</c:v>
                </c:pt>
                <c:pt idx="101">
                  <c:v>8.0000000000000043E-2</c:v>
                </c:pt>
                <c:pt idx="102">
                  <c:v>8.0000000000000043E-2</c:v>
                </c:pt>
                <c:pt idx="103">
                  <c:v>8.0000000000000043E-2</c:v>
                </c:pt>
                <c:pt idx="104">
                  <c:v>8.0000000000000043E-2</c:v>
                </c:pt>
                <c:pt idx="105">
                  <c:v>8.0000000000000043E-2</c:v>
                </c:pt>
                <c:pt idx="106">
                  <c:v>8.0000000000000043E-2</c:v>
                </c:pt>
                <c:pt idx="107">
                  <c:v>8.0000000000000043E-2</c:v>
                </c:pt>
                <c:pt idx="108">
                  <c:v>8.0000000000000043E-2</c:v>
                </c:pt>
                <c:pt idx="109">
                  <c:v>8.0000000000000043E-2</c:v>
                </c:pt>
                <c:pt idx="110">
                  <c:v>8.0000000000000043E-2</c:v>
                </c:pt>
                <c:pt idx="111">
                  <c:v>8.0000000000000043E-2</c:v>
                </c:pt>
                <c:pt idx="112">
                  <c:v>8.0000000000000043E-2</c:v>
                </c:pt>
                <c:pt idx="113">
                  <c:v>8.0000000000000043E-2</c:v>
                </c:pt>
                <c:pt idx="114">
                  <c:v>8.0000000000000043E-2</c:v>
                </c:pt>
                <c:pt idx="115">
                  <c:v>8.0000000000000043E-2</c:v>
                </c:pt>
                <c:pt idx="116">
                  <c:v>8.0000000000000043E-2</c:v>
                </c:pt>
                <c:pt idx="117">
                  <c:v>8.0000000000000043E-2</c:v>
                </c:pt>
                <c:pt idx="118">
                  <c:v>8.0000000000000043E-2</c:v>
                </c:pt>
                <c:pt idx="119">
                  <c:v>8.0000000000000043E-2</c:v>
                </c:pt>
                <c:pt idx="120">
                  <c:v>8.0000000000000043E-2</c:v>
                </c:pt>
                <c:pt idx="121">
                  <c:v>8.0000000000000043E-2</c:v>
                </c:pt>
                <c:pt idx="122">
                  <c:v>8.0000000000000043E-2</c:v>
                </c:pt>
                <c:pt idx="123">
                  <c:v>8.0000000000000043E-2</c:v>
                </c:pt>
                <c:pt idx="124">
                  <c:v>8.0000000000000043E-2</c:v>
                </c:pt>
                <c:pt idx="125">
                  <c:v>8.0000000000000043E-2</c:v>
                </c:pt>
                <c:pt idx="126">
                  <c:v>8.0000000000000043E-2</c:v>
                </c:pt>
                <c:pt idx="127">
                  <c:v>8.0000000000000043E-2</c:v>
                </c:pt>
                <c:pt idx="128">
                  <c:v>8.0000000000000043E-2</c:v>
                </c:pt>
                <c:pt idx="129">
                  <c:v>8.0000000000000043E-2</c:v>
                </c:pt>
                <c:pt idx="130">
                  <c:v>8.0000000000000043E-2</c:v>
                </c:pt>
                <c:pt idx="131">
                  <c:v>8.0000000000000043E-2</c:v>
                </c:pt>
                <c:pt idx="132">
                  <c:v>8.0000000000000043E-2</c:v>
                </c:pt>
                <c:pt idx="133">
                  <c:v>8.0000000000000043E-2</c:v>
                </c:pt>
                <c:pt idx="134">
                  <c:v>8.0000000000000043E-2</c:v>
                </c:pt>
                <c:pt idx="135">
                  <c:v>8.0000000000000043E-2</c:v>
                </c:pt>
                <c:pt idx="136">
                  <c:v>8.0000000000000043E-2</c:v>
                </c:pt>
                <c:pt idx="137">
                  <c:v>8.0000000000000043E-2</c:v>
                </c:pt>
                <c:pt idx="138">
                  <c:v>8.0000000000000043E-2</c:v>
                </c:pt>
                <c:pt idx="139">
                  <c:v>8.0000000000000043E-2</c:v>
                </c:pt>
                <c:pt idx="140">
                  <c:v>8.0000000000000043E-2</c:v>
                </c:pt>
                <c:pt idx="141">
                  <c:v>8.0000000000000043E-2</c:v>
                </c:pt>
                <c:pt idx="142">
                  <c:v>8.0000000000000043E-2</c:v>
                </c:pt>
                <c:pt idx="143">
                  <c:v>8.0000000000000043E-2</c:v>
                </c:pt>
                <c:pt idx="144">
                  <c:v>8.0000000000000043E-2</c:v>
                </c:pt>
                <c:pt idx="145">
                  <c:v>8.0000000000000043E-2</c:v>
                </c:pt>
                <c:pt idx="146">
                  <c:v>8.0000000000000043E-2</c:v>
                </c:pt>
                <c:pt idx="147">
                  <c:v>8.0000000000000043E-2</c:v>
                </c:pt>
                <c:pt idx="148">
                  <c:v>8.0000000000000043E-2</c:v>
                </c:pt>
                <c:pt idx="149">
                  <c:v>8.0000000000000043E-2</c:v>
                </c:pt>
                <c:pt idx="150">
                  <c:v>8.0000000000000043E-2</c:v>
                </c:pt>
                <c:pt idx="151">
                  <c:v>8.0000000000000043E-2</c:v>
                </c:pt>
                <c:pt idx="152">
                  <c:v>8.0000000000000043E-2</c:v>
                </c:pt>
                <c:pt idx="153">
                  <c:v>8.0000000000000043E-2</c:v>
                </c:pt>
                <c:pt idx="154">
                  <c:v>8.0000000000000043E-2</c:v>
                </c:pt>
                <c:pt idx="155">
                  <c:v>8.0000000000000043E-2</c:v>
                </c:pt>
                <c:pt idx="156">
                  <c:v>8.0000000000000043E-2</c:v>
                </c:pt>
                <c:pt idx="157">
                  <c:v>8.0000000000000043E-2</c:v>
                </c:pt>
                <c:pt idx="158">
                  <c:v>8.0000000000000043E-2</c:v>
                </c:pt>
                <c:pt idx="159">
                  <c:v>8.0000000000000043E-2</c:v>
                </c:pt>
                <c:pt idx="160">
                  <c:v>8.0000000000000043E-2</c:v>
                </c:pt>
                <c:pt idx="161">
                  <c:v>8.0000000000000043E-2</c:v>
                </c:pt>
                <c:pt idx="162">
                  <c:v>8.0000000000000043E-2</c:v>
                </c:pt>
                <c:pt idx="163">
                  <c:v>8.0000000000000043E-2</c:v>
                </c:pt>
                <c:pt idx="164">
                  <c:v>8.0000000000000043E-2</c:v>
                </c:pt>
                <c:pt idx="165">
                  <c:v>8.0000000000000043E-2</c:v>
                </c:pt>
                <c:pt idx="166">
                  <c:v>8.0000000000000043E-2</c:v>
                </c:pt>
                <c:pt idx="167">
                  <c:v>8.0000000000000043E-2</c:v>
                </c:pt>
                <c:pt idx="168">
                  <c:v>8.0000000000000043E-2</c:v>
                </c:pt>
                <c:pt idx="169">
                  <c:v>8.0000000000000043E-2</c:v>
                </c:pt>
                <c:pt idx="170">
                  <c:v>8.0000000000000043E-2</c:v>
                </c:pt>
                <c:pt idx="171">
                  <c:v>8.0000000000000043E-2</c:v>
                </c:pt>
                <c:pt idx="172">
                  <c:v>8.0000000000000043E-2</c:v>
                </c:pt>
                <c:pt idx="173">
                  <c:v>8.0000000000000043E-2</c:v>
                </c:pt>
                <c:pt idx="174">
                  <c:v>8.0000000000000043E-2</c:v>
                </c:pt>
                <c:pt idx="175">
                  <c:v>8.0000000000000043E-2</c:v>
                </c:pt>
                <c:pt idx="176">
                  <c:v>8.0000000000000043E-2</c:v>
                </c:pt>
                <c:pt idx="177">
                  <c:v>8.0000000000000043E-2</c:v>
                </c:pt>
                <c:pt idx="178">
                  <c:v>8.0000000000000043E-2</c:v>
                </c:pt>
                <c:pt idx="179">
                  <c:v>8.0000000000000043E-2</c:v>
                </c:pt>
                <c:pt idx="180">
                  <c:v>8.0000000000000043E-2</c:v>
                </c:pt>
              </c:numCache>
            </c:numRef>
          </c:yVal>
          <c:smooth val="0"/>
        </c:ser>
        <c:ser>
          <c:idx val="3"/>
          <c:order val="3"/>
          <c:tx>
            <c:strRef>
              <c:f>Лист1!$E$1</c:f>
              <c:strCache>
                <c:ptCount val="1"/>
                <c:pt idx="0">
                  <c:v>Link Length 70 km</c:v>
                </c:pt>
              </c:strCache>
            </c:strRef>
          </c:tx>
          <c:spPr>
            <a:ln>
              <a:solidFill>
                <a:schemeClr val="tx1"/>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34.96</c:v>
                </c:pt>
                <c:pt idx="1">
                  <c:v>25.8</c:v>
                </c:pt>
                <c:pt idx="2">
                  <c:v>10.06</c:v>
                </c:pt>
                <c:pt idx="3">
                  <c:v>7.42</c:v>
                </c:pt>
                <c:pt idx="4">
                  <c:v>2.7600000000000002</c:v>
                </c:pt>
                <c:pt idx="5">
                  <c:v>2.08</c:v>
                </c:pt>
                <c:pt idx="6">
                  <c:v>1.6600000000000001</c:v>
                </c:pt>
                <c:pt idx="7">
                  <c:v>1.36</c:v>
                </c:pt>
                <c:pt idx="8">
                  <c:v>1.159999999999997</c:v>
                </c:pt>
                <c:pt idx="9">
                  <c:v>1</c:v>
                </c:pt>
                <c:pt idx="10">
                  <c:v>0.88</c:v>
                </c:pt>
                <c:pt idx="11">
                  <c:v>0.78</c:v>
                </c:pt>
                <c:pt idx="12">
                  <c:v>0.70000000000000062</c:v>
                </c:pt>
                <c:pt idx="13">
                  <c:v>0.62000000000000133</c:v>
                </c:pt>
                <c:pt idx="14">
                  <c:v>0.58000000000000007</c:v>
                </c:pt>
                <c:pt idx="15">
                  <c:v>0.52</c:v>
                </c:pt>
                <c:pt idx="16">
                  <c:v>0.48000000000000032</c:v>
                </c:pt>
                <c:pt idx="17">
                  <c:v>0.46</c:v>
                </c:pt>
                <c:pt idx="18">
                  <c:v>0.42000000000000032</c:v>
                </c:pt>
                <c:pt idx="19">
                  <c:v>0.4</c:v>
                </c:pt>
                <c:pt idx="20">
                  <c:v>0.38000000000000073</c:v>
                </c:pt>
                <c:pt idx="21">
                  <c:v>0.34</c:v>
                </c:pt>
                <c:pt idx="22">
                  <c:v>0.32000000000000073</c:v>
                </c:pt>
                <c:pt idx="23">
                  <c:v>0.32000000000000073</c:v>
                </c:pt>
                <c:pt idx="24">
                  <c:v>0.30000000000000032</c:v>
                </c:pt>
                <c:pt idx="25">
                  <c:v>0.28000000000000008</c:v>
                </c:pt>
                <c:pt idx="26">
                  <c:v>0.26</c:v>
                </c:pt>
                <c:pt idx="27">
                  <c:v>0.26</c:v>
                </c:pt>
                <c:pt idx="28">
                  <c:v>0.24000000000000021</c:v>
                </c:pt>
                <c:pt idx="29">
                  <c:v>0.24000000000000021</c:v>
                </c:pt>
                <c:pt idx="30">
                  <c:v>0.22</c:v>
                </c:pt>
                <c:pt idx="31">
                  <c:v>0.22</c:v>
                </c:pt>
                <c:pt idx="32">
                  <c:v>0.2</c:v>
                </c:pt>
                <c:pt idx="33">
                  <c:v>0.2</c:v>
                </c:pt>
                <c:pt idx="34">
                  <c:v>0.2</c:v>
                </c:pt>
                <c:pt idx="35">
                  <c:v>0.18000000000000024</c:v>
                </c:pt>
                <c:pt idx="36">
                  <c:v>0.18000000000000024</c:v>
                </c:pt>
                <c:pt idx="37">
                  <c:v>0.18000000000000024</c:v>
                </c:pt>
                <c:pt idx="38">
                  <c:v>0.18000000000000024</c:v>
                </c:pt>
                <c:pt idx="39">
                  <c:v>0.16</c:v>
                </c:pt>
                <c:pt idx="40">
                  <c:v>0.16</c:v>
                </c:pt>
                <c:pt idx="41">
                  <c:v>0.16</c:v>
                </c:pt>
                <c:pt idx="42">
                  <c:v>0.16</c:v>
                </c:pt>
                <c:pt idx="43">
                  <c:v>0.14000000000000001</c:v>
                </c:pt>
                <c:pt idx="44">
                  <c:v>0.14000000000000001</c:v>
                </c:pt>
                <c:pt idx="45">
                  <c:v>0.14000000000000001</c:v>
                </c:pt>
                <c:pt idx="46">
                  <c:v>0.14000000000000001</c:v>
                </c:pt>
                <c:pt idx="47">
                  <c:v>0.14000000000000001</c:v>
                </c:pt>
                <c:pt idx="48">
                  <c:v>0.14000000000000001</c:v>
                </c:pt>
                <c:pt idx="49">
                  <c:v>0.14000000000000001</c:v>
                </c:pt>
                <c:pt idx="50">
                  <c:v>0.14000000000000001</c:v>
                </c:pt>
                <c:pt idx="51">
                  <c:v>0.14000000000000001</c:v>
                </c:pt>
                <c:pt idx="52">
                  <c:v>0.14000000000000001</c:v>
                </c:pt>
                <c:pt idx="53">
                  <c:v>0.14000000000000001</c:v>
                </c:pt>
                <c:pt idx="54">
                  <c:v>0.14000000000000001</c:v>
                </c:pt>
                <c:pt idx="55">
                  <c:v>0.14000000000000001</c:v>
                </c:pt>
                <c:pt idx="56">
                  <c:v>0.14000000000000001</c:v>
                </c:pt>
                <c:pt idx="57">
                  <c:v>0.14000000000000001</c:v>
                </c:pt>
                <c:pt idx="58">
                  <c:v>0.14000000000000001</c:v>
                </c:pt>
                <c:pt idx="59">
                  <c:v>0.14000000000000001</c:v>
                </c:pt>
                <c:pt idx="60">
                  <c:v>0.14000000000000001</c:v>
                </c:pt>
                <c:pt idx="61">
                  <c:v>0.14000000000000001</c:v>
                </c:pt>
                <c:pt idx="62">
                  <c:v>0.14000000000000001</c:v>
                </c:pt>
                <c:pt idx="63">
                  <c:v>0.14000000000000001</c:v>
                </c:pt>
                <c:pt idx="64">
                  <c:v>0.14000000000000001</c:v>
                </c:pt>
                <c:pt idx="65">
                  <c:v>0.14000000000000001</c:v>
                </c:pt>
                <c:pt idx="66">
                  <c:v>0.14000000000000001</c:v>
                </c:pt>
                <c:pt idx="67">
                  <c:v>0.14000000000000001</c:v>
                </c:pt>
                <c:pt idx="68">
                  <c:v>0.14000000000000001</c:v>
                </c:pt>
                <c:pt idx="69">
                  <c:v>0.14000000000000001</c:v>
                </c:pt>
                <c:pt idx="70">
                  <c:v>0.14000000000000001</c:v>
                </c:pt>
                <c:pt idx="71">
                  <c:v>0.14000000000000001</c:v>
                </c:pt>
                <c:pt idx="72">
                  <c:v>0.14000000000000001</c:v>
                </c:pt>
                <c:pt idx="73">
                  <c:v>0.14000000000000001</c:v>
                </c:pt>
                <c:pt idx="74">
                  <c:v>0.14000000000000001</c:v>
                </c:pt>
                <c:pt idx="75">
                  <c:v>0.14000000000000001</c:v>
                </c:pt>
                <c:pt idx="76">
                  <c:v>0.14000000000000001</c:v>
                </c:pt>
                <c:pt idx="77">
                  <c:v>0.14000000000000001</c:v>
                </c:pt>
                <c:pt idx="78">
                  <c:v>0.14000000000000001</c:v>
                </c:pt>
                <c:pt idx="79">
                  <c:v>0.14000000000000001</c:v>
                </c:pt>
                <c:pt idx="80">
                  <c:v>0.14000000000000001</c:v>
                </c:pt>
                <c:pt idx="81">
                  <c:v>0.14000000000000001</c:v>
                </c:pt>
                <c:pt idx="82">
                  <c:v>0.14000000000000001</c:v>
                </c:pt>
                <c:pt idx="83">
                  <c:v>0.14000000000000001</c:v>
                </c:pt>
                <c:pt idx="84">
                  <c:v>0.14000000000000001</c:v>
                </c:pt>
                <c:pt idx="85">
                  <c:v>0.14000000000000001</c:v>
                </c:pt>
                <c:pt idx="86">
                  <c:v>0.14000000000000001</c:v>
                </c:pt>
                <c:pt idx="87">
                  <c:v>0.14000000000000001</c:v>
                </c:pt>
                <c:pt idx="88">
                  <c:v>0.14000000000000001</c:v>
                </c:pt>
                <c:pt idx="89">
                  <c:v>0.14000000000000001</c:v>
                </c:pt>
                <c:pt idx="90">
                  <c:v>0.14000000000000001</c:v>
                </c:pt>
                <c:pt idx="91">
                  <c:v>0.14000000000000001</c:v>
                </c:pt>
                <c:pt idx="92">
                  <c:v>0.14000000000000001</c:v>
                </c:pt>
                <c:pt idx="93">
                  <c:v>0.14000000000000001</c:v>
                </c:pt>
                <c:pt idx="94">
                  <c:v>0.14000000000000001</c:v>
                </c:pt>
                <c:pt idx="95">
                  <c:v>0.14000000000000001</c:v>
                </c:pt>
                <c:pt idx="96">
                  <c:v>0.14000000000000001</c:v>
                </c:pt>
                <c:pt idx="97">
                  <c:v>0.14000000000000001</c:v>
                </c:pt>
                <c:pt idx="98">
                  <c:v>0.14000000000000001</c:v>
                </c:pt>
                <c:pt idx="99">
                  <c:v>0.14000000000000001</c:v>
                </c:pt>
                <c:pt idx="100">
                  <c:v>0.14000000000000001</c:v>
                </c:pt>
                <c:pt idx="101">
                  <c:v>0.14000000000000001</c:v>
                </c:pt>
                <c:pt idx="102">
                  <c:v>0.14000000000000001</c:v>
                </c:pt>
                <c:pt idx="103">
                  <c:v>0.14000000000000001</c:v>
                </c:pt>
                <c:pt idx="104">
                  <c:v>0.14000000000000001</c:v>
                </c:pt>
                <c:pt idx="105">
                  <c:v>0.14000000000000001</c:v>
                </c:pt>
                <c:pt idx="106">
                  <c:v>0.14000000000000001</c:v>
                </c:pt>
                <c:pt idx="107">
                  <c:v>0.14000000000000001</c:v>
                </c:pt>
                <c:pt idx="108">
                  <c:v>0.14000000000000001</c:v>
                </c:pt>
                <c:pt idx="109">
                  <c:v>0.14000000000000001</c:v>
                </c:pt>
                <c:pt idx="110">
                  <c:v>0.14000000000000001</c:v>
                </c:pt>
                <c:pt idx="111">
                  <c:v>0.14000000000000001</c:v>
                </c:pt>
                <c:pt idx="112">
                  <c:v>0.14000000000000001</c:v>
                </c:pt>
                <c:pt idx="113">
                  <c:v>0.14000000000000001</c:v>
                </c:pt>
                <c:pt idx="114">
                  <c:v>0.14000000000000001</c:v>
                </c:pt>
                <c:pt idx="115">
                  <c:v>0.14000000000000001</c:v>
                </c:pt>
                <c:pt idx="116">
                  <c:v>0.14000000000000001</c:v>
                </c:pt>
                <c:pt idx="117">
                  <c:v>0.14000000000000001</c:v>
                </c:pt>
                <c:pt idx="118">
                  <c:v>0.14000000000000001</c:v>
                </c:pt>
                <c:pt idx="119">
                  <c:v>0.14000000000000001</c:v>
                </c:pt>
                <c:pt idx="120">
                  <c:v>0.14000000000000001</c:v>
                </c:pt>
                <c:pt idx="121">
                  <c:v>0.14000000000000001</c:v>
                </c:pt>
                <c:pt idx="122">
                  <c:v>0.14000000000000001</c:v>
                </c:pt>
                <c:pt idx="123">
                  <c:v>0.14000000000000001</c:v>
                </c:pt>
                <c:pt idx="124">
                  <c:v>0.14000000000000001</c:v>
                </c:pt>
                <c:pt idx="125">
                  <c:v>0.14000000000000001</c:v>
                </c:pt>
                <c:pt idx="126">
                  <c:v>0.14000000000000001</c:v>
                </c:pt>
                <c:pt idx="127">
                  <c:v>0.14000000000000001</c:v>
                </c:pt>
                <c:pt idx="128">
                  <c:v>0.14000000000000001</c:v>
                </c:pt>
                <c:pt idx="129">
                  <c:v>0.14000000000000001</c:v>
                </c:pt>
                <c:pt idx="130">
                  <c:v>0.14000000000000001</c:v>
                </c:pt>
                <c:pt idx="131">
                  <c:v>0.14000000000000001</c:v>
                </c:pt>
                <c:pt idx="132">
                  <c:v>0.14000000000000001</c:v>
                </c:pt>
                <c:pt idx="133">
                  <c:v>0.14000000000000001</c:v>
                </c:pt>
                <c:pt idx="134">
                  <c:v>0.14000000000000001</c:v>
                </c:pt>
                <c:pt idx="135">
                  <c:v>0.14000000000000001</c:v>
                </c:pt>
                <c:pt idx="136">
                  <c:v>0.14000000000000001</c:v>
                </c:pt>
                <c:pt idx="137">
                  <c:v>0.14000000000000001</c:v>
                </c:pt>
                <c:pt idx="138">
                  <c:v>0.14000000000000001</c:v>
                </c:pt>
                <c:pt idx="139">
                  <c:v>0.14000000000000001</c:v>
                </c:pt>
                <c:pt idx="140">
                  <c:v>0.14000000000000001</c:v>
                </c:pt>
                <c:pt idx="141">
                  <c:v>0.14000000000000001</c:v>
                </c:pt>
                <c:pt idx="142">
                  <c:v>0.14000000000000001</c:v>
                </c:pt>
                <c:pt idx="143">
                  <c:v>0.14000000000000001</c:v>
                </c:pt>
                <c:pt idx="144">
                  <c:v>0.14000000000000001</c:v>
                </c:pt>
                <c:pt idx="145">
                  <c:v>0.14000000000000001</c:v>
                </c:pt>
                <c:pt idx="146">
                  <c:v>0.14000000000000001</c:v>
                </c:pt>
                <c:pt idx="147">
                  <c:v>0.14000000000000001</c:v>
                </c:pt>
                <c:pt idx="148">
                  <c:v>0.14000000000000001</c:v>
                </c:pt>
                <c:pt idx="149">
                  <c:v>0.14000000000000001</c:v>
                </c:pt>
                <c:pt idx="150">
                  <c:v>0.14000000000000001</c:v>
                </c:pt>
                <c:pt idx="151">
                  <c:v>0.14000000000000001</c:v>
                </c:pt>
                <c:pt idx="152">
                  <c:v>0.14000000000000001</c:v>
                </c:pt>
                <c:pt idx="153">
                  <c:v>0.14000000000000001</c:v>
                </c:pt>
                <c:pt idx="154">
                  <c:v>0.14000000000000001</c:v>
                </c:pt>
                <c:pt idx="155">
                  <c:v>0.14000000000000001</c:v>
                </c:pt>
                <c:pt idx="156">
                  <c:v>0.14000000000000001</c:v>
                </c:pt>
                <c:pt idx="157">
                  <c:v>0.14000000000000001</c:v>
                </c:pt>
                <c:pt idx="158">
                  <c:v>0.14000000000000001</c:v>
                </c:pt>
                <c:pt idx="159">
                  <c:v>0.14000000000000001</c:v>
                </c:pt>
                <c:pt idx="160">
                  <c:v>0.14000000000000001</c:v>
                </c:pt>
                <c:pt idx="161">
                  <c:v>0.14000000000000001</c:v>
                </c:pt>
                <c:pt idx="162">
                  <c:v>0.14000000000000001</c:v>
                </c:pt>
                <c:pt idx="163">
                  <c:v>0.14000000000000001</c:v>
                </c:pt>
                <c:pt idx="164">
                  <c:v>0.14000000000000001</c:v>
                </c:pt>
                <c:pt idx="165">
                  <c:v>0.14000000000000001</c:v>
                </c:pt>
                <c:pt idx="166">
                  <c:v>0.14000000000000001</c:v>
                </c:pt>
                <c:pt idx="167">
                  <c:v>0.14000000000000001</c:v>
                </c:pt>
                <c:pt idx="168">
                  <c:v>0.14000000000000001</c:v>
                </c:pt>
                <c:pt idx="169">
                  <c:v>0.14000000000000001</c:v>
                </c:pt>
                <c:pt idx="170">
                  <c:v>0.14000000000000001</c:v>
                </c:pt>
                <c:pt idx="171">
                  <c:v>0.14000000000000001</c:v>
                </c:pt>
                <c:pt idx="172">
                  <c:v>0.14000000000000001</c:v>
                </c:pt>
                <c:pt idx="173">
                  <c:v>0.14000000000000001</c:v>
                </c:pt>
                <c:pt idx="174">
                  <c:v>0.14000000000000001</c:v>
                </c:pt>
                <c:pt idx="175">
                  <c:v>0.14000000000000001</c:v>
                </c:pt>
                <c:pt idx="176">
                  <c:v>0.14000000000000001</c:v>
                </c:pt>
                <c:pt idx="177">
                  <c:v>0.14000000000000001</c:v>
                </c:pt>
                <c:pt idx="178">
                  <c:v>0.14000000000000001</c:v>
                </c:pt>
                <c:pt idx="179">
                  <c:v>0.14000000000000001</c:v>
                </c:pt>
                <c:pt idx="180">
                  <c:v>0.14000000000000001</c:v>
                </c:pt>
              </c:numCache>
            </c:numRef>
          </c:yVal>
          <c:smooth val="0"/>
        </c:ser>
        <c:dLbls>
          <c:showLegendKey val="0"/>
          <c:showVal val="0"/>
          <c:showCatName val="0"/>
          <c:showSerName val="0"/>
          <c:showPercent val="0"/>
          <c:showBubbleSize val="0"/>
        </c:dLbls>
        <c:axId val="622931392"/>
        <c:axId val="617082168"/>
      </c:scatterChart>
      <c:valAx>
        <c:axId val="622931392"/>
        <c:scaling>
          <c:logBase val="10"/>
          <c:orientation val="minMax"/>
          <c:max val="180"/>
          <c:min val="0.1"/>
        </c:scaling>
        <c:delete val="0"/>
        <c:axPos val="b"/>
        <c:majorGridlines/>
        <c:minorGridlines/>
        <c:title>
          <c:tx>
            <c:rich>
              <a:bodyPr/>
              <a:lstStyle/>
              <a:p>
                <a:pPr>
                  <a:defRPr/>
                </a:pPr>
                <a:r>
                  <a:rPr lang="en-US" sz="1200" b="1" i="0" u="none" strike="noStrike" baseline="0">
                    <a:effectLst/>
                    <a:latin typeface="Symbol" panose="05050102010706020507" pitchFamily="18" charset="2"/>
                  </a:rPr>
                  <a:t>D</a:t>
                </a:r>
                <a:r>
                  <a:rPr lang="en-US" sz="1200" b="1" i="1" u="none" strike="noStrike" baseline="-25000">
                    <a:effectLst/>
                    <a:latin typeface="Times New Roman" panose="02020603050405020304" pitchFamily="18" charset="0"/>
                    <a:cs typeface="Times New Roman" panose="02020603050405020304" pitchFamily="18" charset="0"/>
                  </a:rPr>
                  <a:t>azFS-IMT</a:t>
                </a:r>
                <a:r>
                  <a:rPr lang="en-US" sz="1200" b="1" i="0" u="none" strike="noStrike" baseline="0">
                    <a:effectLst/>
                    <a:latin typeface="Times New Roman" panose="02020603050405020304" pitchFamily="18" charset="0"/>
                    <a:cs typeface="Times New Roman" panose="02020603050405020304" pitchFamily="18" charset="0"/>
                  </a:rPr>
                  <a:t> (degree)</a:t>
                </a:r>
                <a:endParaRPr lang="ru-RU" sz="1200">
                  <a:latin typeface="Times New Roman" panose="02020603050405020304" pitchFamily="18" charset="0"/>
                  <a:cs typeface="Times New Roman" panose="02020603050405020304" pitchFamily="18" charset="0"/>
                </a:endParaRPr>
              </a:p>
            </c:rich>
          </c:tx>
          <c:layout>
            <c:manualLayout>
              <c:xMode val="edge"/>
              <c:yMode val="edge"/>
              <c:x val="0.39227767899980254"/>
              <c:y val="0.91686363636363633"/>
            </c:manualLayout>
          </c:layout>
          <c:overlay val="0"/>
        </c:title>
        <c:numFmt formatCode="General" sourceLinked="1"/>
        <c:majorTickMark val="none"/>
        <c:minorTickMark val="none"/>
        <c:tickLblPos val="low"/>
        <c:crossAx val="617082168"/>
        <c:crosses val="autoZero"/>
        <c:crossBetween val="midCat"/>
      </c:valAx>
      <c:valAx>
        <c:axId val="617082168"/>
        <c:scaling>
          <c:logBase val="10"/>
          <c:orientation val="minMax"/>
          <c:max val="100"/>
          <c:min val="1.0000000000000005E-2"/>
        </c:scaling>
        <c:delete val="0"/>
        <c:axPos val="l"/>
        <c:majorGridlines/>
        <c:minorGridlines/>
        <c:title>
          <c:tx>
            <c:rich>
              <a:bodyPr rot="-5400000" vert="horz"/>
              <a:lstStyle/>
              <a:p>
                <a:pPr>
                  <a:defRPr/>
                </a:pPr>
                <a:r>
                  <a:rPr lang="en-US" sz="1200" b="1" i="1" baseline="0">
                    <a:effectLst/>
                    <a:latin typeface="Times New Roman" panose="02020603050405020304" pitchFamily="18" charset="0"/>
                    <a:cs typeface="Times New Roman" panose="02020603050405020304" pitchFamily="18" charset="0"/>
                  </a:rPr>
                  <a:t>d</a:t>
                </a:r>
                <a:r>
                  <a:rPr lang="en-US" sz="1200" b="1" i="1" baseline="-25000">
                    <a:effectLst/>
                    <a:latin typeface="Times New Roman" panose="02020603050405020304" pitchFamily="18" charset="0"/>
                    <a:cs typeface="Times New Roman" panose="02020603050405020304" pitchFamily="18" charset="0"/>
                  </a:rPr>
                  <a:t>FS-IMT</a:t>
                </a:r>
                <a:r>
                  <a:rPr lang="en-US" sz="1200" b="1" i="0" baseline="-25000">
                    <a:effectLst/>
                    <a:latin typeface="Times New Roman" panose="02020603050405020304" pitchFamily="18" charset="0"/>
                    <a:cs typeface="Times New Roman" panose="02020603050405020304" pitchFamily="18" charset="0"/>
                  </a:rPr>
                  <a:t> </a:t>
                </a:r>
                <a:r>
                  <a:rPr lang="en-US" sz="1200" b="1" i="0" baseline="0">
                    <a:effectLst/>
                    <a:latin typeface="Times New Roman" panose="02020603050405020304" pitchFamily="18" charset="0"/>
                    <a:cs typeface="Times New Roman" panose="02020603050405020304" pitchFamily="18" charset="0"/>
                  </a:rPr>
                  <a:t>(km)</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1.3961605584642264E-2"/>
              <c:y val="0.44602569415665216"/>
            </c:manualLayout>
          </c:layout>
          <c:overlay val="0"/>
        </c:title>
        <c:numFmt formatCode="General" sourceLinked="1"/>
        <c:majorTickMark val="none"/>
        <c:minorTickMark val="none"/>
        <c:tickLblPos val="low"/>
        <c:crossAx val="622931392"/>
        <c:crosses val="autoZero"/>
        <c:crossBetween val="midCat"/>
      </c:valAx>
    </c:plotArea>
    <c:legend>
      <c:legendPos val="l"/>
      <c:layout>
        <c:manualLayout>
          <c:xMode val="edge"/>
          <c:yMode val="edge"/>
          <c:x val="0.68843495524597897"/>
          <c:y val="0.22334134548970849"/>
          <c:w val="0.23714415505754091"/>
          <c:h val="0.20321078570214743"/>
        </c:manualLayout>
      </c:layout>
      <c:overlay val="1"/>
      <c:spPr>
        <a:solidFill>
          <a:schemeClr val="bg1"/>
        </a:solidFill>
      </c:spPr>
      <c:txPr>
        <a:bodyPr/>
        <a:lstStyle/>
        <a:p>
          <a:pPr algn="l">
            <a:defRPr sz="700"/>
          </a:pPr>
          <a:endParaRPr lang="en-US"/>
        </a:p>
      </c:txPr>
    </c:legend>
    <c:plotVisOnly val="1"/>
    <c:dispBlanksAs val="gap"/>
    <c:showDLblsOverMax val="0"/>
  </c:chart>
  <c:spPr>
    <a:ln w="15875">
      <a:solidFill>
        <a:schemeClr val="tx1"/>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(C/I) </a:t>
            </a:r>
            <a:r>
              <a:rPr lang="en-GB" sz="700" b="1" i="0" baseline="-25000">
                <a:effectLst/>
              </a:rPr>
              <a:t>required</a:t>
            </a:r>
            <a:r>
              <a:rPr lang="fr-FR" sz="700" b="1" i="0" baseline="0">
                <a:effectLst/>
              </a:rPr>
              <a:t>  = 55 dB; </a:t>
            </a:r>
          </a:p>
          <a:p>
            <a:pPr algn="l">
              <a:defRPr sz="700"/>
            </a:pPr>
            <a:r>
              <a:rPr lang="fr-FR" sz="700" b="1" i="0" baseline="0">
                <a:effectLst/>
              </a:rPr>
              <a:t>Channel Separation 40  MHz;           </a:t>
            </a:r>
            <a:endParaRPr lang="ru-RU" sz="700">
              <a:effectLst/>
            </a:endParaRPr>
          </a:p>
          <a:p>
            <a:pPr algn="l">
              <a:defRPr sz="700"/>
            </a:pPr>
            <a:r>
              <a:rPr lang="en-GB" sz="700" b="1" i="0" baseline="0">
                <a:effectLst/>
              </a:rPr>
              <a:t>First adjacent channel</a:t>
            </a:r>
            <a:r>
              <a:rPr lang="ru-RU" sz="700" b="1" i="0" baseline="0">
                <a:effectLst/>
              </a:rPr>
              <a:t> </a:t>
            </a:r>
            <a:r>
              <a:rPr lang="en-GB" sz="700" b="1" i="0" baseline="0">
                <a:effectLst/>
              </a:rPr>
              <a:t> (</a:t>
            </a:r>
            <a:r>
              <a:rPr lang="en-US" sz="700" b="1" i="0" baseline="0">
                <a:effectLst/>
              </a:rPr>
              <a:t>MD+NFD(</a:t>
            </a:r>
            <a:r>
              <a:rPr lang="en-US" sz="700" b="1" i="0" baseline="0">
                <a:effectLst/>
                <a:latin typeface="Symbol" panose="05050102010706020507" pitchFamily="18" charset="2"/>
              </a:rPr>
              <a:t>D</a:t>
            </a:r>
            <a:r>
              <a:rPr lang="en-US" sz="700" b="1" i="0" baseline="0">
                <a:effectLst/>
              </a:rPr>
              <a:t>f) = </a:t>
            </a:r>
            <a:r>
              <a:rPr lang="ru-RU" sz="700" b="1" i="0" baseline="0">
                <a:effectLst/>
              </a:rPr>
              <a:t>45</a:t>
            </a:r>
            <a:r>
              <a:rPr lang="en-US" sz="700" b="1" i="0" baseline="0">
                <a:effectLst/>
              </a:rPr>
              <a:t> dB);</a:t>
            </a:r>
            <a:endParaRPr lang="ru-RU" sz="700">
              <a:effectLst/>
            </a:endParaRPr>
          </a:p>
          <a:p>
            <a:pPr algn="l">
              <a:defRPr sz="700"/>
            </a:pPr>
            <a:r>
              <a:rPr lang="ru-RU" sz="700" b="1" i="0" baseline="0">
                <a:effectLst/>
              </a:rPr>
              <a:t> </a:t>
            </a:r>
            <a:r>
              <a:rPr lang="en-GB" sz="700" b="1" i="0" baseline="0">
                <a:effectLst/>
              </a:rPr>
              <a:t>a</a:t>
            </a:r>
            <a:r>
              <a:rPr lang="en-GB" sz="700" b="1" i="0" baseline="-25000">
                <a:effectLst/>
              </a:rPr>
              <a:t>indoor</a:t>
            </a:r>
            <a:r>
              <a:rPr lang="en-GB" sz="700" b="1" i="0" baseline="0">
                <a:effectLst/>
              </a:rPr>
              <a:t> = 25 dB;     AhTx = 0 dB </a:t>
            </a:r>
            <a:endParaRPr lang="ru-RU" sz="700">
              <a:effectLst/>
            </a:endParaRPr>
          </a:p>
        </c:rich>
      </c:tx>
      <c:layout>
        <c:manualLayout>
          <c:xMode val="edge"/>
          <c:yMode val="edge"/>
          <c:x val="0.15033409441705994"/>
          <c:y val="3.3840947546531393E-2"/>
        </c:manualLayout>
      </c:layout>
      <c:overlay val="0"/>
    </c:title>
    <c:autoTitleDeleted val="0"/>
    <c:plotArea>
      <c:layout>
        <c:manualLayout>
          <c:layoutTarget val="inner"/>
          <c:xMode val="edge"/>
          <c:yMode val="edge"/>
          <c:x val="0.11062031039223545"/>
          <c:y val="0.19895879987478629"/>
          <c:w val="0.84671691900581392"/>
          <c:h val="0.6482037451740551"/>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#\,##0.00</c:formatCode>
                <c:ptCount val="181"/>
                <c:pt idx="0">
                  <c:v>4.0000000000000022E-2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#\,##0.00</c:formatCode>
                <c:ptCount val="181"/>
                <c:pt idx="0">
                  <c:v>8.0000000000000043E-2</c:v>
                </c:pt>
                <c:pt idx="1">
                  <c:v>4.0000000000000022E-2</c:v>
                </c:pt>
                <c:pt idx="2">
                  <c:v>4.0000000000000022E-2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70C0"/>
              </a:solidFill>
              <a:prstDash val="solid"/>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#\,##0.00</c:formatCode>
                <c:ptCount val="181"/>
                <c:pt idx="0">
                  <c:v>0.14000000000000001</c:v>
                </c:pt>
                <c:pt idx="1">
                  <c:v>8.0000000000000043E-2</c:v>
                </c:pt>
                <c:pt idx="2">
                  <c:v>4.0000000000000022E-2</c:v>
                </c:pt>
                <c:pt idx="3">
                  <c:v>4.0000000000000022E-2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ysClr val="windowText" lastClr="000000"/>
              </a:solidFill>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#\,##0.00</c:formatCode>
                <c:ptCount val="181"/>
                <c:pt idx="0">
                  <c:v>0.2</c:v>
                </c:pt>
                <c:pt idx="1">
                  <c:v>0.14000000000000001</c:v>
                </c:pt>
                <c:pt idx="2">
                  <c:v>4.0000000000000022E-2</c:v>
                </c:pt>
                <c:pt idx="3">
                  <c:v>4.0000000000000022E-2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617082952"/>
        <c:axId val="617083344"/>
      </c:scatterChart>
      <c:valAx>
        <c:axId val="617082952"/>
        <c:scaling>
          <c:logBase val="10"/>
          <c:orientation val="minMax"/>
          <c:max val="180"/>
          <c:min val="0.1"/>
        </c:scaling>
        <c:delete val="0"/>
        <c:axPos val="b"/>
        <c:majorGridlines/>
        <c:minorGridlines/>
        <c:title>
          <c:tx>
            <c:rich>
              <a:bodyPr/>
              <a:lstStyle/>
              <a:p>
                <a:pPr>
                  <a:defRPr/>
                </a:pPr>
                <a:r>
                  <a:rPr lang="en-US" sz="1200" b="1" i="0" u="none" strike="noStrike" baseline="0">
                    <a:effectLst/>
                    <a:latin typeface="Symbol" panose="05050102010706020507" pitchFamily="18" charset="2"/>
                  </a:rPr>
                  <a:t>D</a:t>
                </a:r>
                <a:r>
                  <a:rPr lang="en-US" sz="1200" b="1" i="0" u="none" strike="noStrike" baseline="0">
                    <a:effectLst/>
                  </a:rPr>
                  <a:t>az</a:t>
                </a:r>
                <a:r>
                  <a:rPr lang="en-US" sz="1200" b="1" i="0" u="none" strike="noStrike" baseline="-25000">
                    <a:effectLst/>
                  </a:rPr>
                  <a:t>FS-IMT</a:t>
                </a:r>
                <a:r>
                  <a:rPr lang="en-US" sz="1200" b="1" i="0" u="none" strike="noStrike" baseline="0">
                    <a:effectLst/>
                  </a:rPr>
                  <a:t>, degree</a:t>
                </a:r>
                <a:endParaRPr lang="ru-RU" sz="1200"/>
              </a:p>
            </c:rich>
          </c:tx>
          <c:layout/>
          <c:overlay val="0"/>
        </c:title>
        <c:numFmt formatCode="0.0" sourceLinked="1"/>
        <c:majorTickMark val="none"/>
        <c:minorTickMark val="none"/>
        <c:tickLblPos val="low"/>
        <c:crossAx val="617083344"/>
        <c:crosses val="autoZero"/>
        <c:crossBetween val="midCat"/>
      </c:valAx>
      <c:valAx>
        <c:axId val="617083344"/>
        <c:scaling>
          <c:logBase val="10"/>
          <c:orientation val="minMax"/>
          <c:max val="1"/>
          <c:min val="1.0000000000000005E-2"/>
        </c:scaling>
        <c:delete val="0"/>
        <c:axPos val="l"/>
        <c:majorGridlines/>
        <c:minorGridlines/>
        <c:title>
          <c:tx>
            <c:rich>
              <a:bodyPr rot="-5400000" vert="horz"/>
              <a:lstStyle/>
              <a:p>
                <a:pPr>
                  <a:defRPr/>
                </a:pPr>
                <a:r>
                  <a:rPr lang="en-US" sz="1200" b="1" i="0" baseline="0">
                    <a:effectLst/>
                  </a:rPr>
                  <a:t>d</a:t>
                </a:r>
                <a:r>
                  <a:rPr lang="en-US" sz="1200" b="1" i="0" baseline="-25000">
                    <a:effectLst/>
                  </a:rPr>
                  <a:t>FS-IMT, </a:t>
                </a:r>
                <a:r>
                  <a:rPr lang="en-US" sz="1200" b="1" i="0" baseline="0">
                    <a:effectLst/>
                  </a:rPr>
                  <a:t>km</a:t>
                </a:r>
                <a:endParaRPr lang="ru-RU" sz="1200">
                  <a:effectLst/>
                </a:endParaRPr>
              </a:p>
            </c:rich>
          </c:tx>
          <c:layout>
            <c:manualLayout>
              <c:xMode val="edge"/>
              <c:yMode val="edge"/>
              <c:x val="1.4330566402776888E-2"/>
              <c:y val="0.43590444595440947"/>
            </c:manualLayout>
          </c:layout>
          <c:overlay val="0"/>
        </c:title>
        <c:numFmt formatCode="#\,##0.00" sourceLinked="1"/>
        <c:majorTickMark val="none"/>
        <c:minorTickMark val="none"/>
        <c:tickLblPos val="low"/>
        <c:crossAx val="617082952"/>
        <c:crosses val="autoZero"/>
        <c:crossBetween val="midCat"/>
      </c:valAx>
    </c:plotArea>
    <c:legend>
      <c:legendPos val="l"/>
      <c:layout>
        <c:manualLayout>
          <c:xMode val="edge"/>
          <c:yMode val="edge"/>
          <c:x val="0.60991376077990256"/>
          <c:y val="0.21710594712246406"/>
          <c:w val="0.25881299320343693"/>
          <c:h val="0.18156725822116312"/>
        </c:manualLayout>
      </c:layout>
      <c:overlay val="1"/>
      <c:spPr>
        <a:solidFill>
          <a:schemeClr val="bg1"/>
        </a:solidFill>
      </c:spPr>
      <c:txPr>
        <a:bodyPr/>
        <a:lstStyle/>
        <a:p>
          <a:pPr>
            <a:defRPr sz="700"/>
          </a:pPr>
          <a:endParaRPr lang="en-US"/>
        </a:p>
      </c:txPr>
    </c:legend>
    <c:plotVisOnly val="1"/>
    <c:dispBlanksAs val="gap"/>
    <c:showDLblsOverMax val="0"/>
  </c:chart>
  <c:spPr>
    <a:ln w="15875">
      <a:solidFill>
        <a:schemeClr val="tx1"/>
      </a:solid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700"/>
            </a:pPr>
            <a:r>
              <a:rPr lang="fr-FR" sz="700" b="1" i="0" baseline="0">
                <a:effectLst/>
                <a:latin typeface="Times New Roman" panose="02020603050405020304" pitchFamily="18" charset="0"/>
                <a:cs typeface="Times New Roman" panose="02020603050405020304" pitchFamily="18" charset="0"/>
              </a:rPr>
              <a:t>(</a:t>
            </a:r>
            <a:r>
              <a:rPr lang="en-US" sz="700" b="1" i="1" baseline="0">
                <a:effectLst/>
                <a:latin typeface="Times New Roman" panose="02020603050405020304" pitchFamily="18" charset="0"/>
                <a:cs typeface="Times New Roman" panose="02020603050405020304" pitchFamily="18" charset="0"/>
              </a:rPr>
              <a:t>C</a:t>
            </a:r>
            <a:r>
              <a:rPr lang="fr-FR" sz="700" b="1" i="0" baseline="0">
                <a:effectLst/>
                <a:latin typeface="Times New Roman" panose="02020603050405020304" pitchFamily="18" charset="0"/>
                <a:cs typeface="Times New Roman" panose="02020603050405020304" pitchFamily="18" charset="0"/>
              </a:rPr>
              <a:t>/</a:t>
            </a:r>
            <a:r>
              <a:rPr lang="fr-FR" sz="700" b="1" i="1" baseline="0">
                <a:effectLst/>
                <a:latin typeface="Times New Roman" panose="02020603050405020304" pitchFamily="18" charset="0"/>
                <a:cs typeface="Times New Roman" panose="02020603050405020304" pitchFamily="18" charset="0"/>
              </a:rPr>
              <a:t>I)</a:t>
            </a:r>
            <a:r>
              <a:rPr lang="fr-FR" sz="700" b="1" i="0" baseline="0">
                <a:effectLst/>
                <a:latin typeface="Times New Roman" panose="02020603050405020304" pitchFamily="18" charset="0"/>
                <a:cs typeface="Times New Roman" panose="02020603050405020304" pitchFamily="18" charset="0"/>
              </a:rPr>
              <a:t> </a:t>
            </a:r>
            <a:r>
              <a:rPr lang="en-GB" sz="700" b="1" i="1" baseline="-25000">
                <a:effectLst/>
                <a:latin typeface="Times New Roman" panose="02020603050405020304" pitchFamily="18" charset="0"/>
                <a:cs typeface="Times New Roman" panose="02020603050405020304" pitchFamily="18" charset="0"/>
              </a:rPr>
              <a:t>required</a:t>
            </a:r>
            <a:r>
              <a:rPr lang="fr-FR" sz="700" b="1" i="0" baseline="0">
                <a:effectLst/>
                <a:latin typeface="Times New Roman" panose="02020603050405020304" pitchFamily="18" charset="0"/>
                <a:cs typeface="Times New Roman" panose="02020603050405020304" pitchFamily="18" charset="0"/>
              </a:rPr>
              <a:t>  = 55 dB; </a:t>
            </a:r>
          </a:p>
          <a:p>
            <a:pPr algn="l">
              <a:defRPr sz="700"/>
            </a:pPr>
            <a:r>
              <a:rPr lang="fr-FR" sz="700" b="1" i="0" baseline="0">
                <a:effectLst/>
                <a:latin typeface="Times New Roman" panose="02020603050405020304" pitchFamily="18" charset="0"/>
                <a:cs typeface="Times New Roman" panose="02020603050405020304" pitchFamily="18" charset="0"/>
              </a:rPr>
              <a:t>Channel Separation 40 MHz; </a:t>
            </a:r>
            <a:endParaRPr lang="ru-RU" sz="700">
              <a:effectLst/>
              <a:latin typeface="Times New Roman" panose="02020603050405020304" pitchFamily="18" charset="0"/>
              <a:cs typeface="Times New Roman" panose="02020603050405020304" pitchFamily="18" charset="0"/>
            </a:endParaRPr>
          </a:p>
          <a:p>
            <a:pPr algn="l">
              <a:defRPr sz="700"/>
            </a:pPr>
            <a:r>
              <a:rPr lang="en-GB" sz="700" b="1" i="0" baseline="0">
                <a:effectLst/>
                <a:latin typeface="Times New Roman" panose="02020603050405020304" pitchFamily="18" charset="0"/>
                <a:cs typeface="Times New Roman" panose="02020603050405020304" pitchFamily="18" charset="0"/>
              </a:rPr>
              <a:t>Co‑channel (</a:t>
            </a:r>
            <a:r>
              <a:rPr lang="en-US" sz="700" b="1" i="1" baseline="0">
                <a:effectLst/>
                <a:latin typeface="Times New Roman" panose="02020603050405020304" pitchFamily="18" charset="0"/>
                <a:cs typeface="Times New Roman" panose="02020603050405020304" pitchFamily="18" charset="0"/>
              </a:rPr>
              <a:t>MD</a:t>
            </a:r>
            <a:r>
              <a:rPr lang="en-US" sz="700" b="1" i="0" baseline="0">
                <a:effectLst/>
                <a:latin typeface="Times New Roman" panose="02020603050405020304" pitchFamily="18" charset="0"/>
                <a:cs typeface="Times New Roman" panose="02020603050405020304" pitchFamily="18" charset="0"/>
              </a:rPr>
              <a:t> + </a:t>
            </a:r>
            <a:r>
              <a:rPr lang="en-US" sz="700" b="1" i="1" baseline="0">
                <a:effectLst/>
                <a:latin typeface="Times New Roman" panose="02020603050405020304" pitchFamily="18" charset="0"/>
                <a:cs typeface="Times New Roman" panose="02020603050405020304" pitchFamily="18" charset="0"/>
              </a:rPr>
              <a:t>NFD</a:t>
            </a:r>
            <a:r>
              <a:rPr lang="en-US" sz="700" b="1" i="0" baseline="0">
                <a:effectLst/>
                <a:latin typeface="Times New Roman" panose="02020603050405020304" pitchFamily="18" charset="0"/>
                <a:cs typeface="Times New Roman" panose="02020603050405020304" pitchFamily="18" charset="0"/>
              </a:rPr>
              <a:t>(</a:t>
            </a:r>
            <a:r>
              <a:rPr lang="en-US" sz="700" b="1" i="0" u="none" strike="noStrike" baseline="0">
                <a:effectLst/>
              </a:rPr>
              <a:t>∆</a:t>
            </a:r>
            <a:r>
              <a:rPr lang="en-US" sz="700" b="1" i="1" baseline="0">
                <a:effectLst/>
                <a:latin typeface="Times New Roman" panose="02020603050405020304" pitchFamily="18" charset="0"/>
                <a:cs typeface="Times New Roman" panose="02020603050405020304" pitchFamily="18" charset="0"/>
              </a:rPr>
              <a:t>f</a:t>
            </a:r>
            <a:r>
              <a:rPr lang="en-US" sz="700" b="1" i="0" baseline="0">
                <a:effectLst/>
                <a:latin typeface="Times New Roman" panose="02020603050405020304" pitchFamily="18" charset="0"/>
                <a:cs typeface="Times New Roman" panose="02020603050405020304" pitchFamily="18" charset="0"/>
              </a:rPr>
              <a:t>) = 0 dB); </a:t>
            </a:r>
            <a:r>
              <a:rPr lang="ru-RU" sz="700" b="1" i="0" baseline="0">
                <a:effectLst/>
                <a:latin typeface="Times New Roman" panose="02020603050405020304" pitchFamily="18" charset="0"/>
                <a:cs typeface="Times New Roman" panose="02020603050405020304" pitchFamily="18" charset="0"/>
              </a:rPr>
              <a:t> </a:t>
            </a:r>
            <a:endParaRPr lang="ru-RU" sz="700">
              <a:effectLst/>
              <a:latin typeface="Times New Roman" panose="02020603050405020304" pitchFamily="18" charset="0"/>
              <a:cs typeface="Times New Roman" panose="02020603050405020304" pitchFamily="18" charset="0"/>
            </a:endParaRPr>
          </a:p>
          <a:p>
            <a:pPr algn="l">
              <a:defRPr sz="700"/>
            </a:pPr>
            <a:r>
              <a:rPr lang="en-GB" sz="700" b="1" i="1" baseline="0">
                <a:effectLst/>
                <a:latin typeface="Times New Roman" panose="02020603050405020304" pitchFamily="18" charset="0"/>
                <a:cs typeface="Times New Roman" panose="02020603050405020304" pitchFamily="18" charset="0"/>
              </a:rPr>
              <a:t>a</a:t>
            </a:r>
            <a:r>
              <a:rPr lang="en-GB" sz="700" b="1" i="1" baseline="-25000">
                <a:effectLst/>
                <a:latin typeface="Times New Roman" panose="02020603050405020304" pitchFamily="18" charset="0"/>
                <a:cs typeface="Times New Roman" panose="02020603050405020304" pitchFamily="18" charset="0"/>
              </a:rPr>
              <a:t>indoor</a:t>
            </a:r>
            <a:r>
              <a:rPr lang="en-GB" sz="700" b="1" i="0" baseline="0">
                <a:effectLst/>
                <a:latin typeface="Times New Roman" panose="02020603050405020304" pitchFamily="18" charset="0"/>
                <a:cs typeface="Times New Roman" panose="02020603050405020304" pitchFamily="18" charset="0"/>
              </a:rPr>
              <a:t> = 25 dB;  </a:t>
            </a:r>
            <a:r>
              <a:rPr lang="en-GB" sz="700" b="1" i="1" baseline="0">
                <a:effectLst/>
                <a:latin typeface="Times New Roman" panose="02020603050405020304" pitchFamily="18" charset="0"/>
                <a:cs typeface="Times New Roman" panose="02020603050405020304" pitchFamily="18" charset="0"/>
              </a:rPr>
              <a:t>A</a:t>
            </a:r>
            <a:r>
              <a:rPr lang="en-GB" sz="700" b="1" i="1" baseline="-25000">
                <a:effectLst/>
                <a:latin typeface="Times New Roman" panose="02020603050405020304" pitchFamily="18" charset="0"/>
                <a:cs typeface="Times New Roman" panose="02020603050405020304" pitchFamily="18" charset="0"/>
              </a:rPr>
              <a:t>hTx</a:t>
            </a:r>
            <a:r>
              <a:rPr lang="en-GB" sz="700" b="1" i="0" baseline="0">
                <a:effectLst/>
                <a:latin typeface="Times New Roman" panose="02020603050405020304" pitchFamily="18" charset="0"/>
                <a:cs typeface="Times New Roman" panose="02020603050405020304" pitchFamily="18" charset="0"/>
              </a:rPr>
              <a:t> = 10 dB</a:t>
            </a:r>
            <a:endParaRPr lang="ru-RU" sz="700">
              <a:effectLst/>
              <a:latin typeface="Times New Roman" panose="02020603050405020304" pitchFamily="18" charset="0"/>
              <a:cs typeface="Times New Roman" panose="02020603050405020304" pitchFamily="18" charset="0"/>
            </a:endParaRPr>
          </a:p>
        </c:rich>
      </c:tx>
      <c:layout>
        <c:manualLayout>
          <c:xMode val="edge"/>
          <c:yMode val="edge"/>
          <c:x val="0.1008040007557925"/>
          <c:y val="1.3584172630160532E-2"/>
        </c:manualLayout>
      </c:layout>
      <c:overlay val="0"/>
    </c:title>
    <c:autoTitleDeleted val="0"/>
    <c:plotArea>
      <c:layout>
        <c:manualLayout>
          <c:layoutTarget val="inner"/>
          <c:xMode val="edge"/>
          <c:yMode val="edge"/>
          <c:x val="9.3694148265194177E-2"/>
          <c:y val="0.17673603299587592"/>
          <c:w val="0.83356180814666259"/>
          <c:h val="0.69868992790995466"/>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1.5</c:v>
                </c:pt>
                <c:pt idx="1">
                  <c:v>1.1000000000000001</c:v>
                </c:pt>
                <c:pt idx="2">
                  <c:v>0.44</c:v>
                </c:pt>
                <c:pt idx="3">
                  <c:v>0.32000000000000073</c:v>
                </c:pt>
                <c:pt idx="4">
                  <c:v>0.14000000000000001</c:v>
                </c:pt>
                <c:pt idx="5">
                  <c:v>8.0000000000000043E-2</c:v>
                </c:pt>
                <c:pt idx="6">
                  <c:v>8.0000000000000043E-2</c:v>
                </c:pt>
                <c:pt idx="7">
                  <c:v>8.0000000000000043E-2</c:v>
                </c:pt>
                <c:pt idx="8">
                  <c:v>4.0000000000000022E-2</c:v>
                </c:pt>
                <c:pt idx="9">
                  <c:v>4.0000000000000022E-2</c:v>
                </c:pt>
                <c:pt idx="10">
                  <c:v>4.0000000000000022E-2</c:v>
                </c:pt>
                <c:pt idx="11">
                  <c:v>4.0000000000000022E-2</c:v>
                </c:pt>
                <c:pt idx="12">
                  <c:v>4.0000000000000022E-2</c:v>
                </c:pt>
                <c:pt idx="13">
                  <c:v>4.0000000000000022E-2</c:v>
                </c:pt>
                <c:pt idx="14">
                  <c:v>4.0000000000000022E-2</c:v>
                </c:pt>
                <c:pt idx="15">
                  <c:v>4.0000000000000022E-2</c:v>
                </c:pt>
                <c:pt idx="16">
                  <c:v>4.0000000000000022E-2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4.5599999999999996</c:v>
                </c:pt>
                <c:pt idx="1">
                  <c:v>3.34</c:v>
                </c:pt>
                <c:pt idx="2">
                  <c:v>1.3</c:v>
                </c:pt>
                <c:pt idx="3">
                  <c:v>0.98</c:v>
                </c:pt>
                <c:pt idx="4">
                  <c:v>0.38000000000000073</c:v>
                </c:pt>
                <c:pt idx="5">
                  <c:v>0.28000000000000008</c:v>
                </c:pt>
                <c:pt idx="6">
                  <c:v>0.22</c:v>
                </c:pt>
                <c:pt idx="7">
                  <c:v>0.2</c:v>
                </c:pt>
                <c:pt idx="8">
                  <c:v>0.16</c:v>
                </c:pt>
                <c:pt idx="9">
                  <c:v>0.14000000000000001</c:v>
                </c:pt>
                <c:pt idx="10">
                  <c:v>0.12000000000000002</c:v>
                </c:pt>
                <c:pt idx="11">
                  <c:v>0.12000000000000002</c:v>
                </c:pt>
                <c:pt idx="12">
                  <c:v>8.0000000000000043E-2</c:v>
                </c:pt>
                <c:pt idx="13">
                  <c:v>8.0000000000000043E-2</c:v>
                </c:pt>
                <c:pt idx="14">
                  <c:v>8.0000000000000043E-2</c:v>
                </c:pt>
                <c:pt idx="15">
                  <c:v>8.0000000000000043E-2</c:v>
                </c:pt>
                <c:pt idx="16">
                  <c:v>8.0000000000000043E-2</c:v>
                </c:pt>
                <c:pt idx="17">
                  <c:v>4.0000000000000022E-2</c:v>
                </c:pt>
                <c:pt idx="18">
                  <c:v>4.0000000000000022E-2</c:v>
                </c:pt>
                <c:pt idx="19">
                  <c:v>4.0000000000000022E-2</c:v>
                </c:pt>
                <c:pt idx="20">
                  <c:v>4.0000000000000022E-2</c:v>
                </c:pt>
                <c:pt idx="21">
                  <c:v>4.0000000000000022E-2</c:v>
                </c:pt>
                <c:pt idx="22">
                  <c:v>4.0000000000000022E-2</c:v>
                </c:pt>
                <c:pt idx="23">
                  <c:v>4.0000000000000022E-2</c:v>
                </c:pt>
                <c:pt idx="24">
                  <c:v>4.0000000000000022E-2</c:v>
                </c:pt>
                <c:pt idx="25">
                  <c:v>4.0000000000000022E-2</c:v>
                </c:pt>
                <c:pt idx="26">
                  <c:v>4.0000000000000022E-2</c:v>
                </c:pt>
                <c:pt idx="27">
                  <c:v>4.0000000000000022E-2</c:v>
                </c:pt>
                <c:pt idx="28">
                  <c:v>4.0000000000000022E-2</c:v>
                </c:pt>
                <c:pt idx="29">
                  <c:v>4.0000000000000022E-2</c:v>
                </c:pt>
                <c:pt idx="30">
                  <c:v>4.0000000000000022E-2</c:v>
                </c:pt>
                <c:pt idx="31">
                  <c:v>4.0000000000000022E-2</c:v>
                </c:pt>
                <c:pt idx="32">
                  <c:v>4.0000000000000022E-2</c:v>
                </c:pt>
                <c:pt idx="33">
                  <c:v>4.0000000000000022E-2</c:v>
                </c:pt>
                <c:pt idx="34">
                  <c:v>4.0000000000000022E-2</c:v>
                </c:pt>
                <c:pt idx="35">
                  <c:v>4.0000000000000022E-2</c:v>
                </c:pt>
                <c:pt idx="36">
                  <c:v>4.0000000000000022E-2</c:v>
                </c:pt>
                <c:pt idx="37">
                  <c:v>4.0000000000000022E-2</c:v>
                </c:pt>
                <c:pt idx="38">
                  <c:v>4.0000000000000022E-2</c:v>
                </c:pt>
                <c:pt idx="39">
                  <c:v>4.0000000000000022E-2</c:v>
                </c:pt>
                <c:pt idx="40">
                  <c:v>4.0000000000000022E-2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70C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7.74</c:v>
                </c:pt>
                <c:pt idx="1">
                  <c:v>5.6199999999999966</c:v>
                </c:pt>
                <c:pt idx="2">
                  <c:v>2.1800000000000002</c:v>
                </c:pt>
                <c:pt idx="3">
                  <c:v>1.62</c:v>
                </c:pt>
                <c:pt idx="4">
                  <c:v>0.62000000000000133</c:v>
                </c:pt>
                <c:pt idx="5">
                  <c:v>0.48000000000000032</c:v>
                </c:pt>
                <c:pt idx="6">
                  <c:v>0.38000000000000073</c:v>
                </c:pt>
                <c:pt idx="7">
                  <c:v>0.32000000000000073</c:v>
                </c:pt>
                <c:pt idx="8">
                  <c:v>0.26</c:v>
                </c:pt>
                <c:pt idx="9">
                  <c:v>0.24000000000000021</c:v>
                </c:pt>
                <c:pt idx="10">
                  <c:v>0.2</c:v>
                </c:pt>
                <c:pt idx="11">
                  <c:v>0.18000000000000024</c:v>
                </c:pt>
                <c:pt idx="12">
                  <c:v>0.16</c:v>
                </c:pt>
                <c:pt idx="13">
                  <c:v>0.14000000000000001</c:v>
                </c:pt>
                <c:pt idx="14">
                  <c:v>0.14000000000000001</c:v>
                </c:pt>
                <c:pt idx="15">
                  <c:v>0.12000000000000002</c:v>
                </c:pt>
                <c:pt idx="16">
                  <c:v>0.12000000000000002</c:v>
                </c:pt>
                <c:pt idx="17">
                  <c:v>8.0000000000000043E-2</c:v>
                </c:pt>
                <c:pt idx="18">
                  <c:v>8.0000000000000043E-2</c:v>
                </c:pt>
                <c:pt idx="19">
                  <c:v>8.0000000000000043E-2</c:v>
                </c:pt>
                <c:pt idx="20">
                  <c:v>8.0000000000000043E-2</c:v>
                </c:pt>
                <c:pt idx="21">
                  <c:v>8.0000000000000043E-2</c:v>
                </c:pt>
                <c:pt idx="22">
                  <c:v>8.0000000000000043E-2</c:v>
                </c:pt>
                <c:pt idx="23">
                  <c:v>8.0000000000000043E-2</c:v>
                </c:pt>
                <c:pt idx="24">
                  <c:v>8.0000000000000043E-2</c:v>
                </c:pt>
                <c:pt idx="25">
                  <c:v>8.0000000000000043E-2</c:v>
                </c:pt>
                <c:pt idx="26">
                  <c:v>4.0000000000000022E-2</c:v>
                </c:pt>
                <c:pt idx="27">
                  <c:v>4.0000000000000022E-2</c:v>
                </c:pt>
                <c:pt idx="28">
                  <c:v>4.0000000000000022E-2</c:v>
                </c:pt>
                <c:pt idx="29">
                  <c:v>4.0000000000000022E-2</c:v>
                </c:pt>
                <c:pt idx="30">
                  <c:v>4.0000000000000022E-2</c:v>
                </c:pt>
                <c:pt idx="31">
                  <c:v>4.0000000000000022E-2</c:v>
                </c:pt>
                <c:pt idx="32">
                  <c:v>4.0000000000000022E-2</c:v>
                </c:pt>
                <c:pt idx="33">
                  <c:v>4.0000000000000022E-2</c:v>
                </c:pt>
                <c:pt idx="34">
                  <c:v>4.0000000000000022E-2</c:v>
                </c:pt>
                <c:pt idx="35">
                  <c:v>4.0000000000000022E-2</c:v>
                </c:pt>
                <c:pt idx="36">
                  <c:v>4.0000000000000022E-2</c:v>
                </c:pt>
                <c:pt idx="37">
                  <c:v>4.0000000000000022E-2</c:v>
                </c:pt>
                <c:pt idx="38">
                  <c:v>4.0000000000000022E-2</c:v>
                </c:pt>
                <c:pt idx="39">
                  <c:v>4.0000000000000022E-2</c:v>
                </c:pt>
                <c:pt idx="40">
                  <c:v>4.0000000000000022E-2</c:v>
                </c:pt>
                <c:pt idx="41">
                  <c:v>4.0000000000000022E-2</c:v>
                </c:pt>
                <c:pt idx="42">
                  <c:v>4.0000000000000022E-2</c:v>
                </c:pt>
                <c:pt idx="43">
                  <c:v>4.0000000000000022E-2</c:v>
                </c:pt>
                <c:pt idx="44">
                  <c:v>4.0000000000000022E-2</c:v>
                </c:pt>
                <c:pt idx="45">
                  <c:v>4.0000000000000022E-2</c:v>
                </c:pt>
                <c:pt idx="46">
                  <c:v>4.0000000000000022E-2</c:v>
                </c:pt>
                <c:pt idx="47">
                  <c:v>4.0000000000000022E-2</c:v>
                </c:pt>
                <c:pt idx="48">
                  <c:v>4.0000000000000022E-2</c:v>
                </c:pt>
                <c:pt idx="49">
                  <c:v>4.0000000000000022E-2</c:v>
                </c:pt>
                <c:pt idx="50">
                  <c:v>4.0000000000000022E-2</c:v>
                </c:pt>
                <c:pt idx="51">
                  <c:v>4.0000000000000022E-2</c:v>
                </c:pt>
                <c:pt idx="52">
                  <c:v>4.0000000000000022E-2</c:v>
                </c:pt>
                <c:pt idx="53">
                  <c:v>4.0000000000000022E-2</c:v>
                </c:pt>
                <c:pt idx="54">
                  <c:v>4.0000000000000022E-2</c:v>
                </c:pt>
                <c:pt idx="55">
                  <c:v>4.0000000000000022E-2</c:v>
                </c:pt>
                <c:pt idx="56">
                  <c:v>4.0000000000000022E-2</c:v>
                </c:pt>
                <c:pt idx="57">
                  <c:v>4.0000000000000022E-2</c:v>
                </c:pt>
                <c:pt idx="58">
                  <c:v>4.0000000000000022E-2</c:v>
                </c:pt>
                <c:pt idx="59">
                  <c:v>4.0000000000000022E-2</c:v>
                </c:pt>
                <c:pt idx="60">
                  <c:v>4.0000000000000022E-2</c:v>
                </c:pt>
                <c:pt idx="61">
                  <c:v>4.0000000000000022E-2</c:v>
                </c:pt>
                <c:pt idx="62">
                  <c:v>4.0000000000000022E-2</c:v>
                </c:pt>
                <c:pt idx="63">
                  <c:v>4.0000000000000022E-2</c:v>
                </c:pt>
                <c:pt idx="64">
                  <c:v>4.0000000000000022E-2</c:v>
                </c:pt>
                <c:pt idx="65">
                  <c:v>4.0000000000000022E-2</c:v>
                </c:pt>
                <c:pt idx="66">
                  <c:v>4.0000000000000022E-2</c:v>
                </c:pt>
                <c:pt idx="67">
                  <c:v>4.0000000000000022E-2</c:v>
                </c:pt>
                <c:pt idx="68">
                  <c:v>4.0000000000000022E-2</c:v>
                </c:pt>
                <c:pt idx="69">
                  <c:v>4.0000000000000022E-2</c:v>
                </c:pt>
                <c:pt idx="70">
                  <c:v>4.0000000000000022E-2</c:v>
                </c:pt>
                <c:pt idx="71">
                  <c:v>4.0000000000000022E-2</c:v>
                </c:pt>
                <c:pt idx="72">
                  <c:v>4.0000000000000022E-2</c:v>
                </c:pt>
                <c:pt idx="73">
                  <c:v>4.0000000000000022E-2</c:v>
                </c:pt>
                <c:pt idx="74">
                  <c:v>4.0000000000000022E-2</c:v>
                </c:pt>
                <c:pt idx="75">
                  <c:v>4.0000000000000022E-2</c:v>
                </c:pt>
                <c:pt idx="76">
                  <c:v>4.0000000000000022E-2</c:v>
                </c:pt>
                <c:pt idx="77">
                  <c:v>4.0000000000000022E-2</c:v>
                </c:pt>
                <c:pt idx="78">
                  <c:v>4.0000000000000022E-2</c:v>
                </c:pt>
                <c:pt idx="79">
                  <c:v>4.0000000000000022E-2</c:v>
                </c:pt>
                <c:pt idx="80">
                  <c:v>4.0000000000000022E-2</c:v>
                </c:pt>
                <c:pt idx="81">
                  <c:v>4.0000000000000022E-2</c:v>
                </c:pt>
                <c:pt idx="82">
                  <c:v>4.0000000000000022E-2</c:v>
                </c:pt>
                <c:pt idx="83">
                  <c:v>4.0000000000000022E-2</c:v>
                </c:pt>
                <c:pt idx="84">
                  <c:v>4.0000000000000022E-2</c:v>
                </c:pt>
                <c:pt idx="85">
                  <c:v>4.0000000000000022E-2</c:v>
                </c:pt>
                <c:pt idx="86">
                  <c:v>4.0000000000000022E-2</c:v>
                </c:pt>
                <c:pt idx="87">
                  <c:v>4.0000000000000022E-2</c:v>
                </c:pt>
                <c:pt idx="88">
                  <c:v>4.0000000000000022E-2</c:v>
                </c:pt>
                <c:pt idx="89">
                  <c:v>4.0000000000000022E-2</c:v>
                </c:pt>
                <c:pt idx="90">
                  <c:v>4.0000000000000022E-2</c:v>
                </c:pt>
                <c:pt idx="91">
                  <c:v>4.0000000000000022E-2</c:v>
                </c:pt>
                <c:pt idx="92">
                  <c:v>4.0000000000000022E-2</c:v>
                </c:pt>
                <c:pt idx="93">
                  <c:v>4.0000000000000022E-2</c:v>
                </c:pt>
                <c:pt idx="94">
                  <c:v>4.0000000000000022E-2</c:v>
                </c:pt>
                <c:pt idx="95">
                  <c:v>4.0000000000000022E-2</c:v>
                </c:pt>
                <c:pt idx="96">
                  <c:v>4.0000000000000022E-2</c:v>
                </c:pt>
                <c:pt idx="97">
                  <c:v>4.0000000000000022E-2</c:v>
                </c:pt>
                <c:pt idx="98">
                  <c:v>4.0000000000000022E-2</c:v>
                </c:pt>
                <c:pt idx="99">
                  <c:v>4.0000000000000022E-2</c:v>
                </c:pt>
                <c:pt idx="100">
                  <c:v>4.0000000000000022E-2</c:v>
                </c:pt>
                <c:pt idx="101">
                  <c:v>4.0000000000000022E-2</c:v>
                </c:pt>
                <c:pt idx="102">
                  <c:v>4.0000000000000022E-2</c:v>
                </c:pt>
                <c:pt idx="103">
                  <c:v>4.0000000000000022E-2</c:v>
                </c:pt>
                <c:pt idx="104">
                  <c:v>4.0000000000000022E-2</c:v>
                </c:pt>
                <c:pt idx="105">
                  <c:v>4.0000000000000022E-2</c:v>
                </c:pt>
                <c:pt idx="106">
                  <c:v>4.0000000000000022E-2</c:v>
                </c:pt>
                <c:pt idx="107">
                  <c:v>4.0000000000000022E-2</c:v>
                </c:pt>
                <c:pt idx="108">
                  <c:v>4.0000000000000022E-2</c:v>
                </c:pt>
                <c:pt idx="109">
                  <c:v>4.0000000000000022E-2</c:v>
                </c:pt>
                <c:pt idx="110">
                  <c:v>4.0000000000000022E-2</c:v>
                </c:pt>
                <c:pt idx="111">
                  <c:v>4.0000000000000022E-2</c:v>
                </c:pt>
                <c:pt idx="112">
                  <c:v>4.0000000000000022E-2</c:v>
                </c:pt>
                <c:pt idx="113">
                  <c:v>4.0000000000000022E-2</c:v>
                </c:pt>
                <c:pt idx="114">
                  <c:v>4.0000000000000022E-2</c:v>
                </c:pt>
                <c:pt idx="115">
                  <c:v>4.0000000000000022E-2</c:v>
                </c:pt>
                <c:pt idx="116">
                  <c:v>4.0000000000000022E-2</c:v>
                </c:pt>
                <c:pt idx="117">
                  <c:v>4.0000000000000022E-2</c:v>
                </c:pt>
                <c:pt idx="118">
                  <c:v>4.0000000000000022E-2</c:v>
                </c:pt>
                <c:pt idx="119">
                  <c:v>4.0000000000000022E-2</c:v>
                </c:pt>
                <c:pt idx="120">
                  <c:v>4.0000000000000022E-2</c:v>
                </c:pt>
                <c:pt idx="121">
                  <c:v>4.0000000000000022E-2</c:v>
                </c:pt>
                <c:pt idx="122">
                  <c:v>4.0000000000000022E-2</c:v>
                </c:pt>
                <c:pt idx="123">
                  <c:v>4.0000000000000022E-2</c:v>
                </c:pt>
                <c:pt idx="124">
                  <c:v>4.0000000000000022E-2</c:v>
                </c:pt>
                <c:pt idx="125">
                  <c:v>4.0000000000000022E-2</c:v>
                </c:pt>
                <c:pt idx="126">
                  <c:v>4.0000000000000022E-2</c:v>
                </c:pt>
                <c:pt idx="127">
                  <c:v>4.0000000000000022E-2</c:v>
                </c:pt>
                <c:pt idx="128">
                  <c:v>4.0000000000000022E-2</c:v>
                </c:pt>
                <c:pt idx="129">
                  <c:v>4.0000000000000022E-2</c:v>
                </c:pt>
                <c:pt idx="130">
                  <c:v>4.0000000000000022E-2</c:v>
                </c:pt>
                <c:pt idx="131">
                  <c:v>4.0000000000000022E-2</c:v>
                </c:pt>
                <c:pt idx="132">
                  <c:v>4.0000000000000022E-2</c:v>
                </c:pt>
                <c:pt idx="133">
                  <c:v>4.0000000000000022E-2</c:v>
                </c:pt>
                <c:pt idx="134">
                  <c:v>4.0000000000000022E-2</c:v>
                </c:pt>
                <c:pt idx="135">
                  <c:v>4.0000000000000022E-2</c:v>
                </c:pt>
                <c:pt idx="136">
                  <c:v>4.0000000000000022E-2</c:v>
                </c:pt>
                <c:pt idx="137">
                  <c:v>4.0000000000000022E-2</c:v>
                </c:pt>
                <c:pt idx="138">
                  <c:v>4.0000000000000022E-2</c:v>
                </c:pt>
                <c:pt idx="139">
                  <c:v>4.0000000000000022E-2</c:v>
                </c:pt>
                <c:pt idx="140">
                  <c:v>4.0000000000000022E-2</c:v>
                </c:pt>
                <c:pt idx="141">
                  <c:v>4.0000000000000022E-2</c:v>
                </c:pt>
                <c:pt idx="142">
                  <c:v>4.0000000000000022E-2</c:v>
                </c:pt>
                <c:pt idx="143">
                  <c:v>4.0000000000000022E-2</c:v>
                </c:pt>
                <c:pt idx="144">
                  <c:v>4.0000000000000022E-2</c:v>
                </c:pt>
                <c:pt idx="145">
                  <c:v>4.0000000000000022E-2</c:v>
                </c:pt>
                <c:pt idx="146">
                  <c:v>4.0000000000000022E-2</c:v>
                </c:pt>
                <c:pt idx="147">
                  <c:v>4.0000000000000022E-2</c:v>
                </c:pt>
                <c:pt idx="148">
                  <c:v>4.0000000000000022E-2</c:v>
                </c:pt>
                <c:pt idx="149">
                  <c:v>4.0000000000000022E-2</c:v>
                </c:pt>
                <c:pt idx="150">
                  <c:v>4.0000000000000022E-2</c:v>
                </c:pt>
                <c:pt idx="151">
                  <c:v>4.0000000000000022E-2</c:v>
                </c:pt>
                <c:pt idx="152">
                  <c:v>4.0000000000000022E-2</c:v>
                </c:pt>
                <c:pt idx="153">
                  <c:v>4.0000000000000022E-2</c:v>
                </c:pt>
                <c:pt idx="154">
                  <c:v>4.0000000000000022E-2</c:v>
                </c:pt>
                <c:pt idx="155">
                  <c:v>4.0000000000000022E-2</c:v>
                </c:pt>
                <c:pt idx="156">
                  <c:v>4.0000000000000022E-2</c:v>
                </c:pt>
                <c:pt idx="157">
                  <c:v>4.0000000000000022E-2</c:v>
                </c:pt>
                <c:pt idx="158">
                  <c:v>4.0000000000000022E-2</c:v>
                </c:pt>
                <c:pt idx="159">
                  <c:v>4.0000000000000022E-2</c:v>
                </c:pt>
                <c:pt idx="160">
                  <c:v>4.0000000000000022E-2</c:v>
                </c:pt>
                <c:pt idx="161">
                  <c:v>4.0000000000000022E-2</c:v>
                </c:pt>
                <c:pt idx="162">
                  <c:v>4.0000000000000022E-2</c:v>
                </c:pt>
                <c:pt idx="163">
                  <c:v>4.0000000000000022E-2</c:v>
                </c:pt>
                <c:pt idx="164">
                  <c:v>4.0000000000000022E-2</c:v>
                </c:pt>
                <c:pt idx="165">
                  <c:v>4.0000000000000022E-2</c:v>
                </c:pt>
                <c:pt idx="166">
                  <c:v>4.0000000000000022E-2</c:v>
                </c:pt>
                <c:pt idx="167">
                  <c:v>4.0000000000000022E-2</c:v>
                </c:pt>
                <c:pt idx="168">
                  <c:v>4.0000000000000022E-2</c:v>
                </c:pt>
                <c:pt idx="169">
                  <c:v>4.0000000000000022E-2</c:v>
                </c:pt>
                <c:pt idx="170">
                  <c:v>4.0000000000000022E-2</c:v>
                </c:pt>
                <c:pt idx="171">
                  <c:v>4.0000000000000022E-2</c:v>
                </c:pt>
                <c:pt idx="172">
                  <c:v>4.0000000000000022E-2</c:v>
                </c:pt>
                <c:pt idx="173">
                  <c:v>4.0000000000000022E-2</c:v>
                </c:pt>
                <c:pt idx="174">
                  <c:v>4.0000000000000022E-2</c:v>
                </c:pt>
                <c:pt idx="175">
                  <c:v>4.0000000000000022E-2</c:v>
                </c:pt>
                <c:pt idx="176">
                  <c:v>4.0000000000000022E-2</c:v>
                </c:pt>
                <c:pt idx="177">
                  <c:v>4.0000000000000022E-2</c:v>
                </c:pt>
                <c:pt idx="178">
                  <c:v>4.0000000000000022E-2</c:v>
                </c:pt>
                <c:pt idx="179">
                  <c:v>4.0000000000000022E-2</c:v>
                </c:pt>
                <c:pt idx="180">
                  <c:v>4.0000000000000022E-2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10.96</c:v>
                </c:pt>
                <c:pt idx="1">
                  <c:v>7.96</c:v>
                </c:pt>
                <c:pt idx="2">
                  <c:v>3.08</c:v>
                </c:pt>
                <c:pt idx="3">
                  <c:v>2.2799999999999998</c:v>
                </c:pt>
                <c:pt idx="4">
                  <c:v>0.86000000000000065</c:v>
                </c:pt>
                <c:pt idx="5">
                  <c:v>0.66000000000000181</c:v>
                </c:pt>
                <c:pt idx="6">
                  <c:v>0.52</c:v>
                </c:pt>
                <c:pt idx="7">
                  <c:v>0.44</c:v>
                </c:pt>
                <c:pt idx="8">
                  <c:v>0.36000000000000032</c:v>
                </c:pt>
                <c:pt idx="9">
                  <c:v>0.32000000000000073</c:v>
                </c:pt>
                <c:pt idx="10">
                  <c:v>0.28000000000000008</c:v>
                </c:pt>
                <c:pt idx="11">
                  <c:v>0.26</c:v>
                </c:pt>
                <c:pt idx="12">
                  <c:v>0.22</c:v>
                </c:pt>
                <c:pt idx="13">
                  <c:v>0.2</c:v>
                </c:pt>
                <c:pt idx="14">
                  <c:v>0.18000000000000024</c:v>
                </c:pt>
                <c:pt idx="15">
                  <c:v>0.18000000000000024</c:v>
                </c:pt>
                <c:pt idx="16">
                  <c:v>0.16</c:v>
                </c:pt>
                <c:pt idx="17">
                  <c:v>0.14000000000000001</c:v>
                </c:pt>
                <c:pt idx="18">
                  <c:v>0.14000000000000001</c:v>
                </c:pt>
                <c:pt idx="19">
                  <c:v>0.14000000000000001</c:v>
                </c:pt>
                <c:pt idx="20">
                  <c:v>0.12000000000000002</c:v>
                </c:pt>
                <c:pt idx="21">
                  <c:v>0.12000000000000002</c:v>
                </c:pt>
                <c:pt idx="22">
                  <c:v>0.12000000000000002</c:v>
                </c:pt>
                <c:pt idx="23">
                  <c:v>8.0000000000000043E-2</c:v>
                </c:pt>
                <c:pt idx="24">
                  <c:v>8.0000000000000043E-2</c:v>
                </c:pt>
                <c:pt idx="25">
                  <c:v>8.0000000000000043E-2</c:v>
                </c:pt>
                <c:pt idx="26">
                  <c:v>8.0000000000000043E-2</c:v>
                </c:pt>
                <c:pt idx="27">
                  <c:v>8.0000000000000043E-2</c:v>
                </c:pt>
                <c:pt idx="28">
                  <c:v>8.0000000000000043E-2</c:v>
                </c:pt>
                <c:pt idx="29">
                  <c:v>8.0000000000000043E-2</c:v>
                </c:pt>
                <c:pt idx="30">
                  <c:v>8.0000000000000043E-2</c:v>
                </c:pt>
                <c:pt idx="31">
                  <c:v>8.0000000000000043E-2</c:v>
                </c:pt>
                <c:pt idx="32">
                  <c:v>8.0000000000000043E-2</c:v>
                </c:pt>
                <c:pt idx="33">
                  <c:v>8.0000000000000043E-2</c:v>
                </c:pt>
                <c:pt idx="34">
                  <c:v>4.0000000000000022E-2</c:v>
                </c:pt>
                <c:pt idx="35">
                  <c:v>4.0000000000000022E-2</c:v>
                </c:pt>
                <c:pt idx="36">
                  <c:v>4.0000000000000022E-2</c:v>
                </c:pt>
                <c:pt idx="37">
                  <c:v>4.0000000000000022E-2</c:v>
                </c:pt>
                <c:pt idx="38">
                  <c:v>4.0000000000000022E-2</c:v>
                </c:pt>
                <c:pt idx="39">
                  <c:v>4.0000000000000022E-2</c:v>
                </c:pt>
                <c:pt idx="40">
                  <c:v>4.0000000000000022E-2</c:v>
                </c:pt>
                <c:pt idx="41">
                  <c:v>4.0000000000000022E-2</c:v>
                </c:pt>
                <c:pt idx="42">
                  <c:v>4.0000000000000022E-2</c:v>
                </c:pt>
                <c:pt idx="43">
                  <c:v>4.0000000000000022E-2</c:v>
                </c:pt>
                <c:pt idx="44">
                  <c:v>4.0000000000000022E-2</c:v>
                </c:pt>
                <c:pt idx="45">
                  <c:v>4.0000000000000022E-2</c:v>
                </c:pt>
                <c:pt idx="46">
                  <c:v>4.0000000000000022E-2</c:v>
                </c:pt>
                <c:pt idx="47">
                  <c:v>4.0000000000000022E-2</c:v>
                </c:pt>
                <c:pt idx="48">
                  <c:v>4.0000000000000022E-2</c:v>
                </c:pt>
                <c:pt idx="49">
                  <c:v>4.0000000000000022E-2</c:v>
                </c:pt>
                <c:pt idx="50">
                  <c:v>4.0000000000000022E-2</c:v>
                </c:pt>
                <c:pt idx="51">
                  <c:v>4.0000000000000022E-2</c:v>
                </c:pt>
                <c:pt idx="52">
                  <c:v>4.0000000000000022E-2</c:v>
                </c:pt>
                <c:pt idx="53">
                  <c:v>4.0000000000000022E-2</c:v>
                </c:pt>
                <c:pt idx="54">
                  <c:v>4.0000000000000022E-2</c:v>
                </c:pt>
                <c:pt idx="55">
                  <c:v>4.0000000000000022E-2</c:v>
                </c:pt>
                <c:pt idx="56">
                  <c:v>4.0000000000000022E-2</c:v>
                </c:pt>
                <c:pt idx="57">
                  <c:v>4.0000000000000022E-2</c:v>
                </c:pt>
                <c:pt idx="58">
                  <c:v>4.0000000000000022E-2</c:v>
                </c:pt>
                <c:pt idx="59">
                  <c:v>4.0000000000000022E-2</c:v>
                </c:pt>
                <c:pt idx="60">
                  <c:v>4.0000000000000022E-2</c:v>
                </c:pt>
                <c:pt idx="61">
                  <c:v>4.0000000000000022E-2</c:v>
                </c:pt>
                <c:pt idx="62">
                  <c:v>4.0000000000000022E-2</c:v>
                </c:pt>
                <c:pt idx="63">
                  <c:v>4.0000000000000022E-2</c:v>
                </c:pt>
                <c:pt idx="64">
                  <c:v>4.0000000000000022E-2</c:v>
                </c:pt>
                <c:pt idx="65">
                  <c:v>4.0000000000000022E-2</c:v>
                </c:pt>
                <c:pt idx="66">
                  <c:v>4.0000000000000022E-2</c:v>
                </c:pt>
                <c:pt idx="67">
                  <c:v>4.0000000000000022E-2</c:v>
                </c:pt>
                <c:pt idx="68">
                  <c:v>4.0000000000000022E-2</c:v>
                </c:pt>
                <c:pt idx="69">
                  <c:v>4.0000000000000022E-2</c:v>
                </c:pt>
                <c:pt idx="70">
                  <c:v>4.0000000000000022E-2</c:v>
                </c:pt>
                <c:pt idx="71">
                  <c:v>4.0000000000000022E-2</c:v>
                </c:pt>
                <c:pt idx="72">
                  <c:v>4.0000000000000022E-2</c:v>
                </c:pt>
                <c:pt idx="73">
                  <c:v>4.0000000000000022E-2</c:v>
                </c:pt>
                <c:pt idx="74">
                  <c:v>4.0000000000000022E-2</c:v>
                </c:pt>
                <c:pt idx="75">
                  <c:v>4.0000000000000022E-2</c:v>
                </c:pt>
                <c:pt idx="76">
                  <c:v>4.0000000000000022E-2</c:v>
                </c:pt>
                <c:pt idx="77">
                  <c:v>4.0000000000000022E-2</c:v>
                </c:pt>
                <c:pt idx="78">
                  <c:v>4.0000000000000022E-2</c:v>
                </c:pt>
                <c:pt idx="79">
                  <c:v>4.0000000000000022E-2</c:v>
                </c:pt>
                <c:pt idx="80">
                  <c:v>4.0000000000000022E-2</c:v>
                </c:pt>
                <c:pt idx="81">
                  <c:v>4.0000000000000022E-2</c:v>
                </c:pt>
                <c:pt idx="82">
                  <c:v>4.0000000000000022E-2</c:v>
                </c:pt>
                <c:pt idx="83">
                  <c:v>4.0000000000000022E-2</c:v>
                </c:pt>
                <c:pt idx="84">
                  <c:v>4.0000000000000022E-2</c:v>
                </c:pt>
                <c:pt idx="85">
                  <c:v>4.0000000000000022E-2</c:v>
                </c:pt>
                <c:pt idx="86">
                  <c:v>4.0000000000000022E-2</c:v>
                </c:pt>
                <c:pt idx="87">
                  <c:v>4.0000000000000022E-2</c:v>
                </c:pt>
                <c:pt idx="88">
                  <c:v>4.0000000000000022E-2</c:v>
                </c:pt>
                <c:pt idx="89">
                  <c:v>4.0000000000000022E-2</c:v>
                </c:pt>
                <c:pt idx="90">
                  <c:v>4.0000000000000022E-2</c:v>
                </c:pt>
                <c:pt idx="91">
                  <c:v>4.0000000000000022E-2</c:v>
                </c:pt>
                <c:pt idx="92">
                  <c:v>4.0000000000000022E-2</c:v>
                </c:pt>
                <c:pt idx="93">
                  <c:v>4.0000000000000022E-2</c:v>
                </c:pt>
                <c:pt idx="94">
                  <c:v>4.0000000000000022E-2</c:v>
                </c:pt>
                <c:pt idx="95">
                  <c:v>4.0000000000000022E-2</c:v>
                </c:pt>
                <c:pt idx="96">
                  <c:v>4.0000000000000022E-2</c:v>
                </c:pt>
                <c:pt idx="97">
                  <c:v>4.0000000000000022E-2</c:v>
                </c:pt>
                <c:pt idx="98">
                  <c:v>4.0000000000000022E-2</c:v>
                </c:pt>
                <c:pt idx="99">
                  <c:v>4.0000000000000022E-2</c:v>
                </c:pt>
                <c:pt idx="100">
                  <c:v>4.0000000000000022E-2</c:v>
                </c:pt>
                <c:pt idx="101">
                  <c:v>4.0000000000000022E-2</c:v>
                </c:pt>
                <c:pt idx="102">
                  <c:v>4.0000000000000022E-2</c:v>
                </c:pt>
                <c:pt idx="103">
                  <c:v>4.0000000000000022E-2</c:v>
                </c:pt>
                <c:pt idx="104">
                  <c:v>4.0000000000000022E-2</c:v>
                </c:pt>
                <c:pt idx="105">
                  <c:v>4.0000000000000022E-2</c:v>
                </c:pt>
                <c:pt idx="106">
                  <c:v>4.0000000000000022E-2</c:v>
                </c:pt>
                <c:pt idx="107">
                  <c:v>4.0000000000000022E-2</c:v>
                </c:pt>
                <c:pt idx="108">
                  <c:v>4.0000000000000022E-2</c:v>
                </c:pt>
                <c:pt idx="109">
                  <c:v>4.0000000000000022E-2</c:v>
                </c:pt>
                <c:pt idx="110">
                  <c:v>4.0000000000000022E-2</c:v>
                </c:pt>
                <c:pt idx="111">
                  <c:v>4.0000000000000022E-2</c:v>
                </c:pt>
                <c:pt idx="112">
                  <c:v>4.0000000000000022E-2</c:v>
                </c:pt>
                <c:pt idx="113">
                  <c:v>4.0000000000000022E-2</c:v>
                </c:pt>
                <c:pt idx="114">
                  <c:v>4.0000000000000022E-2</c:v>
                </c:pt>
                <c:pt idx="115">
                  <c:v>4.0000000000000022E-2</c:v>
                </c:pt>
                <c:pt idx="116">
                  <c:v>4.0000000000000022E-2</c:v>
                </c:pt>
                <c:pt idx="117">
                  <c:v>4.0000000000000022E-2</c:v>
                </c:pt>
                <c:pt idx="118">
                  <c:v>4.0000000000000022E-2</c:v>
                </c:pt>
                <c:pt idx="119">
                  <c:v>4.0000000000000022E-2</c:v>
                </c:pt>
                <c:pt idx="120">
                  <c:v>4.0000000000000022E-2</c:v>
                </c:pt>
                <c:pt idx="121">
                  <c:v>4.0000000000000022E-2</c:v>
                </c:pt>
                <c:pt idx="122">
                  <c:v>4.0000000000000022E-2</c:v>
                </c:pt>
                <c:pt idx="123">
                  <c:v>4.0000000000000022E-2</c:v>
                </c:pt>
                <c:pt idx="124">
                  <c:v>4.0000000000000022E-2</c:v>
                </c:pt>
                <c:pt idx="125">
                  <c:v>4.0000000000000022E-2</c:v>
                </c:pt>
                <c:pt idx="126">
                  <c:v>4.0000000000000022E-2</c:v>
                </c:pt>
                <c:pt idx="127">
                  <c:v>4.0000000000000022E-2</c:v>
                </c:pt>
                <c:pt idx="128">
                  <c:v>4.0000000000000022E-2</c:v>
                </c:pt>
                <c:pt idx="129">
                  <c:v>4.0000000000000022E-2</c:v>
                </c:pt>
                <c:pt idx="130">
                  <c:v>4.0000000000000022E-2</c:v>
                </c:pt>
                <c:pt idx="131">
                  <c:v>4.0000000000000022E-2</c:v>
                </c:pt>
                <c:pt idx="132">
                  <c:v>4.0000000000000022E-2</c:v>
                </c:pt>
                <c:pt idx="133">
                  <c:v>4.0000000000000022E-2</c:v>
                </c:pt>
                <c:pt idx="134">
                  <c:v>4.0000000000000022E-2</c:v>
                </c:pt>
                <c:pt idx="135">
                  <c:v>4.0000000000000022E-2</c:v>
                </c:pt>
                <c:pt idx="136">
                  <c:v>4.0000000000000022E-2</c:v>
                </c:pt>
                <c:pt idx="137">
                  <c:v>4.0000000000000022E-2</c:v>
                </c:pt>
                <c:pt idx="138">
                  <c:v>4.0000000000000022E-2</c:v>
                </c:pt>
                <c:pt idx="139">
                  <c:v>4.0000000000000022E-2</c:v>
                </c:pt>
                <c:pt idx="140">
                  <c:v>4.0000000000000022E-2</c:v>
                </c:pt>
                <c:pt idx="141">
                  <c:v>4.0000000000000022E-2</c:v>
                </c:pt>
                <c:pt idx="142">
                  <c:v>4.0000000000000022E-2</c:v>
                </c:pt>
                <c:pt idx="143">
                  <c:v>4.0000000000000022E-2</c:v>
                </c:pt>
                <c:pt idx="144">
                  <c:v>4.0000000000000022E-2</c:v>
                </c:pt>
                <c:pt idx="145">
                  <c:v>4.0000000000000022E-2</c:v>
                </c:pt>
                <c:pt idx="146">
                  <c:v>4.0000000000000022E-2</c:v>
                </c:pt>
                <c:pt idx="147">
                  <c:v>4.0000000000000022E-2</c:v>
                </c:pt>
                <c:pt idx="148">
                  <c:v>4.0000000000000022E-2</c:v>
                </c:pt>
                <c:pt idx="149">
                  <c:v>4.0000000000000022E-2</c:v>
                </c:pt>
                <c:pt idx="150">
                  <c:v>4.0000000000000022E-2</c:v>
                </c:pt>
                <c:pt idx="151">
                  <c:v>4.0000000000000022E-2</c:v>
                </c:pt>
                <c:pt idx="152">
                  <c:v>4.0000000000000022E-2</c:v>
                </c:pt>
                <c:pt idx="153">
                  <c:v>4.0000000000000022E-2</c:v>
                </c:pt>
                <c:pt idx="154">
                  <c:v>4.0000000000000022E-2</c:v>
                </c:pt>
                <c:pt idx="155">
                  <c:v>4.0000000000000022E-2</c:v>
                </c:pt>
                <c:pt idx="156">
                  <c:v>4.0000000000000022E-2</c:v>
                </c:pt>
                <c:pt idx="157">
                  <c:v>4.0000000000000022E-2</c:v>
                </c:pt>
                <c:pt idx="158">
                  <c:v>4.0000000000000022E-2</c:v>
                </c:pt>
                <c:pt idx="159">
                  <c:v>4.0000000000000022E-2</c:v>
                </c:pt>
                <c:pt idx="160">
                  <c:v>4.0000000000000022E-2</c:v>
                </c:pt>
                <c:pt idx="161">
                  <c:v>4.0000000000000022E-2</c:v>
                </c:pt>
                <c:pt idx="162">
                  <c:v>4.0000000000000022E-2</c:v>
                </c:pt>
                <c:pt idx="163">
                  <c:v>4.0000000000000022E-2</c:v>
                </c:pt>
                <c:pt idx="164">
                  <c:v>4.0000000000000022E-2</c:v>
                </c:pt>
                <c:pt idx="165">
                  <c:v>4.0000000000000022E-2</c:v>
                </c:pt>
                <c:pt idx="166">
                  <c:v>4.0000000000000022E-2</c:v>
                </c:pt>
                <c:pt idx="167">
                  <c:v>4.0000000000000022E-2</c:v>
                </c:pt>
                <c:pt idx="168">
                  <c:v>4.0000000000000022E-2</c:v>
                </c:pt>
                <c:pt idx="169">
                  <c:v>4.0000000000000022E-2</c:v>
                </c:pt>
                <c:pt idx="170">
                  <c:v>4.0000000000000022E-2</c:v>
                </c:pt>
                <c:pt idx="171">
                  <c:v>4.0000000000000022E-2</c:v>
                </c:pt>
                <c:pt idx="172">
                  <c:v>4.0000000000000022E-2</c:v>
                </c:pt>
                <c:pt idx="173">
                  <c:v>4.0000000000000022E-2</c:v>
                </c:pt>
                <c:pt idx="174">
                  <c:v>4.0000000000000022E-2</c:v>
                </c:pt>
                <c:pt idx="175">
                  <c:v>4.0000000000000022E-2</c:v>
                </c:pt>
                <c:pt idx="176">
                  <c:v>4.0000000000000022E-2</c:v>
                </c:pt>
                <c:pt idx="177">
                  <c:v>4.0000000000000022E-2</c:v>
                </c:pt>
                <c:pt idx="178">
                  <c:v>4.0000000000000022E-2</c:v>
                </c:pt>
                <c:pt idx="179">
                  <c:v>4.0000000000000022E-2</c:v>
                </c:pt>
                <c:pt idx="180">
                  <c:v>4.0000000000000022E-2</c:v>
                </c:pt>
              </c:numCache>
            </c:numRef>
          </c:yVal>
          <c:smooth val="0"/>
        </c:ser>
        <c:dLbls>
          <c:showLegendKey val="0"/>
          <c:showVal val="0"/>
          <c:showCatName val="0"/>
          <c:showSerName val="0"/>
          <c:showPercent val="0"/>
          <c:showBubbleSize val="0"/>
        </c:dLbls>
        <c:axId val="622261496"/>
        <c:axId val="622261888"/>
      </c:scatterChart>
      <c:valAx>
        <c:axId val="622261496"/>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latin typeface="Times New Roman" panose="02020603050405020304" pitchFamily="18" charset="0"/>
                    <a:cs typeface="Times New Roman" panose="02020603050405020304" pitchFamily="18" charset="0"/>
                  </a:rPr>
                  <a:t>azFS-IMT</a:t>
                </a:r>
                <a:r>
                  <a:rPr lang="en-US" sz="1200" b="1" i="0" baseline="0">
                    <a:effectLst/>
                    <a:latin typeface="Times New Roman" panose="02020603050405020304" pitchFamily="18" charset="0"/>
                    <a:cs typeface="Times New Roman" panose="02020603050405020304" pitchFamily="18" charset="0"/>
                  </a:rPr>
                  <a:t> (degree)</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36788010614695377"/>
              <c:y val="0.91321575369116592"/>
            </c:manualLayout>
          </c:layout>
          <c:overlay val="0"/>
        </c:title>
        <c:numFmt formatCode="General" sourceLinked="1"/>
        <c:majorTickMark val="none"/>
        <c:minorTickMark val="none"/>
        <c:tickLblPos val="low"/>
        <c:crossAx val="622261888"/>
        <c:crosses val="autoZero"/>
        <c:crossBetween val="midCat"/>
        <c:majorUnit val="10"/>
        <c:minorUnit val="10"/>
      </c:valAx>
      <c:valAx>
        <c:axId val="622261888"/>
        <c:scaling>
          <c:logBase val="10"/>
          <c:orientation val="minMax"/>
          <c:max val="100"/>
          <c:min val="1.0000000000000005E-2"/>
        </c:scaling>
        <c:delete val="0"/>
        <c:axPos val="l"/>
        <c:majorGridlines/>
        <c:minorGridlines/>
        <c:title>
          <c:tx>
            <c:rich>
              <a:bodyPr rot="-5400000" vert="horz"/>
              <a:lstStyle/>
              <a:p>
                <a:pPr>
                  <a:defRPr/>
                </a:pPr>
                <a:r>
                  <a:rPr lang="en-US" sz="1200" b="1" i="1" baseline="0">
                    <a:effectLst/>
                    <a:latin typeface="Times New Roman" panose="02020603050405020304" pitchFamily="18" charset="0"/>
                    <a:cs typeface="Times New Roman" panose="02020603050405020304" pitchFamily="18" charset="0"/>
                  </a:rPr>
                  <a:t>d</a:t>
                </a:r>
                <a:r>
                  <a:rPr lang="en-US" sz="1200" b="1" i="1" baseline="-25000">
                    <a:effectLst/>
                    <a:latin typeface="Times New Roman" panose="02020603050405020304" pitchFamily="18" charset="0"/>
                    <a:cs typeface="Times New Roman" panose="02020603050405020304" pitchFamily="18" charset="0"/>
                  </a:rPr>
                  <a:t>FS-IMT</a:t>
                </a:r>
                <a:r>
                  <a:rPr lang="en-US" sz="1200" b="1" i="0" baseline="0">
                    <a:effectLst/>
                    <a:latin typeface="Times New Roman" panose="02020603050405020304" pitchFamily="18" charset="0"/>
                    <a:cs typeface="Times New Roman" panose="02020603050405020304" pitchFamily="18" charset="0"/>
                  </a:rPr>
                  <a:t> </a:t>
                </a:r>
                <a:r>
                  <a:rPr lang="en-US" sz="1200" b="1" i="0" baseline="-25000">
                    <a:effectLst/>
                    <a:latin typeface="Times New Roman" panose="02020603050405020304" pitchFamily="18" charset="0"/>
                    <a:cs typeface="Times New Roman" panose="02020603050405020304" pitchFamily="18" charset="0"/>
                  </a:rPr>
                  <a:t> </a:t>
                </a:r>
                <a:r>
                  <a:rPr lang="en-US" sz="1200" b="1" i="0" baseline="0">
                    <a:effectLst/>
                    <a:latin typeface="Times New Roman" panose="02020603050405020304" pitchFamily="18" charset="0"/>
                    <a:cs typeface="Times New Roman" panose="02020603050405020304" pitchFamily="18" charset="0"/>
                  </a:rPr>
                  <a:t>(km)</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2.0791357124315497E-3"/>
              <c:y val="0.41152578338743245"/>
            </c:manualLayout>
          </c:layout>
          <c:overlay val="0"/>
        </c:title>
        <c:numFmt formatCode="General" sourceLinked="1"/>
        <c:majorTickMark val="none"/>
        <c:minorTickMark val="none"/>
        <c:tickLblPos val="low"/>
        <c:crossAx val="622261496"/>
        <c:crosses val="autoZero"/>
        <c:crossBetween val="midCat"/>
      </c:valAx>
    </c:plotArea>
    <c:legend>
      <c:legendPos val="l"/>
      <c:layout>
        <c:manualLayout>
          <c:xMode val="edge"/>
          <c:yMode val="edge"/>
          <c:x val="0.54475920846972925"/>
          <c:y val="0.19150936321639078"/>
          <c:w val="0.36836916452859131"/>
          <c:h val="0.17038238144760254"/>
        </c:manualLayout>
      </c:layout>
      <c:overlay val="1"/>
      <c:spPr>
        <a:solidFill>
          <a:schemeClr val="bg1"/>
        </a:solidFill>
      </c:spPr>
      <c:txPr>
        <a:bodyPr/>
        <a:lstStyle/>
        <a:p>
          <a:pPr>
            <a:defRPr sz="700"/>
          </a:pPr>
          <a:endParaRPr lang="en-US"/>
        </a:p>
      </c:txPr>
    </c:legend>
    <c:plotVisOnly val="1"/>
    <c:dispBlanksAs val="gap"/>
    <c:showDLblsOverMax val="0"/>
  </c:chart>
  <c:spPr>
    <a:ln w="15875">
      <a:solidFill>
        <a:schemeClr val="tx1"/>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700"/>
            </a:pPr>
            <a:r>
              <a:rPr lang="fr-FR" sz="700" b="1" i="0" baseline="0">
                <a:effectLst/>
              </a:rPr>
              <a:t>(C/I) </a:t>
            </a:r>
            <a:r>
              <a:rPr lang="en-GB" sz="700" b="1" i="0" baseline="-25000">
                <a:effectLst/>
              </a:rPr>
              <a:t>required</a:t>
            </a:r>
            <a:r>
              <a:rPr lang="fr-FR" sz="700" b="1" i="0" baseline="0">
                <a:effectLst/>
              </a:rPr>
              <a:t>  = 55 dB; </a:t>
            </a:r>
          </a:p>
          <a:p>
            <a:pPr algn="l">
              <a:defRPr sz="700"/>
            </a:pPr>
            <a:r>
              <a:rPr lang="fr-FR" sz="700" b="1" i="0" baseline="0">
                <a:effectLst/>
              </a:rPr>
              <a:t>Channel Separation 40  MHz;     </a:t>
            </a:r>
            <a:endParaRPr lang="ru-RU" sz="700">
              <a:effectLst/>
            </a:endParaRPr>
          </a:p>
          <a:p>
            <a:pPr algn="l">
              <a:defRPr sz="700"/>
            </a:pPr>
            <a:r>
              <a:rPr lang="en-GB" sz="700" b="1" i="0" baseline="0">
                <a:effectLst/>
              </a:rPr>
              <a:t>First adjacent channel</a:t>
            </a:r>
            <a:r>
              <a:rPr lang="ru-RU" sz="700" b="1" i="0" baseline="0">
                <a:effectLst/>
              </a:rPr>
              <a:t> </a:t>
            </a:r>
            <a:r>
              <a:rPr lang="en-GB" sz="700" b="1" i="0" baseline="0">
                <a:effectLst/>
              </a:rPr>
              <a:t> (</a:t>
            </a:r>
            <a:r>
              <a:rPr lang="en-US" sz="700" b="1" i="0" baseline="0">
                <a:effectLst/>
              </a:rPr>
              <a:t>MD+NFD(</a:t>
            </a:r>
            <a:r>
              <a:rPr lang="en-US" sz="700" b="1" i="0" baseline="0">
                <a:effectLst/>
                <a:latin typeface="Symbol" panose="05050102010706020507" pitchFamily="18" charset="2"/>
              </a:rPr>
              <a:t>D</a:t>
            </a:r>
            <a:r>
              <a:rPr lang="en-US" sz="700" b="1" i="0" baseline="0">
                <a:effectLst/>
              </a:rPr>
              <a:t>f) = </a:t>
            </a:r>
            <a:r>
              <a:rPr lang="ru-RU" sz="700" b="1" i="0" baseline="0">
                <a:effectLst/>
              </a:rPr>
              <a:t>45</a:t>
            </a:r>
            <a:r>
              <a:rPr lang="en-US" sz="700" b="1" i="0" baseline="0">
                <a:effectLst/>
              </a:rPr>
              <a:t> dB);</a:t>
            </a:r>
            <a:endParaRPr lang="ru-RU" sz="700">
              <a:effectLst/>
            </a:endParaRPr>
          </a:p>
          <a:p>
            <a:pPr algn="l">
              <a:defRPr sz="700"/>
            </a:pPr>
            <a:r>
              <a:rPr lang="ru-RU" sz="700" b="1" i="0" baseline="0">
                <a:effectLst/>
              </a:rPr>
              <a:t> </a:t>
            </a:r>
            <a:r>
              <a:rPr lang="en-GB" sz="700" b="1" i="0" baseline="0">
                <a:effectLst/>
              </a:rPr>
              <a:t>a</a:t>
            </a:r>
            <a:r>
              <a:rPr lang="en-GB" sz="700" b="1" i="0" baseline="-25000">
                <a:effectLst/>
              </a:rPr>
              <a:t>indoor</a:t>
            </a:r>
            <a:r>
              <a:rPr lang="en-GB" sz="700" b="1" i="0" baseline="0">
                <a:effectLst/>
              </a:rPr>
              <a:t> = 25 dB;     AhTx = 10 dB </a:t>
            </a:r>
            <a:endParaRPr lang="ru-RU" sz="700">
              <a:effectLst/>
            </a:endParaRPr>
          </a:p>
        </c:rich>
      </c:tx>
      <c:layout>
        <c:manualLayout>
          <c:xMode val="edge"/>
          <c:yMode val="edge"/>
          <c:x val="0.11640849278325875"/>
          <c:y val="1.5768733133710415E-3"/>
        </c:manualLayout>
      </c:layout>
      <c:overlay val="0"/>
    </c:title>
    <c:autoTitleDeleted val="0"/>
    <c:plotArea>
      <c:layout>
        <c:manualLayout>
          <c:layoutTarget val="inner"/>
          <c:xMode val="edge"/>
          <c:yMode val="edge"/>
          <c:x val="0.10605357022679859"/>
          <c:y val="0.17460317460317457"/>
          <c:w val="0.85112221549229461"/>
          <c:h val="0.69240063742032265"/>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70C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4.0000000000000022E-2</c:v>
                </c:pt>
                <c:pt idx="1">
                  <c:v>4.0000000000000022E-2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4.0000000000000022E-2</c:v>
                </c:pt>
                <c:pt idx="1">
                  <c:v>4.0000000000000022E-2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622263064"/>
        <c:axId val="296394072"/>
      </c:scatterChart>
      <c:valAx>
        <c:axId val="622263064"/>
        <c:scaling>
          <c:logBase val="10"/>
          <c:orientation val="minMax"/>
          <c:max val="180"/>
          <c:min val="0.1"/>
        </c:scaling>
        <c:delete val="0"/>
        <c:axPos val="b"/>
        <c:majorGridlines/>
        <c:minorGridlines>
          <c:spPr>
            <a:ln>
              <a:solidFill>
                <a:schemeClr val="tx1"/>
              </a:solidFill>
            </a:ln>
          </c:spPr>
        </c:minorGridlines>
        <c:title>
          <c:tx>
            <c:rich>
              <a:bodyPr/>
              <a:lstStyle/>
              <a:p>
                <a:pPr>
                  <a:defRPr/>
                </a:pPr>
                <a:r>
                  <a:rPr lang="en-US" sz="1200" b="1" i="0" baseline="0">
                    <a:effectLst/>
                    <a:latin typeface="Symbol" panose="05050102010706020507" pitchFamily="18" charset="2"/>
                  </a:rPr>
                  <a:t>D</a:t>
                </a:r>
                <a:r>
                  <a:rPr lang="en-US" sz="1200" b="1" i="0" baseline="0">
                    <a:effectLst/>
                  </a:rPr>
                  <a:t>az</a:t>
                </a:r>
                <a:r>
                  <a:rPr lang="en-US" sz="1200" b="1" i="0" baseline="-25000">
                    <a:effectLst/>
                  </a:rPr>
                  <a:t>FS-IMT</a:t>
                </a:r>
                <a:r>
                  <a:rPr lang="en-US" sz="1200" b="1" i="0" baseline="0">
                    <a:effectLst/>
                  </a:rPr>
                  <a:t>, degree</a:t>
                </a:r>
                <a:endParaRPr lang="ru-RU" sz="1200">
                  <a:effectLst/>
                </a:endParaRPr>
              </a:p>
            </c:rich>
          </c:tx>
          <c:layout/>
          <c:overlay val="0"/>
        </c:title>
        <c:numFmt formatCode="General" sourceLinked="1"/>
        <c:majorTickMark val="none"/>
        <c:minorTickMark val="none"/>
        <c:tickLblPos val="low"/>
        <c:crossAx val="296394072"/>
        <c:crosses val="autoZero"/>
        <c:crossBetween val="midCat"/>
        <c:majorUnit val="10"/>
        <c:minorUnit val="10"/>
      </c:valAx>
      <c:valAx>
        <c:axId val="296394072"/>
        <c:scaling>
          <c:logBase val="10"/>
          <c:orientation val="minMax"/>
          <c:max val="0.12000000000000002"/>
          <c:min val="1.0000000000000005E-2"/>
        </c:scaling>
        <c:delete val="0"/>
        <c:axPos val="l"/>
        <c:majorGridlines/>
        <c:minorGridlines/>
        <c:title>
          <c:tx>
            <c:rich>
              <a:bodyPr rot="-5400000" vert="horz"/>
              <a:lstStyle/>
              <a:p>
                <a:pPr>
                  <a:defRPr/>
                </a:pPr>
                <a:r>
                  <a:rPr lang="en-US" sz="1200" b="1" i="0" baseline="0">
                    <a:effectLst/>
                  </a:rPr>
                  <a:t>d</a:t>
                </a:r>
                <a:r>
                  <a:rPr lang="en-US" sz="1200" b="1" i="0" baseline="-25000">
                    <a:effectLst/>
                  </a:rPr>
                  <a:t>FS-IMT, </a:t>
                </a:r>
                <a:r>
                  <a:rPr lang="en-US" sz="1200" b="1" i="0" baseline="0">
                    <a:effectLst/>
                  </a:rPr>
                  <a:t>km</a:t>
                </a:r>
                <a:endParaRPr lang="ru-RU" sz="1200">
                  <a:effectLst/>
                </a:endParaRPr>
              </a:p>
            </c:rich>
          </c:tx>
          <c:layout>
            <c:manualLayout>
              <c:xMode val="edge"/>
              <c:yMode val="edge"/>
              <c:x val="2.2662889518413668E-2"/>
              <c:y val="0.41774999499108412"/>
            </c:manualLayout>
          </c:layout>
          <c:overlay val="0"/>
        </c:title>
        <c:numFmt formatCode="General" sourceLinked="1"/>
        <c:majorTickMark val="none"/>
        <c:minorTickMark val="none"/>
        <c:tickLblPos val="low"/>
        <c:crossAx val="622263064"/>
        <c:crosses val="autoZero"/>
        <c:crossBetween val="midCat"/>
      </c:valAx>
    </c:plotArea>
    <c:legend>
      <c:legendPos val="l"/>
      <c:layout>
        <c:manualLayout>
          <c:xMode val="edge"/>
          <c:yMode val="edge"/>
          <c:x val="0.53267634746789794"/>
          <c:y val="0.25761508819031209"/>
          <c:w val="0.35069444444444442"/>
          <c:h val="0.15603427434166187"/>
        </c:manualLayout>
      </c:layout>
      <c:overlay val="1"/>
      <c:spPr>
        <a:solidFill>
          <a:schemeClr val="bg1"/>
        </a:solidFill>
      </c:spPr>
      <c:txPr>
        <a:bodyPr/>
        <a:lstStyle/>
        <a:p>
          <a:pPr>
            <a:defRPr sz="700"/>
          </a:pPr>
          <a:endParaRPr lang="en-US"/>
        </a:p>
      </c:txPr>
    </c:legend>
    <c:plotVisOnly val="1"/>
    <c:dispBlanksAs val="gap"/>
    <c:showDLblsOverMax val="0"/>
  </c:chart>
  <c:spPr>
    <a:ln w="15875">
      <a:solidFill>
        <a:schemeClr val="tx1"/>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700"/>
            </a:pPr>
            <a:r>
              <a:rPr lang="fr-FR" sz="700" b="1" i="0" baseline="0">
                <a:effectLst/>
                <a:latin typeface="Times New Roman" panose="02020603050405020304" pitchFamily="18" charset="0"/>
                <a:cs typeface="Times New Roman" panose="02020603050405020304" pitchFamily="18" charset="0"/>
              </a:rPr>
              <a:t>(</a:t>
            </a:r>
            <a:r>
              <a:rPr lang="fr-FR" sz="700" b="1" i="1" baseline="0">
                <a:effectLst/>
                <a:latin typeface="Times New Roman" panose="02020603050405020304" pitchFamily="18" charset="0"/>
                <a:cs typeface="Times New Roman" panose="02020603050405020304" pitchFamily="18" charset="0"/>
              </a:rPr>
              <a:t>C</a:t>
            </a:r>
            <a:r>
              <a:rPr lang="fr-FR" sz="700" b="1" i="0" baseline="0">
                <a:effectLst/>
                <a:latin typeface="Times New Roman" panose="02020603050405020304" pitchFamily="18" charset="0"/>
                <a:cs typeface="Times New Roman" panose="02020603050405020304" pitchFamily="18" charset="0"/>
              </a:rPr>
              <a:t>/</a:t>
            </a:r>
            <a:r>
              <a:rPr lang="fr-FR" sz="700" b="1" i="1" baseline="0">
                <a:effectLst/>
                <a:latin typeface="Times New Roman" panose="02020603050405020304" pitchFamily="18" charset="0"/>
                <a:cs typeface="Times New Roman" panose="02020603050405020304" pitchFamily="18" charset="0"/>
              </a:rPr>
              <a:t>I</a:t>
            </a:r>
            <a:r>
              <a:rPr lang="fr-FR" sz="700" b="1" i="0" baseline="0">
                <a:effectLst/>
                <a:latin typeface="Times New Roman" panose="02020603050405020304" pitchFamily="18" charset="0"/>
                <a:cs typeface="Times New Roman" panose="02020603050405020304" pitchFamily="18" charset="0"/>
              </a:rPr>
              <a:t>) </a:t>
            </a:r>
            <a:r>
              <a:rPr lang="en-GB" sz="700" b="1" i="1" baseline="-25000">
                <a:effectLst/>
                <a:latin typeface="Times New Roman" panose="02020603050405020304" pitchFamily="18" charset="0"/>
                <a:cs typeface="Times New Roman" panose="02020603050405020304" pitchFamily="18" charset="0"/>
              </a:rPr>
              <a:t>required</a:t>
            </a:r>
            <a:r>
              <a:rPr lang="fr-FR" sz="700" b="1" i="0" baseline="0">
                <a:effectLst/>
                <a:latin typeface="Times New Roman" panose="02020603050405020304" pitchFamily="18" charset="0"/>
                <a:cs typeface="Times New Roman" panose="02020603050405020304" pitchFamily="18" charset="0"/>
              </a:rPr>
              <a:t>  = 55 dB; </a:t>
            </a:r>
          </a:p>
          <a:p>
            <a:pPr algn="l">
              <a:defRPr sz="700"/>
            </a:pPr>
            <a:r>
              <a:rPr lang="fr-FR" sz="700" b="1" i="0" baseline="0">
                <a:effectLst/>
                <a:latin typeface="Times New Roman" panose="02020603050405020304" pitchFamily="18" charset="0"/>
                <a:cs typeface="Times New Roman" panose="02020603050405020304" pitchFamily="18" charset="0"/>
              </a:rPr>
              <a:t>Channel Separation 40  MHz;     </a:t>
            </a:r>
            <a:endParaRPr lang="ru-RU" sz="700">
              <a:effectLst/>
              <a:latin typeface="Times New Roman" panose="02020603050405020304" pitchFamily="18" charset="0"/>
              <a:cs typeface="Times New Roman" panose="02020603050405020304" pitchFamily="18" charset="0"/>
            </a:endParaRPr>
          </a:p>
          <a:p>
            <a:pPr algn="l">
              <a:defRPr sz="700"/>
            </a:pPr>
            <a:r>
              <a:rPr lang="en-GB" sz="700" b="1" i="0" baseline="0">
                <a:effectLst/>
                <a:latin typeface="Times New Roman" panose="02020603050405020304" pitchFamily="18" charset="0"/>
                <a:cs typeface="Times New Roman" panose="02020603050405020304" pitchFamily="18" charset="0"/>
              </a:rPr>
              <a:t>Co‑channel (</a:t>
            </a:r>
            <a:r>
              <a:rPr lang="en-US" sz="700" b="1" i="1" baseline="0">
                <a:effectLst/>
                <a:latin typeface="Times New Roman" panose="02020603050405020304" pitchFamily="18" charset="0"/>
                <a:cs typeface="Times New Roman" panose="02020603050405020304" pitchFamily="18" charset="0"/>
              </a:rPr>
              <a:t>MD </a:t>
            </a:r>
            <a:r>
              <a:rPr lang="en-US" sz="700" b="1" i="0" baseline="0">
                <a:effectLst/>
                <a:latin typeface="Times New Roman" panose="02020603050405020304" pitchFamily="18" charset="0"/>
                <a:cs typeface="Times New Roman" panose="02020603050405020304" pitchFamily="18" charset="0"/>
              </a:rPr>
              <a:t>+ </a:t>
            </a:r>
            <a:r>
              <a:rPr lang="en-US" sz="700" b="1" i="1" baseline="0">
                <a:effectLst/>
                <a:latin typeface="Times New Roman" panose="02020603050405020304" pitchFamily="18" charset="0"/>
                <a:cs typeface="Times New Roman" panose="02020603050405020304" pitchFamily="18" charset="0"/>
              </a:rPr>
              <a:t>NFD</a:t>
            </a:r>
            <a:r>
              <a:rPr lang="en-US" sz="700" b="1" i="0" baseline="0">
                <a:effectLst/>
                <a:latin typeface="Times New Roman" panose="02020603050405020304" pitchFamily="18" charset="0"/>
                <a:cs typeface="Times New Roman" panose="02020603050405020304" pitchFamily="18" charset="0"/>
              </a:rPr>
              <a:t>(</a:t>
            </a:r>
            <a:r>
              <a:rPr lang="en-US" sz="700" b="1" i="0" u="none" strike="noStrike" baseline="0">
                <a:effectLst/>
              </a:rPr>
              <a:t>∆</a:t>
            </a:r>
            <a:r>
              <a:rPr lang="en-US" sz="700" b="1" i="1" baseline="0">
                <a:effectLst/>
                <a:latin typeface="Times New Roman" panose="02020603050405020304" pitchFamily="18" charset="0"/>
                <a:cs typeface="Times New Roman" panose="02020603050405020304" pitchFamily="18" charset="0"/>
              </a:rPr>
              <a:t>f</a:t>
            </a:r>
            <a:r>
              <a:rPr lang="en-US" sz="700" b="1" i="0" baseline="0">
                <a:effectLst/>
                <a:latin typeface="Times New Roman" panose="02020603050405020304" pitchFamily="18" charset="0"/>
                <a:cs typeface="Times New Roman" panose="02020603050405020304" pitchFamily="18" charset="0"/>
              </a:rPr>
              <a:t>) = 0 dB); </a:t>
            </a:r>
            <a:r>
              <a:rPr lang="ru-RU" sz="700" b="1" i="0" baseline="0">
                <a:effectLst/>
                <a:latin typeface="Times New Roman" panose="02020603050405020304" pitchFamily="18" charset="0"/>
                <a:cs typeface="Times New Roman" panose="02020603050405020304" pitchFamily="18" charset="0"/>
              </a:rPr>
              <a:t> </a:t>
            </a:r>
            <a:endParaRPr lang="ru-RU" sz="700">
              <a:effectLst/>
              <a:latin typeface="Times New Roman" panose="02020603050405020304" pitchFamily="18" charset="0"/>
              <a:cs typeface="Times New Roman" panose="02020603050405020304" pitchFamily="18" charset="0"/>
            </a:endParaRPr>
          </a:p>
          <a:p>
            <a:pPr algn="l">
              <a:defRPr sz="700"/>
            </a:pPr>
            <a:r>
              <a:rPr lang="ru-RU" sz="700" b="1" i="1" baseline="0">
                <a:effectLst/>
                <a:latin typeface="Times New Roman" panose="02020603050405020304" pitchFamily="18" charset="0"/>
                <a:cs typeface="Times New Roman" panose="02020603050405020304" pitchFamily="18" charset="0"/>
              </a:rPr>
              <a:t> </a:t>
            </a:r>
            <a:r>
              <a:rPr lang="en-GB" sz="700" b="1" i="1" baseline="0">
                <a:effectLst/>
                <a:latin typeface="Times New Roman" panose="02020603050405020304" pitchFamily="18" charset="0"/>
                <a:cs typeface="Times New Roman" panose="02020603050405020304" pitchFamily="18" charset="0"/>
              </a:rPr>
              <a:t>a</a:t>
            </a:r>
            <a:r>
              <a:rPr lang="en-GB" sz="700" b="1" i="1" baseline="-25000">
                <a:effectLst/>
                <a:latin typeface="Times New Roman" panose="02020603050405020304" pitchFamily="18" charset="0"/>
                <a:cs typeface="Times New Roman" panose="02020603050405020304" pitchFamily="18" charset="0"/>
              </a:rPr>
              <a:t>indoor</a:t>
            </a:r>
            <a:r>
              <a:rPr lang="en-GB" sz="700" b="1" i="1" baseline="0">
                <a:effectLst/>
                <a:latin typeface="Times New Roman" panose="02020603050405020304" pitchFamily="18" charset="0"/>
                <a:cs typeface="Times New Roman" panose="02020603050405020304" pitchFamily="18" charset="0"/>
              </a:rPr>
              <a:t> </a:t>
            </a:r>
            <a:r>
              <a:rPr lang="en-GB" sz="700" b="1" i="0" baseline="0">
                <a:effectLst/>
                <a:latin typeface="Times New Roman" panose="02020603050405020304" pitchFamily="18" charset="0"/>
                <a:cs typeface="Times New Roman" panose="02020603050405020304" pitchFamily="18" charset="0"/>
              </a:rPr>
              <a:t>= 25 dB;  </a:t>
            </a:r>
            <a:r>
              <a:rPr lang="en-GB" sz="700" b="1" i="1" baseline="0">
                <a:effectLst/>
                <a:latin typeface="Times New Roman" panose="02020603050405020304" pitchFamily="18" charset="0"/>
                <a:cs typeface="Times New Roman" panose="02020603050405020304" pitchFamily="18" charset="0"/>
              </a:rPr>
              <a:t>A</a:t>
            </a:r>
            <a:r>
              <a:rPr lang="en-GB" sz="700" b="1" i="1" baseline="-25000">
                <a:effectLst/>
                <a:latin typeface="Times New Roman" panose="02020603050405020304" pitchFamily="18" charset="0"/>
                <a:cs typeface="Times New Roman" panose="02020603050405020304" pitchFamily="18" charset="0"/>
              </a:rPr>
              <a:t>hTx</a:t>
            </a:r>
            <a:r>
              <a:rPr lang="en-GB" sz="700" b="1" i="0" baseline="0">
                <a:effectLst/>
                <a:latin typeface="Times New Roman" panose="02020603050405020304" pitchFamily="18" charset="0"/>
                <a:cs typeface="Times New Roman" panose="02020603050405020304" pitchFamily="18" charset="0"/>
              </a:rPr>
              <a:t> = 19 dB </a:t>
            </a:r>
            <a:endParaRPr lang="ru-RU" sz="700">
              <a:effectLst/>
              <a:latin typeface="Times New Roman" panose="02020603050405020304" pitchFamily="18" charset="0"/>
              <a:cs typeface="Times New Roman" panose="02020603050405020304" pitchFamily="18" charset="0"/>
            </a:endParaRPr>
          </a:p>
        </c:rich>
      </c:tx>
      <c:layout>
        <c:manualLayout>
          <c:xMode val="edge"/>
          <c:yMode val="edge"/>
          <c:x val="0.10475160357629093"/>
          <c:y val="2.0506000780971888E-2"/>
        </c:manualLayout>
      </c:layout>
      <c:overlay val="0"/>
    </c:title>
    <c:autoTitleDeleted val="0"/>
    <c:plotArea>
      <c:layout>
        <c:manualLayout>
          <c:layoutTarget val="inner"/>
          <c:xMode val="edge"/>
          <c:yMode val="edge"/>
          <c:x val="9.5861171077862725E-2"/>
          <c:y val="0.19625373560978138"/>
          <c:w val="0.83861171077862495"/>
          <c:h val="0.6668444167251405"/>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0.54</c:v>
                </c:pt>
                <c:pt idx="1">
                  <c:v>0.4</c:v>
                </c:pt>
                <c:pt idx="2">
                  <c:v>0.16</c:v>
                </c:pt>
                <c:pt idx="3">
                  <c:v>0.12000000000000002</c:v>
                </c:pt>
                <c:pt idx="4">
                  <c:v>4.0000000000000022E-2</c:v>
                </c:pt>
                <c:pt idx="5">
                  <c:v>4.0000000000000022E-2</c:v>
                </c:pt>
                <c:pt idx="6">
                  <c:v>4.0000000000000022E-2</c:v>
                </c:pt>
                <c:pt idx="7">
                  <c:v>4.0000000000000022E-2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1.6</c:v>
                </c:pt>
                <c:pt idx="1">
                  <c:v>1.159999999999997</c:v>
                </c:pt>
                <c:pt idx="2">
                  <c:v>0.46</c:v>
                </c:pt>
                <c:pt idx="3">
                  <c:v>0.34</c:v>
                </c:pt>
                <c:pt idx="4">
                  <c:v>0.14000000000000001</c:v>
                </c:pt>
                <c:pt idx="5">
                  <c:v>8.0000000000000043E-2</c:v>
                </c:pt>
                <c:pt idx="6">
                  <c:v>8.0000000000000043E-2</c:v>
                </c:pt>
                <c:pt idx="7">
                  <c:v>8.0000000000000043E-2</c:v>
                </c:pt>
                <c:pt idx="8">
                  <c:v>4.0000000000000022E-2</c:v>
                </c:pt>
                <c:pt idx="9">
                  <c:v>4.0000000000000022E-2</c:v>
                </c:pt>
                <c:pt idx="10">
                  <c:v>4.0000000000000022E-2</c:v>
                </c:pt>
                <c:pt idx="11">
                  <c:v>4.0000000000000022E-2</c:v>
                </c:pt>
                <c:pt idx="12">
                  <c:v>4.0000000000000022E-2</c:v>
                </c:pt>
                <c:pt idx="13">
                  <c:v>4.0000000000000022E-2</c:v>
                </c:pt>
                <c:pt idx="14">
                  <c:v>4.0000000000000022E-2</c:v>
                </c:pt>
                <c:pt idx="15">
                  <c:v>4.0000000000000022E-2</c:v>
                </c:pt>
                <c:pt idx="16">
                  <c:v>4.0000000000000022E-2</c:v>
                </c:pt>
                <c:pt idx="17">
                  <c:v>4.0000000000000022E-2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70C0"/>
              </a:solidFill>
              <a:prstDash val="solid"/>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2.66</c:v>
                </c:pt>
                <c:pt idx="1">
                  <c:v>1.9600000000000026</c:v>
                </c:pt>
                <c:pt idx="2">
                  <c:v>0.78</c:v>
                </c:pt>
                <c:pt idx="3">
                  <c:v>0.58000000000000007</c:v>
                </c:pt>
                <c:pt idx="4">
                  <c:v>0.22</c:v>
                </c:pt>
                <c:pt idx="5">
                  <c:v>0.18000000000000024</c:v>
                </c:pt>
                <c:pt idx="6">
                  <c:v>0.14000000000000001</c:v>
                </c:pt>
                <c:pt idx="7">
                  <c:v>0.12000000000000002</c:v>
                </c:pt>
                <c:pt idx="8">
                  <c:v>8.0000000000000043E-2</c:v>
                </c:pt>
                <c:pt idx="9">
                  <c:v>8.0000000000000043E-2</c:v>
                </c:pt>
                <c:pt idx="10">
                  <c:v>8.0000000000000043E-2</c:v>
                </c:pt>
                <c:pt idx="11">
                  <c:v>8.0000000000000043E-2</c:v>
                </c:pt>
                <c:pt idx="12">
                  <c:v>4.0000000000000022E-2</c:v>
                </c:pt>
                <c:pt idx="13">
                  <c:v>4.0000000000000022E-2</c:v>
                </c:pt>
                <c:pt idx="14">
                  <c:v>4.0000000000000022E-2</c:v>
                </c:pt>
                <c:pt idx="15">
                  <c:v>4.0000000000000022E-2</c:v>
                </c:pt>
                <c:pt idx="16">
                  <c:v>4.0000000000000022E-2</c:v>
                </c:pt>
                <c:pt idx="17">
                  <c:v>4.0000000000000022E-2</c:v>
                </c:pt>
                <c:pt idx="18">
                  <c:v>4.0000000000000022E-2</c:v>
                </c:pt>
                <c:pt idx="19">
                  <c:v>4.0000000000000022E-2</c:v>
                </c:pt>
                <c:pt idx="20">
                  <c:v>4.0000000000000022E-2</c:v>
                </c:pt>
                <c:pt idx="21">
                  <c:v>4.0000000000000022E-2</c:v>
                </c:pt>
                <c:pt idx="22">
                  <c:v>4.0000000000000022E-2</c:v>
                </c:pt>
                <c:pt idx="23">
                  <c:v>4.0000000000000022E-2</c:v>
                </c:pt>
                <c:pt idx="24">
                  <c:v>4.0000000000000022E-2</c:v>
                </c:pt>
                <c:pt idx="25">
                  <c:v>4.0000000000000022E-2</c:v>
                </c:pt>
                <c:pt idx="26">
                  <c:v>4.0000000000000022E-2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3.7600000000000002</c:v>
                </c:pt>
                <c:pt idx="1">
                  <c:v>2.74</c:v>
                </c:pt>
                <c:pt idx="2">
                  <c:v>1.08</c:v>
                </c:pt>
                <c:pt idx="3">
                  <c:v>0.8</c:v>
                </c:pt>
                <c:pt idx="4">
                  <c:v>0.32000000000000073</c:v>
                </c:pt>
                <c:pt idx="5">
                  <c:v>0.24000000000000021</c:v>
                </c:pt>
                <c:pt idx="6">
                  <c:v>0.2</c:v>
                </c:pt>
                <c:pt idx="7">
                  <c:v>0.16</c:v>
                </c:pt>
                <c:pt idx="8">
                  <c:v>0.14000000000000001</c:v>
                </c:pt>
                <c:pt idx="9">
                  <c:v>0.12000000000000002</c:v>
                </c:pt>
                <c:pt idx="10">
                  <c:v>8.0000000000000043E-2</c:v>
                </c:pt>
                <c:pt idx="11">
                  <c:v>8.0000000000000043E-2</c:v>
                </c:pt>
                <c:pt idx="12">
                  <c:v>8.0000000000000043E-2</c:v>
                </c:pt>
                <c:pt idx="13">
                  <c:v>8.0000000000000043E-2</c:v>
                </c:pt>
                <c:pt idx="14">
                  <c:v>8.0000000000000043E-2</c:v>
                </c:pt>
                <c:pt idx="15">
                  <c:v>4.0000000000000022E-2</c:v>
                </c:pt>
                <c:pt idx="16">
                  <c:v>4.0000000000000022E-2</c:v>
                </c:pt>
                <c:pt idx="17">
                  <c:v>4.0000000000000022E-2</c:v>
                </c:pt>
                <c:pt idx="18">
                  <c:v>4.0000000000000022E-2</c:v>
                </c:pt>
                <c:pt idx="19">
                  <c:v>4.0000000000000022E-2</c:v>
                </c:pt>
                <c:pt idx="20">
                  <c:v>4.0000000000000022E-2</c:v>
                </c:pt>
                <c:pt idx="21">
                  <c:v>4.0000000000000022E-2</c:v>
                </c:pt>
                <c:pt idx="22">
                  <c:v>4.0000000000000022E-2</c:v>
                </c:pt>
                <c:pt idx="23">
                  <c:v>4.0000000000000022E-2</c:v>
                </c:pt>
                <c:pt idx="24">
                  <c:v>4.0000000000000022E-2</c:v>
                </c:pt>
                <c:pt idx="25">
                  <c:v>4.0000000000000022E-2</c:v>
                </c:pt>
                <c:pt idx="26">
                  <c:v>4.0000000000000022E-2</c:v>
                </c:pt>
                <c:pt idx="27">
                  <c:v>4.0000000000000022E-2</c:v>
                </c:pt>
                <c:pt idx="28">
                  <c:v>4.0000000000000022E-2</c:v>
                </c:pt>
                <c:pt idx="29">
                  <c:v>4.0000000000000022E-2</c:v>
                </c:pt>
                <c:pt idx="30">
                  <c:v>4.0000000000000022E-2</c:v>
                </c:pt>
                <c:pt idx="31">
                  <c:v>4.0000000000000022E-2</c:v>
                </c:pt>
                <c:pt idx="32">
                  <c:v>4.0000000000000022E-2</c:v>
                </c:pt>
                <c:pt idx="33">
                  <c:v>4.0000000000000022E-2</c:v>
                </c:pt>
                <c:pt idx="34">
                  <c:v>4.0000000000000022E-2</c:v>
                </c:pt>
                <c:pt idx="35">
                  <c:v>4.0000000000000022E-2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296394856"/>
        <c:axId val="296395248"/>
      </c:scatterChart>
      <c:valAx>
        <c:axId val="296394856"/>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latin typeface="Times New Roman" panose="02020603050405020304" pitchFamily="18" charset="0"/>
                    <a:cs typeface="Times New Roman" panose="02020603050405020304" pitchFamily="18" charset="0"/>
                  </a:rPr>
                  <a:t>azFS-IMT</a:t>
                </a:r>
                <a:r>
                  <a:rPr lang="en-US" sz="1200" b="1" i="0" baseline="0">
                    <a:effectLst/>
                    <a:latin typeface="Times New Roman" panose="02020603050405020304" pitchFamily="18" charset="0"/>
                    <a:cs typeface="Times New Roman" panose="02020603050405020304" pitchFamily="18" charset="0"/>
                  </a:rPr>
                  <a:t> (degreed)</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38451215489775009"/>
              <c:y val="0.92404154519521942"/>
            </c:manualLayout>
          </c:layout>
          <c:overlay val="0"/>
        </c:title>
        <c:numFmt formatCode="0.0" sourceLinked="1"/>
        <c:majorTickMark val="none"/>
        <c:minorTickMark val="none"/>
        <c:tickLblPos val="low"/>
        <c:crossAx val="296395248"/>
        <c:crosses val="autoZero"/>
        <c:crossBetween val="midCat"/>
        <c:majorUnit val="10"/>
        <c:minorUnit val="10"/>
      </c:valAx>
      <c:valAx>
        <c:axId val="296395248"/>
        <c:scaling>
          <c:logBase val="10"/>
          <c:orientation val="minMax"/>
          <c:max val="10"/>
          <c:min val="1.0000000000000005E-2"/>
        </c:scaling>
        <c:delete val="0"/>
        <c:axPos val="l"/>
        <c:majorGridlines/>
        <c:minorGridlines/>
        <c:title>
          <c:tx>
            <c:rich>
              <a:bodyPr rot="-5400000" vert="horz"/>
              <a:lstStyle/>
              <a:p>
                <a:pPr>
                  <a:defRPr/>
                </a:pPr>
                <a:r>
                  <a:rPr lang="en-US" sz="1200" b="1" i="1" baseline="0">
                    <a:effectLst/>
                    <a:latin typeface="Times New Roman" panose="02020603050405020304" pitchFamily="18" charset="0"/>
                    <a:cs typeface="Times New Roman" panose="02020603050405020304" pitchFamily="18" charset="0"/>
                  </a:rPr>
                  <a:t>d</a:t>
                </a:r>
                <a:r>
                  <a:rPr lang="en-US" sz="1200" b="1" i="1" baseline="-25000">
                    <a:effectLst/>
                    <a:latin typeface="Times New Roman" panose="02020603050405020304" pitchFamily="18" charset="0"/>
                    <a:cs typeface="Times New Roman" panose="02020603050405020304" pitchFamily="18" charset="0"/>
                  </a:rPr>
                  <a:t>FS-IMT</a:t>
                </a:r>
                <a:r>
                  <a:rPr lang="en-US" sz="1200" b="1" i="0" baseline="-25000">
                    <a:effectLst/>
                    <a:latin typeface="Times New Roman" panose="02020603050405020304" pitchFamily="18" charset="0"/>
                    <a:cs typeface="Times New Roman" panose="02020603050405020304" pitchFamily="18" charset="0"/>
                  </a:rPr>
                  <a:t> </a:t>
                </a:r>
                <a:r>
                  <a:rPr lang="en-US" sz="1200" b="1" i="0" baseline="0">
                    <a:effectLst/>
                    <a:latin typeface="Times New Roman" panose="02020603050405020304" pitchFamily="18" charset="0"/>
                    <a:cs typeface="Times New Roman" panose="02020603050405020304" pitchFamily="18" charset="0"/>
                  </a:rPr>
                  <a:t>(km)</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1.8256909062837738E-3"/>
              <c:y val="0.39205165078324578"/>
            </c:manualLayout>
          </c:layout>
          <c:overlay val="0"/>
        </c:title>
        <c:numFmt formatCode="General" sourceLinked="1"/>
        <c:majorTickMark val="none"/>
        <c:minorTickMark val="none"/>
        <c:tickLblPos val="low"/>
        <c:crossAx val="296394856"/>
        <c:crosses val="autoZero"/>
        <c:crossBetween val="midCat"/>
        <c:majorUnit val="1"/>
        <c:minorUnit val="0.1"/>
      </c:valAx>
    </c:plotArea>
    <c:legend>
      <c:legendPos val="l"/>
      <c:layout>
        <c:manualLayout>
          <c:xMode val="edge"/>
          <c:yMode val="edge"/>
          <c:x val="0.54989516661294535"/>
          <c:y val="0.17904111986001786"/>
          <c:w val="0.3589802151924002"/>
          <c:h val="0.14961437512618644"/>
        </c:manualLayout>
      </c:layout>
      <c:overlay val="1"/>
      <c:spPr>
        <a:solidFill>
          <a:schemeClr val="bg1"/>
        </a:solidFill>
      </c:spPr>
      <c:txPr>
        <a:bodyPr/>
        <a:lstStyle/>
        <a:p>
          <a:pPr>
            <a:defRPr sz="700"/>
          </a:pPr>
          <a:endParaRPr lang="en-US"/>
        </a:p>
      </c:txPr>
    </c:legend>
    <c:plotVisOnly val="1"/>
    <c:dispBlanksAs val="gap"/>
    <c:showDLblsOverMax val="0"/>
  </c:chart>
  <c:spPr>
    <a:ln w="15875">
      <a:solidFill>
        <a:schemeClr val="tx1"/>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700"/>
            </a:pPr>
            <a:r>
              <a:rPr lang="fr-FR" sz="700" b="1" i="0" baseline="0">
                <a:effectLst/>
                <a:latin typeface="Times New Roman" panose="02020603050405020304" pitchFamily="18" charset="0"/>
                <a:cs typeface="Times New Roman" panose="02020603050405020304" pitchFamily="18" charset="0"/>
              </a:rPr>
              <a:t>(</a:t>
            </a:r>
            <a:r>
              <a:rPr lang="fr-FR" sz="700" b="1" i="1" baseline="0">
                <a:effectLst/>
                <a:latin typeface="Times New Roman" panose="02020603050405020304" pitchFamily="18" charset="0"/>
                <a:cs typeface="Times New Roman" panose="02020603050405020304" pitchFamily="18" charset="0"/>
              </a:rPr>
              <a:t>C</a:t>
            </a:r>
            <a:r>
              <a:rPr lang="fr-FR" sz="700" b="1" i="0" baseline="0">
                <a:effectLst/>
                <a:latin typeface="Times New Roman" panose="02020603050405020304" pitchFamily="18" charset="0"/>
                <a:cs typeface="Times New Roman" panose="02020603050405020304" pitchFamily="18" charset="0"/>
              </a:rPr>
              <a:t>/</a:t>
            </a:r>
            <a:r>
              <a:rPr lang="fr-FR" sz="700" b="1" i="1" baseline="0">
                <a:effectLst/>
                <a:latin typeface="Times New Roman" panose="02020603050405020304" pitchFamily="18" charset="0"/>
                <a:cs typeface="Times New Roman" panose="02020603050405020304" pitchFamily="18" charset="0"/>
              </a:rPr>
              <a:t>I</a:t>
            </a:r>
            <a:r>
              <a:rPr lang="fr-FR" sz="700" b="1" i="0" baseline="0">
                <a:effectLst/>
                <a:latin typeface="Times New Roman" panose="02020603050405020304" pitchFamily="18" charset="0"/>
                <a:cs typeface="Times New Roman" panose="02020603050405020304" pitchFamily="18" charset="0"/>
              </a:rPr>
              <a:t>) </a:t>
            </a:r>
            <a:r>
              <a:rPr lang="en-GB" sz="700" b="1" i="1" baseline="-25000">
                <a:effectLst/>
                <a:latin typeface="Times New Roman" panose="02020603050405020304" pitchFamily="18" charset="0"/>
                <a:cs typeface="Times New Roman" panose="02020603050405020304" pitchFamily="18" charset="0"/>
              </a:rPr>
              <a:t>required</a:t>
            </a:r>
            <a:r>
              <a:rPr lang="fr-FR" sz="700" b="1" i="0" baseline="0">
                <a:effectLst/>
                <a:latin typeface="Times New Roman" panose="02020603050405020304" pitchFamily="18" charset="0"/>
                <a:cs typeface="Times New Roman" panose="02020603050405020304" pitchFamily="18" charset="0"/>
              </a:rPr>
              <a:t>  = 55 dB; </a:t>
            </a:r>
            <a:endParaRPr lang="ru-RU" sz="700">
              <a:effectLst/>
              <a:latin typeface="Times New Roman" panose="02020603050405020304" pitchFamily="18" charset="0"/>
              <a:cs typeface="Times New Roman" panose="02020603050405020304" pitchFamily="18" charset="0"/>
            </a:endParaRPr>
          </a:p>
          <a:p>
            <a:pPr algn="l">
              <a:defRPr sz="700"/>
            </a:pPr>
            <a:r>
              <a:rPr lang="fr-FR" sz="700" b="1" i="0" baseline="0">
                <a:effectLst/>
                <a:latin typeface="Times New Roman" panose="02020603050405020304" pitchFamily="18" charset="0"/>
                <a:cs typeface="Times New Roman" panose="02020603050405020304" pitchFamily="18" charset="0"/>
              </a:rPr>
              <a:t>Channel Separation 40  MHz;     </a:t>
            </a:r>
            <a:endParaRPr lang="ru-RU" sz="700">
              <a:effectLst/>
              <a:latin typeface="Times New Roman" panose="02020603050405020304" pitchFamily="18" charset="0"/>
              <a:cs typeface="Times New Roman" panose="02020603050405020304" pitchFamily="18" charset="0"/>
            </a:endParaRPr>
          </a:p>
          <a:p>
            <a:pPr algn="l">
              <a:defRPr sz="700"/>
            </a:pPr>
            <a:r>
              <a:rPr lang="en-GB" sz="700" b="1" i="0" baseline="0">
                <a:effectLst/>
                <a:latin typeface="Times New Roman" panose="02020603050405020304" pitchFamily="18" charset="0"/>
                <a:cs typeface="Times New Roman" panose="02020603050405020304" pitchFamily="18" charset="0"/>
              </a:rPr>
              <a:t>First adjacent channel</a:t>
            </a:r>
            <a:r>
              <a:rPr lang="ru-RU" sz="700" b="1" i="0" baseline="0">
                <a:effectLst/>
                <a:latin typeface="Times New Roman" panose="02020603050405020304" pitchFamily="18" charset="0"/>
                <a:cs typeface="Times New Roman" panose="02020603050405020304" pitchFamily="18" charset="0"/>
              </a:rPr>
              <a:t> </a:t>
            </a:r>
            <a:r>
              <a:rPr lang="en-GB" sz="700" b="1" i="0" baseline="0">
                <a:effectLst/>
                <a:latin typeface="Times New Roman" panose="02020603050405020304" pitchFamily="18" charset="0"/>
                <a:cs typeface="Times New Roman" panose="02020603050405020304" pitchFamily="18" charset="0"/>
              </a:rPr>
              <a:t> (</a:t>
            </a:r>
            <a:r>
              <a:rPr lang="en-US" sz="700" b="1" i="1" baseline="0">
                <a:effectLst/>
                <a:latin typeface="Times New Roman" panose="02020603050405020304" pitchFamily="18" charset="0"/>
                <a:cs typeface="Times New Roman" panose="02020603050405020304" pitchFamily="18" charset="0"/>
              </a:rPr>
              <a:t>MD</a:t>
            </a:r>
            <a:r>
              <a:rPr lang="en-US" sz="700" b="1" i="0" baseline="0">
                <a:effectLst/>
                <a:latin typeface="Times New Roman" panose="02020603050405020304" pitchFamily="18" charset="0"/>
                <a:cs typeface="Times New Roman" panose="02020603050405020304" pitchFamily="18" charset="0"/>
              </a:rPr>
              <a:t> + </a:t>
            </a:r>
            <a:r>
              <a:rPr lang="en-US" sz="700" b="1" i="1" baseline="0">
                <a:effectLst/>
                <a:latin typeface="Times New Roman" panose="02020603050405020304" pitchFamily="18" charset="0"/>
                <a:cs typeface="Times New Roman" panose="02020603050405020304" pitchFamily="18" charset="0"/>
              </a:rPr>
              <a:t>NFD</a:t>
            </a:r>
            <a:r>
              <a:rPr lang="en-US" sz="700" b="1" i="0" baseline="0">
                <a:effectLst/>
                <a:latin typeface="Times New Roman" panose="02020603050405020304" pitchFamily="18" charset="0"/>
                <a:cs typeface="Times New Roman" panose="02020603050405020304" pitchFamily="18" charset="0"/>
              </a:rPr>
              <a:t>(</a:t>
            </a:r>
            <a:r>
              <a:rPr lang="en-US" sz="700" b="1" i="0" u="none" strike="noStrike" baseline="0">
                <a:effectLst/>
              </a:rPr>
              <a:t>∆</a:t>
            </a:r>
            <a:r>
              <a:rPr lang="en-US" sz="700" b="1" i="1" baseline="0">
                <a:effectLst/>
                <a:latin typeface="Times New Roman" panose="02020603050405020304" pitchFamily="18" charset="0"/>
                <a:cs typeface="Times New Roman" panose="02020603050405020304" pitchFamily="18" charset="0"/>
              </a:rPr>
              <a:t>f</a:t>
            </a:r>
            <a:r>
              <a:rPr lang="en-US" sz="700" b="1" i="0" baseline="0">
                <a:effectLst/>
                <a:latin typeface="Times New Roman" panose="02020603050405020304" pitchFamily="18" charset="0"/>
                <a:cs typeface="Times New Roman" panose="02020603050405020304" pitchFamily="18" charset="0"/>
              </a:rPr>
              <a:t>) = </a:t>
            </a:r>
            <a:r>
              <a:rPr lang="ru-RU" sz="700" b="1" i="0" baseline="0">
                <a:effectLst/>
                <a:latin typeface="Times New Roman" panose="02020603050405020304" pitchFamily="18" charset="0"/>
                <a:cs typeface="Times New Roman" panose="02020603050405020304" pitchFamily="18" charset="0"/>
              </a:rPr>
              <a:t>45</a:t>
            </a:r>
            <a:r>
              <a:rPr lang="en-US" sz="700" b="1" i="0" baseline="0">
                <a:effectLst/>
                <a:latin typeface="Times New Roman" panose="02020603050405020304" pitchFamily="18" charset="0"/>
                <a:cs typeface="Times New Roman" panose="02020603050405020304" pitchFamily="18" charset="0"/>
              </a:rPr>
              <a:t> dB);</a:t>
            </a:r>
            <a:endParaRPr lang="ru-RU" sz="700">
              <a:effectLst/>
              <a:latin typeface="Times New Roman" panose="02020603050405020304" pitchFamily="18" charset="0"/>
              <a:cs typeface="Times New Roman" panose="02020603050405020304" pitchFamily="18" charset="0"/>
            </a:endParaRPr>
          </a:p>
          <a:p>
            <a:pPr algn="l">
              <a:defRPr sz="700"/>
            </a:pPr>
            <a:r>
              <a:rPr lang="ru-RU" sz="700" b="1" i="1" baseline="0">
                <a:effectLst/>
                <a:latin typeface="Times New Roman" panose="02020603050405020304" pitchFamily="18" charset="0"/>
                <a:cs typeface="Times New Roman" panose="02020603050405020304" pitchFamily="18" charset="0"/>
              </a:rPr>
              <a:t> </a:t>
            </a:r>
            <a:r>
              <a:rPr lang="en-GB" sz="700" b="1" i="1" baseline="0">
                <a:effectLst/>
                <a:latin typeface="Times New Roman" panose="02020603050405020304" pitchFamily="18" charset="0"/>
                <a:cs typeface="Times New Roman" panose="02020603050405020304" pitchFamily="18" charset="0"/>
              </a:rPr>
              <a:t>a</a:t>
            </a:r>
            <a:r>
              <a:rPr lang="en-GB" sz="700" b="1" i="1" baseline="-25000">
                <a:effectLst/>
                <a:latin typeface="Times New Roman" panose="02020603050405020304" pitchFamily="18" charset="0"/>
                <a:cs typeface="Times New Roman" panose="02020603050405020304" pitchFamily="18" charset="0"/>
              </a:rPr>
              <a:t>indoor</a:t>
            </a:r>
            <a:r>
              <a:rPr lang="en-GB" sz="700" b="1" i="1" baseline="0">
                <a:effectLst/>
                <a:latin typeface="Times New Roman" panose="02020603050405020304" pitchFamily="18" charset="0"/>
                <a:cs typeface="Times New Roman" panose="02020603050405020304" pitchFamily="18" charset="0"/>
              </a:rPr>
              <a:t> </a:t>
            </a:r>
            <a:r>
              <a:rPr lang="en-GB" sz="700" b="1" i="0" baseline="0">
                <a:effectLst/>
                <a:latin typeface="Times New Roman" panose="02020603050405020304" pitchFamily="18" charset="0"/>
                <a:cs typeface="Times New Roman" panose="02020603050405020304" pitchFamily="18" charset="0"/>
              </a:rPr>
              <a:t>= 25 dB;   </a:t>
            </a:r>
            <a:r>
              <a:rPr lang="en-GB" sz="700" b="1" i="1" baseline="0">
                <a:effectLst/>
                <a:latin typeface="Times New Roman" panose="02020603050405020304" pitchFamily="18" charset="0"/>
                <a:cs typeface="Times New Roman" panose="02020603050405020304" pitchFamily="18" charset="0"/>
              </a:rPr>
              <a:t>A</a:t>
            </a:r>
            <a:r>
              <a:rPr lang="en-GB" sz="700" b="1" i="1" baseline="-25000">
                <a:effectLst/>
                <a:latin typeface="Times New Roman" panose="02020603050405020304" pitchFamily="18" charset="0"/>
                <a:cs typeface="Times New Roman" panose="02020603050405020304" pitchFamily="18" charset="0"/>
              </a:rPr>
              <a:t>hTx</a:t>
            </a:r>
            <a:r>
              <a:rPr lang="en-GB" sz="700" b="1" i="0" baseline="0">
                <a:effectLst/>
                <a:latin typeface="Times New Roman" panose="02020603050405020304" pitchFamily="18" charset="0"/>
                <a:cs typeface="Times New Roman" panose="02020603050405020304" pitchFamily="18" charset="0"/>
              </a:rPr>
              <a:t> = 1</a:t>
            </a:r>
            <a:r>
              <a:rPr lang="ru-RU" sz="700" b="1" i="0" baseline="0">
                <a:effectLst/>
                <a:latin typeface="Times New Roman" panose="02020603050405020304" pitchFamily="18" charset="0"/>
                <a:cs typeface="Times New Roman" panose="02020603050405020304" pitchFamily="18" charset="0"/>
              </a:rPr>
              <a:t>9</a:t>
            </a:r>
            <a:r>
              <a:rPr lang="en-GB" sz="700" b="1" i="0" baseline="0">
                <a:effectLst/>
                <a:latin typeface="Times New Roman" panose="02020603050405020304" pitchFamily="18" charset="0"/>
                <a:cs typeface="Times New Roman" panose="02020603050405020304" pitchFamily="18" charset="0"/>
              </a:rPr>
              <a:t> dB </a:t>
            </a:r>
            <a:endParaRPr lang="ru-RU" sz="700">
              <a:effectLst/>
              <a:latin typeface="Times New Roman" panose="02020603050405020304" pitchFamily="18" charset="0"/>
              <a:cs typeface="Times New Roman" panose="02020603050405020304" pitchFamily="18" charset="0"/>
            </a:endParaRPr>
          </a:p>
        </c:rich>
      </c:tx>
      <c:layout>
        <c:manualLayout>
          <c:xMode val="edge"/>
          <c:yMode val="edge"/>
          <c:x val="0.13715612587196657"/>
          <c:y val="1.907668828691339E-2"/>
        </c:manualLayout>
      </c:layout>
      <c:overlay val="0"/>
    </c:title>
    <c:autoTitleDeleted val="0"/>
    <c:plotArea>
      <c:layout>
        <c:manualLayout>
          <c:layoutTarget val="inner"/>
          <c:xMode val="edge"/>
          <c:yMode val="edge"/>
          <c:x val="0.11226341852899453"/>
          <c:y val="0.16697203714920286"/>
          <c:w val="0.84134767134690691"/>
          <c:h val="0.66828588734100713"/>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70C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4.0000000000000022E-2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297108088"/>
        <c:axId val="297108480"/>
      </c:scatterChart>
      <c:valAx>
        <c:axId val="297108088"/>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latin typeface="Times New Roman" panose="02020603050405020304" pitchFamily="18" charset="0"/>
                    <a:cs typeface="Times New Roman" panose="02020603050405020304" pitchFamily="18" charset="0"/>
                  </a:rPr>
                  <a:t>azFS-IMT</a:t>
                </a:r>
                <a:r>
                  <a:rPr lang="en-US" sz="1200" b="1" i="0" baseline="0">
                    <a:effectLst/>
                    <a:latin typeface="Times New Roman" panose="02020603050405020304" pitchFamily="18" charset="0"/>
                    <a:cs typeface="Times New Roman" panose="02020603050405020304" pitchFamily="18" charset="0"/>
                  </a:rPr>
                  <a:t> (degree)</a:t>
                </a:r>
                <a:endParaRPr lang="ru-RU" sz="1200">
                  <a:effectLst/>
                  <a:latin typeface="Times New Roman" panose="02020603050405020304" pitchFamily="18" charset="0"/>
                  <a:cs typeface="Times New Roman" panose="02020603050405020304" pitchFamily="18" charset="0"/>
                </a:endParaRPr>
              </a:p>
            </c:rich>
          </c:tx>
          <c:layout/>
          <c:overlay val="0"/>
        </c:title>
        <c:numFmt formatCode="General" sourceLinked="1"/>
        <c:majorTickMark val="none"/>
        <c:minorTickMark val="none"/>
        <c:tickLblPos val="low"/>
        <c:crossAx val="297108480"/>
        <c:crosses val="autoZero"/>
        <c:crossBetween val="midCat"/>
        <c:majorUnit val="10"/>
      </c:valAx>
      <c:valAx>
        <c:axId val="297108480"/>
        <c:scaling>
          <c:logBase val="10"/>
          <c:orientation val="minMax"/>
          <c:max val="0.5"/>
          <c:min val="1.0000000000000005E-2"/>
        </c:scaling>
        <c:delete val="0"/>
        <c:axPos val="l"/>
        <c:majorGridlines/>
        <c:minorGridlines/>
        <c:title>
          <c:tx>
            <c:rich>
              <a:bodyPr rot="-5400000" vert="horz"/>
              <a:lstStyle/>
              <a:p>
                <a:pPr>
                  <a:defRPr/>
                </a:pPr>
                <a:r>
                  <a:rPr lang="en-US" sz="1200" b="1" i="1" baseline="0">
                    <a:effectLst/>
                    <a:latin typeface="Times New Roman" panose="02020603050405020304" pitchFamily="18" charset="0"/>
                    <a:cs typeface="Times New Roman" panose="02020603050405020304" pitchFamily="18" charset="0"/>
                  </a:rPr>
                  <a:t>d</a:t>
                </a:r>
                <a:r>
                  <a:rPr lang="en-US" sz="1200" b="1" i="1" baseline="-25000">
                    <a:effectLst/>
                    <a:latin typeface="Times New Roman" panose="02020603050405020304" pitchFamily="18" charset="0"/>
                    <a:cs typeface="Times New Roman" panose="02020603050405020304" pitchFamily="18" charset="0"/>
                  </a:rPr>
                  <a:t>FS-IMT</a:t>
                </a:r>
                <a:r>
                  <a:rPr lang="en-US" sz="1200" b="1" i="0" baseline="-25000">
                    <a:effectLst/>
                    <a:latin typeface="Times New Roman" panose="02020603050405020304" pitchFamily="18" charset="0"/>
                    <a:cs typeface="Times New Roman" panose="02020603050405020304" pitchFamily="18" charset="0"/>
                  </a:rPr>
                  <a:t>  </a:t>
                </a:r>
                <a:r>
                  <a:rPr lang="en-US" sz="1200" b="1" i="0" baseline="0">
                    <a:effectLst/>
                    <a:latin typeface="Times New Roman" panose="02020603050405020304" pitchFamily="18" charset="0"/>
                    <a:cs typeface="Times New Roman" panose="02020603050405020304" pitchFamily="18" charset="0"/>
                  </a:rPr>
                  <a:t>(km)</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1.1719089926593401E-2"/>
              <c:y val="0.35623477244665286"/>
            </c:manualLayout>
          </c:layout>
          <c:overlay val="0"/>
        </c:title>
        <c:numFmt formatCode="General" sourceLinked="1"/>
        <c:majorTickMark val="none"/>
        <c:minorTickMark val="none"/>
        <c:tickLblPos val="low"/>
        <c:crossAx val="297108088"/>
        <c:crosses val="autoZero"/>
        <c:crossBetween val="midCat"/>
        <c:majorUnit val="1.0000000000000005E-2"/>
      </c:valAx>
    </c:plotArea>
    <c:legend>
      <c:legendPos val="l"/>
      <c:layout>
        <c:manualLayout>
          <c:xMode val="edge"/>
          <c:yMode val="edge"/>
          <c:x val="0.56024445973379677"/>
          <c:y val="0.33148092065415052"/>
          <c:w val="0.27972886884285258"/>
          <c:h val="0.14106753482737794"/>
        </c:manualLayout>
      </c:layout>
      <c:overlay val="1"/>
      <c:spPr>
        <a:solidFill>
          <a:schemeClr val="bg1"/>
        </a:solidFill>
      </c:spPr>
      <c:txPr>
        <a:bodyPr/>
        <a:lstStyle/>
        <a:p>
          <a:pPr>
            <a:defRPr sz="700"/>
          </a:pPr>
          <a:endParaRPr lang="en-US"/>
        </a:p>
      </c:txPr>
    </c:legend>
    <c:plotVisOnly val="1"/>
    <c:dispBlanksAs val="gap"/>
    <c:showDLblsOverMax val="0"/>
  </c:chart>
  <c:spPr>
    <a:ln w="15875">
      <a:solidFill>
        <a:schemeClr val="tx1"/>
      </a:solid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fr-FR" sz="700" b="1" i="1" baseline="0">
                <a:effectLst/>
              </a:rPr>
              <a:t>C</a:t>
            </a:r>
            <a:r>
              <a:rPr lang="fr-FR" sz="700" b="1" i="0" baseline="0">
                <a:effectLst/>
              </a:rPr>
              <a:t>/</a:t>
            </a:r>
            <a:r>
              <a:rPr lang="fr-FR" sz="700" b="1" i="1" baseline="0">
                <a:effectLst/>
              </a:rPr>
              <a:t>I</a:t>
            </a:r>
            <a:r>
              <a:rPr lang="fr-FR" sz="700" b="1" i="0" baseline="0">
                <a:effectLst/>
              </a:rPr>
              <a:t>) </a:t>
            </a:r>
            <a:r>
              <a:rPr lang="en-GB" sz="700" b="1" i="1" baseline="-25000">
                <a:effectLst/>
              </a:rPr>
              <a:t>required</a:t>
            </a:r>
            <a:r>
              <a:rPr lang="fr-FR" sz="700" b="1" i="0" baseline="0">
                <a:effectLst/>
              </a:rPr>
              <a:t>  = 55 dB; </a:t>
            </a:r>
            <a:endParaRPr lang="ru-RU" sz="700">
              <a:effectLst/>
            </a:endParaRPr>
          </a:p>
          <a:p>
            <a:pPr algn="l">
              <a:defRPr sz="700"/>
            </a:pPr>
            <a:r>
              <a:rPr lang="fr-FR" sz="700" b="1" i="0" baseline="0">
                <a:effectLst/>
              </a:rPr>
              <a:t>Channel Separation 29.65 MHz;     </a:t>
            </a:r>
            <a:endParaRPr lang="ru-RU" sz="700">
              <a:effectLst/>
            </a:endParaRPr>
          </a:p>
          <a:p>
            <a:pPr algn="l">
              <a:defRPr sz="700"/>
            </a:pPr>
            <a:r>
              <a:rPr lang="en-GB" sz="700" b="1" i="0" baseline="0">
                <a:effectLst/>
              </a:rPr>
              <a:t>Co‑channel (</a:t>
            </a:r>
            <a:r>
              <a:rPr lang="en-US" sz="700" b="1" i="1" baseline="0">
                <a:effectLst/>
              </a:rPr>
              <a:t>MD </a:t>
            </a:r>
            <a:r>
              <a:rPr lang="en-US" sz="700" b="1" i="0" baseline="0">
                <a:effectLst/>
              </a:rPr>
              <a:t>+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0 dB); </a:t>
            </a:r>
            <a:r>
              <a:rPr lang="ru-RU" sz="700" b="1" i="0" baseline="0">
                <a:effectLst/>
              </a:rPr>
              <a:t> </a:t>
            </a:r>
            <a:endParaRPr lang="ru-RU" sz="700">
              <a:effectLst/>
            </a:endParaRPr>
          </a:p>
          <a:p>
            <a:pPr algn="l">
              <a:defRPr sz="700"/>
            </a:pPr>
            <a:r>
              <a:rPr lang="ru-RU" sz="700" b="1" i="0" baseline="0">
                <a:effectLst/>
              </a:rPr>
              <a:t> </a:t>
            </a:r>
            <a:r>
              <a:rPr lang="en-GB" sz="700" b="1" i="1" baseline="0">
                <a:effectLst/>
              </a:rPr>
              <a:t>a</a:t>
            </a:r>
            <a:r>
              <a:rPr lang="en-GB" sz="700" b="1" i="1" baseline="-25000">
                <a:effectLst/>
              </a:rPr>
              <a:t>indoor</a:t>
            </a:r>
            <a:r>
              <a:rPr lang="en-GB" sz="700" b="1" i="0" baseline="0">
                <a:effectLst/>
              </a:rPr>
              <a:t> = 25 dB;  </a:t>
            </a:r>
            <a:r>
              <a:rPr lang="en-GB" sz="700" b="1" i="1" baseline="0">
                <a:effectLst/>
              </a:rPr>
              <a:t>A</a:t>
            </a:r>
            <a:r>
              <a:rPr lang="en-GB" sz="700" b="1" i="1" baseline="-25000">
                <a:effectLst/>
              </a:rPr>
              <a:t>hTx</a:t>
            </a:r>
            <a:r>
              <a:rPr lang="en-GB" sz="700" b="1" i="0" baseline="0">
                <a:effectLst/>
              </a:rPr>
              <a:t> = 0 dB </a:t>
            </a:r>
            <a:endParaRPr lang="ru-RU" sz="700">
              <a:effectLst/>
            </a:endParaRPr>
          </a:p>
        </c:rich>
      </c:tx>
      <c:layout>
        <c:manualLayout>
          <c:xMode val="edge"/>
          <c:yMode val="edge"/>
          <c:x val="0.10515460396217616"/>
          <c:y val="1.6625198272980153E-2"/>
        </c:manualLayout>
      </c:layout>
      <c:overlay val="0"/>
    </c:title>
    <c:autoTitleDeleted val="0"/>
    <c:plotArea>
      <c:layout>
        <c:manualLayout>
          <c:layoutTarget val="inner"/>
          <c:xMode val="edge"/>
          <c:yMode val="edge"/>
          <c:x val="9.9823823391939431E-2"/>
          <c:y val="0.1648312710911137"/>
          <c:w val="0.86024556861899293"/>
          <c:h val="0.66462285964254686"/>
        </c:manualLayout>
      </c:layout>
      <c:scatterChart>
        <c:scatterStyle val="lineMarker"/>
        <c:varyColors val="0"/>
        <c:ser>
          <c:idx val="0"/>
          <c:order val="0"/>
          <c:tx>
            <c:strRef>
              <c:f>Лист1!$B$1</c:f>
              <c:strCache>
                <c:ptCount val="1"/>
                <c:pt idx="0">
                  <c:v>Link Length 10 km</c:v>
                </c:pt>
              </c:strCache>
            </c:strRef>
          </c:tx>
          <c:spPr>
            <a:ln>
              <a:solidFill>
                <a:srgbClr val="00B05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1.48</c:v>
                </c:pt>
                <c:pt idx="1">
                  <c:v>0.32000000000000073</c:v>
                </c:pt>
                <c:pt idx="2">
                  <c:v>0.12000000000000002</c:v>
                </c:pt>
                <c:pt idx="3">
                  <c:v>8.0000000000000043E-2</c:v>
                </c:pt>
                <c:pt idx="4">
                  <c:v>4.0000000000000022E-2</c:v>
                </c:pt>
                <c:pt idx="5">
                  <c:v>4.0000000000000022E-2</c:v>
                </c:pt>
                <c:pt idx="6">
                  <c:v>4.0000000000000022E-2</c:v>
                </c:pt>
                <c:pt idx="7">
                  <c:v>4.0000000000000022E-2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4.5199999999999996</c:v>
                </c:pt>
                <c:pt idx="1">
                  <c:v>0.94000000000000061</c:v>
                </c:pt>
                <c:pt idx="2">
                  <c:v>0.32000000000000073</c:v>
                </c:pt>
                <c:pt idx="3">
                  <c:v>0.2</c:v>
                </c:pt>
                <c:pt idx="4">
                  <c:v>0.14000000000000001</c:v>
                </c:pt>
                <c:pt idx="5">
                  <c:v>8.0000000000000043E-2</c:v>
                </c:pt>
                <c:pt idx="6">
                  <c:v>8.0000000000000043E-2</c:v>
                </c:pt>
                <c:pt idx="7">
                  <c:v>8.0000000000000043E-2</c:v>
                </c:pt>
                <c:pt idx="8">
                  <c:v>4.0000000000000022E-2</c:v>
                </c:pt>
                <c:pt idx="9">
                  <c:v>4.0000000000000022E-2</c:v>
                </c:pt>
                <c:pt idx="10">
                  <c:v>4.0000000000000022E-2</c:v>
                </c:pt>
                <c:pt idx="11">
                  <c:v>4.0000000000000022E-2</c:v>
                </c:pt>
                <c:pt idx="12">
                  <c:v>4.0000000000000022E-2</c:v>
                </c:pt>
                <c:pt idx="13">
                  <c:v>4.0000000000000022E-2</c:v>
                </c:pt>
                <c:pt idx="14">
                  <c:v>4.0000000000000022E-2</c:v>
                </c:pt>
                <c:pt idx="15">
                  <c:v>4.0000000000000022E-2</c:v>
                </c:pt>
                <c:pt idx="16">
                  <c:v>4.0000000000000022E-2</c:v>
                </c:pt>
                <c:pt idx="17">
                  <c:v>4.0000000000000022E-2</c:v>
                </c:pt>
                <c:pt idx="18">
                  <c:v>4.0000000000000022E-2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7.64</c:v>
                </c:pt>
                <c:pt idx="1">
                  <c:v>1.58</c:v>
                </c:pt>
                <c:pt idx="2">
                  <c:v>0.54</c:v>
                </c:pt>
                <c:pt idx="3">
                  <c:v>0.32000000000000073</c:v>
                </c:pt>
                <c:pt idx="4">
                  <c:v>0.22</c:v>
                </c:pt>
                <c:pt idx="5">
                  <c:v>0.18000000000000024</c:v>
                </c:pt>
                <c:pt idx="6">
                  <c:v>0.14000000000000001</c:v>
                </c:pt>
                <c:pt idx="7">
                  <c:v>0.12000000000000002</c:v>
                </c:pt>
                <c:pt idx="8">
                  <c:v>8.0000000000000043E-2</c:v>
                </c:pt>
                <c:pt idx="9">
                  <c:v>8.0000000000000043E-2</c:v>
                </c:pt>
                <c:pt idx="10">
                  <c:v>8.0000000000000043E-2</c:v>
                </c:pt>
                <c:pt idx="11">
                  <c:v>8.0000000000000043E-2</c:v>
                </c:pt>
                <c:pt idx="12">
                  <c:v>4.0000000000000022E-2</c:v>
                </c:pt>
                <c:pt idx="13">
                  <c:v>4.0000000000000022E-2</c:v>
                </c:pt>
                <c:pt idx="14">
                  <c:v>4.0000000000000022E-2</c:v>
                </c:pt>
                <c:pt idx="15">
                  <c:v>4.0000000000000022E-2</c:v>
                </c:pt>
                <c:pt idx="16">
                  <c:v>4.0000000000000022E-2</c:v>
                </c:pt>
                <c:pt idx="17">
                  <c:v>4.0000000000000022E-2</c:v>
                </c:pt>
                <c:pt idx="18">
                  <c:v>4.0000000000000022E-2</c:v>
                </c:pt>
                <c:pt idx="19">
                  <c:v>4.0000000000000022E-2</c:v>
                </c:pt>
                <c:pt idx="20">
                  <c:v>4.0000000000000022E-2</c:v>
                </c:pt>
                <c:pt idx="21">
                  <c:v>4.0000000000000022E-2</c:v>
                </c:pt>
                <c:pt idx="22">
                  <c:v>4.0000000000000022E-2</c:v>
                </c:pt>
                <c:pt idx="23">
                  <c:v>4.0000000000000022E-2</c:v>
                </c:pt>
                <c:pt idx="24">
                  <c:v>4.0000000000000022E-2</c:v>
                </c:pt>
                <c:pt idx="25">
                  <c:v>4.0000000000000022E-2</c:v>
                </c:pt>
                <c:pt idx="26">
                  <c:v>4.0000000000000022E-2</c:v>
                </c:pt>
                <c:pt idx="27">
                  <c:v>4.0000000000000022E-2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10.82</c:v>
                </c:pt>
                <c:pt idx="1">
                  <c:v>2.2200000000000002</c:v>
                </c:pt>
                <c:pt idx="2">
                  <c:v>0.74000000000000132</c:v>
                </c:pt>
                <c:pt idx="3">
                  <c:v>0.46</c:v>
                </c:pt>
                <c:pt idx="4">
                  <c:v>0.32000000000000073</c:v>
                </c:pt>
                <c:pt idx="5">
                  <c:v>0.24000000000000021</c:v>
                </c:pt>
                <c:pt idx="6">
                  <c:v>0.2</c:v>
                </c:pt>
                <c:pt idx="7">
                  <c:v>0.16</c:v>
                </c:pt>
                <c:pt idx="8">
                  <c:v>0.14000000000000001</c:v>
                </c:pt>
                <c:pt idx="9">
                  <c:v>0.12000000000000002</c:v>
                </c:pt>
                <c:pt idx="10">
                  <c:v>8.0000000000000043E-2</c:v>
                </c:pt>
                <c:pt idx="11">
                  <c:v>8.0000000000000043E-2</c:v>
                </c:pt>
                <c:pt idx="12">
                  <c:v>8.0000000000000043E-2</c:v>
                </c:pt>
                <c:pt idx="13">
                  <c:v>8.0000000000000043E-2</c:v>
                </c:pt>
                <c:pt idx="14">
                  <c:v>8.0000000000000043E-2</c:v>
                </c:pt>
                <c:pt idx="15">
                  <c:v>4.0000000000000022E-2</c:v>
                </c:pt>
                <c:pt idx="16">
                  <c:v>4.0000000000000022E-2</c:v>
                </c:pt>
                <c:pt idx="17">
                  <c:v>4.0000000000000022E-2</c:v>
                </c:pt>
                <c:pt idx="18">
                  <c:v>4.0000000000000022E-2</c:v>
                </c:pt>
                <c:pt idx="19">
                  <c:v>4.0000000000000022E-2</c:v>
                </c:pt>
                <c:pt idx="20">
                  <c:v>4.0000000000000022E-2</c:v>
                </c:pt>
                <c:pt idx="21">
                  <c:v>4.0000000000000022E-2</c:v>
                </c:pt>
                <c:pt idx="22">
                  <c:v>4.0000000000000022E-2</c:v>
                </c:pt>
                <c:pt idx="23">
                  <c:v>4.0000000000000022E-2</c:v>
                </c:pt>
                <c:pt idx="24">
                  <c:v>4.0000000000000022E-2</c:v>
                </c:pt>
                <c:pt idx="25">
                  <c:v>4.0000000000000022E-2</c:v>
                </c:pt>
                <c:pt idx="26">
                  <c:v>4.0000000000000022E-2</c:v>
                </c:pt>
                <c:pt idx="27">
                  <c:v>4.0000000000000022E-2</c:v>
                </c:pt>
                <c:pt idx="28">
                  <c:v>4.0000000000000022E-2</c:v>
                </c:pt>
                <c:pt idx="29">
                  <c:v>4.0000000000000022E-2</c:v>
                </c:pt>
                <c:pt idx="30">
                  <c:v>4.0000000000000022E-2</c:v>
                </c:pt>
                <c:pt idx="31">
                  <c:v>4.0000000000000022E-2</c:v>
                </c:pt>
                <c:pt idx="32">
                  <c:v>4.0000000000000022E-2</c:v>
                </c:pt>
                <c:pt idx="33">
                  <c:v>4.0000000000000022E-2</c:v>
                </c:pt>
                <c:pt idx="34">
                  <c:v>4.0000000000000022E-2</c:v>
                </c:pt>
                <c:pt idx="35">
                  <c:v>4.0000000000000022E-2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297108872"/>
        <c:axId val="297109264"/>
      </c:scatterChart>
      <c:valAx>
        <c:axId val="297108872"/>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manualLayout>
              <c:xMode val="edge"/>
              <c:yMode val="edge"/>
              <c:x val="0.43168176751878695"/>
              <c:y val="0.89113478462251039"/>
            </c:manualLayout>
          </c:layout>
          <c:overlay val="0"/>
        </c:title>
        <c:numFmt formatCode="General" sourceLinked="1"/>
        <c:majorTickMark val="none"/>
        <c:minorTickMark val="none"/>
        <c:tickLblPos val="low"/>
        <c:crossAx val="297109264"/>
        <c:crosses val="autoZero"/>
        <c:crossBetween val="midCat"/>
        <c:majorUnit val="10"/>
        <c:minorUnit val="10"/>
      </c:valAx>
      <c:valAx>
        <c:axId val="297109264"/>
        <c:scaling>
          <c:logBase val="10"/>
          <c:orientation val="minMax"/>
          <c:max val="100"/>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FS-IMT </a:t>
                </a:r>
                <a:r>
                  <a:rPr lang="en-US" sz="1200" b="1" i="1" baseline="0">
                    <a:effectLst/>
                  </a:rPr>
                  <a:t> </a:t>
                </a:r>
                <a:r>
                  <a:rPr lang="en-US" sz="1200" b="1" i="0" baseline="0">
                    <a:effectLst/>
                  </a:rPr>
                  <a:t>(km)</a:t>
                </a:r>
                <a:endParaRPr lang="ru-RU" sz="1200">
                  <a:effectLst/>
                </a:endParaRPr>
              </a:p>
            </c:rich>
          </c:tx>
          <c:layout>
            <c:manualLayout>
              <c:xMode val="edge"/>
              <c:yMode val="edge"/>
              <c:x val="2.3211494055046396E-3"/>
              <c:y val="0.35547109345706784"/>
            </c:manualLayout>
          </c:layout>
          <c:overlay val="0"/>
        </c:title>
        <c:numFmt formatCode="General" sourceLinked="1"/>
        <c:majorTickMark val="none"/>
        <c:minorTickMark val="none"/>
        <c:tickLblPos val="low"/>
        <c:crossAx val="297108872"/>
        <c:crosses val="autoZero"/>
        <c:crossBetween val="midCat"/>
        <c:majorUnit val="1"/>
        <c:minorUnit val="1.0000000000000005E-2"/>
      </c:valAx>
    </c:plotArea>
    <c:legend>
      <c:legendPos val="l"/>
      <c:layout>
        <c:manualLayout>
          <c:xMode val="edge"/>
          <c:yMode val="edge"/>
          <c:x val="0.61916621723654464"/>
          <c:y val="0.19375890981208393"/>
          <c:w val="0.28973267896307481"/>
          <c:h val="0.16818698475698671"/>
        </c:manualLayout>
      </c:layout>
      <c:overlay val="1"/>
      <c:spPr>
        <a:solidFill>
          <a:schemeClr val="bg1"/>
        </a:solidFill>
      </c:spPr>
      <c:txPr>
        <a:bodyPr/>
        <a:lstStyle/>
        <a:p>
          <a:pPr>
            <a:defRPr sz="700"/>
          </a:pPr>
          <a:endParaRPr lang="en-US"/>
        </a:p>
      </c:txPr>
    </c:legend>
    <c:plotVisOnly val="1"/>
    <c:dispBlanksAs val="gap"/>
    <c:showDLblsOverMax val="0"/>
  </c:chart>
  <c:spPr>
    <a:ln w="15875">
      <a:solidFill>
        <a:sysClr val="windowText" lastClr="000000"/>
      </a:solid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(C/I) </a:t>
            </a:r>
            <a:r>
              <a:rPr lang="en-GB" sz="700" b="1" i="0" baseline="-25000">
                <a:effectLst/>
              </a:rPr>
              <a:t>required</a:t>
            </a:r>
            <a:r>
              <a:rPr lang="fr-FR" sz="700" b="1" i="0" baseline="0">
                <a:effectLst/>
              </a:rPr>
              <a:t>  = 55 dB; </a:t>
            </a:r>
            <a:endParaRPr lang="ru-RU" sz="700">
              <a:effectLst/>
            </a:endParaRPr>
          </a:p>
          <a:p>
            <a:pPr algn="l">
              <a:defRPr sz="700"/>
            </a:pPr>
            <a:r>
              <a:rPr lang="fr-FR" sz="700" b="1" i="0" baseline="0">
                <a:effectLst/>
              </a:rPr>
              <a:t>Channel Separation 29.65  MHz;     </a:t>
            </a:r>
            <a:endParaRPr lang="ru-RU" sz="700">
              <a:effectLst/>
            </a:endParaRPr>
          </a:p>
          <a:p>
            <a:pPr algn="l">
              <a:defRPr sz="700"/>
            </a:pPr>
            <a:r>
              <a:rPr lang="en-GB" sz="700" b="1" i="0" baseline="0">
                <a:effectLst/>
              </a:rPr>
              <a:t>First adjacent channel</a:t>
            </a:r>
            <a:r>
              <a:rPr lang="ru-RU" sz="700" b="1" i="0" baseline="0">
                <a:effectLst/>
              </a:rPr>
              <a:t> </a:t>
            </a:r>
            <a:r>
              <a:rPr lang="en-GB" sz="700" b="1" i="0" baseline="0">
                <a:effectLst/>
              </a:rPr>
              <a:t> (</a:t>
            </a:r>
            <a:r>
              <a:rPr lang="en-US" sz="700" b="1" i="0" baseline="0">
                <a:effectLst/>
              </a:rPr>
              <a:t>MD+NFD(</a:t>
            </a:r>
            <a:r>
              <a:rPr lang="en-US" sz="700" b="1" i="0" baseline="0">
                <a:effectLst/>
                <a:latin typeface="Symbol" panose="05050102010706020507" pitchFamily="18" charset="2"/>
              </a:rPr>
              <a:t>D</a:t>
            </a:r>
            <a:r>
              <a:rPr lang="en-US" sz="700" b="1" i="0" baseline="0">
                <a:effectLst/>
              </a:rPr>
              <a:t>f) = </a:t>
            </a:r>
            <a:r>
              <a:rPr lang="ru-RU" sz="700" b="1" i="0" baseline="0">
                <a:effectLst/>
              </a:rPr>
              <a:t>45</a:t>
            </a:r>
            <a:r>
              <a:rPr lang="en-US" sz="700" b="1" i="0" baseline="0">
                <a:effectLst/>
              </a:rPr>
              <a:t> dB);</a:t>
            </a:r>
            <a:endParaRPr lang="ru-RU" sz="700">
              <a:effectLst/>
            </a:endParaRPr>
          </a:p>
          <a:p>
            <a:pPr algn="l">
              <a:defRPr sz="700"/>
            </a:pPr>
            <a:r>
              <a:rPr lang="ru-RU" sz="700" b="1" i="0" baseline="0">
                <a:effectLst/>
              </a:rPr>
              <a:t> </a:t>
            </a:r>
            <a:r>
              <a:rPr lang="en-GB" sz="700" b="1" i="0" baseline="0">
                <a:effectLst/>
              </a:rPr>
              <a:t>a</a:t>
            </a:r>
            <a:r>
              <a:rPr lang="en-GB" sz="700" b="1" i="0" baseline="-25000">
                <a:effectLst/>
              </a:rPr>
              <a:t>indoor</a:t>
            </a:r>
            <a:r>
              <a:rPr lang="en-GB" sz="700" b="1" i="0" baseline="0">
                <a:effectLst/>
              </a:rPr>
              <a:t> = 25 dB;     AhTx = 0 dB </a:t>
            </a:r>
            <a:endParaRPr lang="ru-RU" sz="700">
              <a:effectLst/>
            </a:endParaRPr>
          </a:p>
        </c:rich>
      </c:tx>
      <c:layout>
        <c:manualLayout>
          <c:xMode val="edge"/>
          <c:yMode val="edge"/>
          <c:x val="0.12059148046908669"/>
          <c:y val="0"/>
        </c:manualLayout>
      </c:layout>
      <c:overlay val="0"/>
    </c:title>
    <c:autoTitleDeleted val="0"/>
    <c:plotArea>
      <c:layout>
        <c:manualLayout>
          <c:layoutTarget val="inner"/>
          <c:xMode val="edge"/>
          <c:yMode val="edge"/>
          <c:x val="0.11127122063110018"/>
          <c:y val="0.15386210869982744"/>
          <c:w val="0.81610596602885865"/>
          <c:h val="0.71314152556706067"/>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Лист1!$A$2:$A$361</c:f>
              <c:numCache>
                <c:formatCode>General</c:formatCode>
                <c:ptCount val="360"/>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Лист1!$B$2:$B$361</c:f>
              <c:numCache>
                <c:formatCode>General</c:formatCode>
                <c:ptCount val="360"/>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pt idx="181">
                  <c:v>2.0000000000000011E-2</c:v>
                </c:pt>
                <c:pt idx="182">
                  <c:v>2.0000000000000011E-2</c:v>
                </c:pt>
                <c:pt idx="183">
                  <c:v>2.0000000000000011E-2</c:v>
                </c:pt>
                <c:pt idx="184">
                  <c:v>2.0000000000000011E-2</c:v>
                </c:pt>
                <c:pt idx="185">
                  <c:v>2.0000000000000011E-2</c:v>
                </c:pt>
                <c:pt idx="186">
                  <c:v>2.0000000000000011E-2</c:v>
                </c:pt>
                <c:pt idx="187">
                  <c:v>2.0000000000000011E-2</c:v>
                </c:pt>
                <c:pt idx="188">
                  <c:v>2.0000000000000011E-2</c:v>
                </c:pt>
                <c:pt idx="189">
                  <c:v>2.0000000000000011E-2</c:v>
                </c:pt>
                <c:pt idx="190">
                  <c:v>2.0000000000000011E-2</c:v>
                </c:pt>
                <c:pt idx="191">
                  <c:v>2.0000000000000011E-2</c:v>
                </c:pt>
                <c:pt idx="192">
                  <c:v>2.0000000000000011E-2</c:v>
                </c:pt>
                <c:pt idx="193">
                  <c:v>2.0000000000000011E-2</c:v>
                </c:pt>
                <c:pt idx="194">
                  <c:v>2.0000000000000011E-2</c:v>
                </c:pt>
                <c:pt idx="195">
                  <c:v>2.0000000000000011E-2</c:v>
                </c:pt>
                <c:pt idx="196">
                  <c:v>2.0000000000000011E-2</c:v>
                </c:pt>
                <c:pt idx="197">
                  <c:v>2.0000000000000011E-2</c:v>
                </c:pt>
                <c:pt idx="198">
                  <c:v>2.0000000000000011E-2</c:v>
                </c:pt>
                <c:pt idx="199">
                  <c:v>2.0000000000000011E-2</c:v>
                </c:pt>
                <c:pt idx="200">
                  <c:v>2.0000000000000011E-2</c:v>
                </c:pt>
                <c:pt idx="201">
                  <c:v>2.0000000000000011E-2</c:v>
                </c:pt>
                <c:pt idx="202">
                  <c:v>2.0000000000000011E-2</c:v>
                </c:pt>
                <c:pt idx="203">
                  <c:v>2.0000000000000011E-2</c:v>
                </c:pt>
                <c:pt idx="204">
                  <c:v>2.0000000000000011E-2</c:v>
                </c:pt>
                <c:pt idx="205">
                  <c:v>2.0000000000000011E-2</c:v>
                </c:pt>
                <c:pt idx="206">
                  <c:v>2.0000000000000011E-2</c:v>
                </c:pt>
                <c:pt idx="207">
                  <c:v>2.0000000000000011E-2</c:v>
                </c:pt>
                <c:pt idx="208">
                  <c:v>2.0000000000000011E-2</c:v>
                </c:pt>
                <c:pt idx="209">
                  <c:v>2.0000000000000011E-2</c:v>
                </c:pt>
                <c:pt idx="210">
                  <c:v>2.0000000000000011E-2</c:v>
                </c:pt>
                <c:pt idx="211">
                  <c:v>2.0000000000000011E-2</c:v>
                </c:pt>
                <c:pt idx="212">
                  <c:v>2.0000000000000011E-2</c:v>
                </c:pt>
                <c:pt idx="213">
                  <c:v>2.0000000000000011E-2</c:v>
                </c:pt>
                <c:pt idx="214">
                  <c:v>2.0000000000000011E-2</c:v>
                </c:pt>
                <c:pt idx="215">
                  <c:v>2.0000000000000011E-2</c:v>
                </c:pt>
                <c:pt idx="216">
                  <c:v>2.0000000000000011E-2</c:v>
                </c:pt>
                <c:pt idx="217">
                  <c:v>2.0000000000000011E-2</c:v>
                </c:pt>
                <c:pt idx="218">
                  <c:v>2.0000000000000011E-2</c:v>
                </c:pt>
                <c:pt idx="219">
                  <c:v>2.0000000000000011E-2</c:v>
                </c:pt>
                <c:pt idx="220">
                  <c:v>2.0000000000000011E-2</c:v>
                </c:pt>
                <c:pt idx="221">
                  <c:v>2.0000000000000011E-2</c:v>
                </c:pt>
                <c:pt idx="222">
                  <c:v>2.0000000000000011E-2</c:v>
                </c:pt>
                <c:pt idx="223">
                  <c:v>2.0000000000000011E-2</c:v>
                </c:pt>
                <c:pt idx="224">
                  <c:v>2.0000000000000011E-2</c:v>
                </c:pt>
                <c:pt idx="225">
                  <c:v>2.0000000000000011E-2</c:v>
                </c:pt>
                <c:pt idx="226">
                  <c:v>2.0000000000000011E-2</c:v>
                </c:pt>
                <c:pt idx="227">
                  <c:v>2.0000000000000011E-2</c:v>
                </c:pt>
                <c:pt idx="228">
                  <c:v>2.0000000000000011E-2</c:v>
                </c:pt>
                <c:pt idx="229">
                  <c:v>2.0000000000000011E-2</c:v>
                </c:pt>
                <c:pt idx="230">
                  <c:v>2.0000000000000011E-2</c:v>
                </c:pt>
                <c:pt idx="231">
                  <c:v>2.0000000000000011E-2</c:v>
                </c:pt>
                <c:pt idx="232">
                  <c:v>2.0000000000000011E-2</c:v>
                </c:pt>
                <c:pt idx="233">
                  <c:v>2.0000000000000011E-2</c:v>
                </c:pt>
                <c:pt idx="234">
                  <c:v>2.0000000000000011E-2</c:v>
                </c:pt>
                <c:pt idx="235">
                  <c:v>2.0000000000000011E-2</c:v>
                </c:pt>
                <c:pt idx="236">
                  <c:v>2.0000000000000011E-2</c:v>
                </c:pt>
                <c:pt idx="237">
                  <c:v>2.0000000000000011E-2</c:v>
                </c:pt>
                <c:pt idx="238">
                  <c:v>2.0000000000000011E-2</c:v>
                </c:pt>
                <c:pt idx="239">
                  <c:v>2.0000000000000011E-2</c:v>
                </c:pt>
                <c:pt idx="240">
                  <c:v>2.0000000000000011E-2</c:v>
                </c:pt>
                <c:pt idx="241">
                  <c:v>2.0000000000000011E-2</c:v>
                </c:pt>
                <c:pt idx="242">
                  <c:v>2.0000000000000011E-2</c:v>
                </c:pt>
                <c:pt idx="243">
                  <c:v>2.0000000000000011E-2</c:v>
                </c:pt>
                <c:pt idx="244">
                  <c:v>2.0000000000000011E-2</c:v>
                </c:pt>
                <c:pt idx="245">
                  <c:v>2.0000000000000011E-2</c:v>
                </c:pt>
                <c:pt idx="246">
                  <c:v>2.0000000000000011E-2</c:v>
                </c:pt>
                <c:pt idx="247">
                  <c:v>2.0000000000000011E-2</c:v>
                </c:pt>
                <c:pt idx="248">
                  <c:v>2.0000000000000011E-2</c:v>
                </c:pt>
                <c:pt idx="249">
                  <c:v>2.0000000000000011E-2</c:v>
                </c:pt>
                <c:pt idx="250">
                  <c:v>2.0000000000000011E-2</c:v>
                </c:pt>
                <c:pt idx="251">
                  <c:v>2.0000000000000011E-2</c:v>
                </c:pt>
                <c:pt idx="252">
                  <c:v>2.0000000000000011E-2</c:v>
                </c:pt>
                <c:pt idx="253">
                  <c:v>2.0000000000000011E-2</c:v>
                </c:pt>
                <c:pt idx="254">
                  <c:v>2.0000000000000011E-2</c:v>
                </c:pt>
                <c:pt idx="255">
                  <c:v>2.0000000000000011E-2</c:v>
                </c:pt>
                <c:pt idx="256">
                  <c:v>2.0000000000000011E-2</c:v>
                </c:pt>
                <c:pt idx="257">
                  <c:v>2.0000000000000011E-2</c:v>
                </c:pt>
                <c:pt idx="258">
                  <c:v>2.0000000000000011E-2</c:v>
                </c:pt>
                <c:pt idx="259">
                  <c:v>2.0000000000000011E-2</c:v>
                </c:pt>
                <c:pt idx="260">
                  <c:v>2.0000000000000011E-2</c:v>
                </c:pt>
                <c:pt idx="261">
                  <c:v>2.0000000000000011E-2</c:v>
                </c:pt>
                <c:pt idx="262">
                  <c:v>2.0000000000000011E-2</c:v>
                </c:pt>
                <c:pt idx="263">
                  <c:v>2.0000000000000011E-2</c:v>
                </c:pt>
                <c:pt idx="264">
                  <c:v>2.0000000000000011E-2</c:v>
                </c:pt>
                <c:pt idx="265">
                  <c:v>2.0000000000000011E-2</c:v>
                </c:pt>
                <c:pt idx="266">
                  <c:v>2.0000000000000011E-2</c:v>
                </c:pt>
                <c:pt idx="267">
                  <c:v>2.0000000000000011E-2</c:v>
                </c:pt>
                <c:pt idx="268">
                  <c:v>2.0000000000000011E-2</c:v>
                </c:pt>
                <c:pt idx="269">
                  <c:v>2.0000000000000011E-2</c:v>
                </c:pt>
                <c:pt idx="270">
                  <c:v>2.0000000000000011E-2</c:v>
                </c:pt>
                <c:pt idx="271">
                  <c:v>2.0000000000000011E-2</c:v>
                </c:pt>
                <c:pt idx="272">
                  <c:v>2.0000000000000011E-2</c:v>
                </c:pt>
                <c:pt idx="273">
                  <c:v>2.0000000000000011E-2</c:v>
                </c:pt>
                <c:pt idx="274">
                  <c:v>2.0000000000000011E-2</c:v>
                </c:pt>
                <c:pt idx="275">
                  <c:v>2.0000000000000011E-2</c:v>
                </c:pt>
                <c:pt idx="276">
                  <c:v>2.0000000000000011E-2</c:v>
                </c:pt>
                <c:pt idx="277">
                  <c:v>2.0000000000000011E-2</c:v>
                </c:pt>
                <c:pt idx="278">
                  <c:v>2.0000000000000011E-2</c:v>
                </c:pt>
                <c:pt idx="279">
                  <c:v>2.0000000000000011E-2</c:v>
                </c:pt>
                <c:pt idx="280">
                  <c:v>2.0000000000000011E-2</c:v>
                </c:pt>
                <c:pt idx="281">
                  <c:v>2.0000000000000011E-2</c:v>
                </c:pt>
                <c:pt idx="282">
                  <c:v>2.0000000000000011E-2</c:v>
                </c:pt>
                <c:pt idx="283">
                  <c:v>2.0000000000000011E-2</c:v>
                </c:pt>
                <c:pt idx="284">
                  <c:v>2.0000000000000011E-2</c:v>
                </c:pt>
                <c:pt idx="285">
                  <c:v>2.0000000000000011E-2</c:v>
                </c:pt>
                <c:pt idx="286">
                  <c:v>2.0000000000000011E-2</c:v>
                </c:pt>
                <c:pt idx="287">
                  <c:v>2.0000000000000011E-2</c:v>
                </c:pt>
                <c:pt idx="288">
                  <c:v>2.0000000000000011E-2</c:v>
                </c:pt>
                <c:pt idx="289">
                  <c:v>2.0000000000000011E-2</c:v>
                </c:pt>
                <c:pt idx="290">
                  <c:v>2.0000000000000011E-2</c:v>
                </c:pt>
                <c:pt idx="291">
                  <c:v>2.0000000000000011E-2</c:v>
                </c:pt>
                <c:pt idx="292">
                  <c:v>2.0000000000000011E-2</c:v>
                </c:pt>
                <c:pt idx="293">
                  <c:v>2.0000000000000011E-2</c:v>
                </c:pt>
                <c:pt idx="294">
                  <c:v>2.0000000000000011E-2</c:v>
                </c:pt>
                <c:pt idx="295">
                  <c:v>2.0000000000000011E-2</c:v>
                </c:pt>
                <c:pt idx="296">
                  <c:v>2.0000000000000011E-2</c:v>
                </c:pt>
                <c:pt idx="297">
                  <c:v>2.0000000000000011E-2</c:v>
                </c:pt>
                <c:pt idx="298">
                  <c:v>2.0000000000000011E-2</c:v>
                </c:pt>
                <c:pt idx="299">
                  <c:v>2.0000000000000011E-2</c:v>
                </c:pt>
                <c:pt idx="300">
                  <c:v>2.0000000000000011E-2</c:v>
                </c:pt>
                <c:pt idx="301">
                  <c:v>2.0000000000000011E-2</c:v>
                </c:pt>
                <c:pt idx="302">
                  <c:v>2.0000000000000011E-2</c:v>
                </c:pt>
                <c:pt idx="303">
                  <c:v>2.0000000000000011E-2</c:v>
                </c:pt>
                <c:pt idx="304">
                  <c:v>2.0000000000000011E-2</c:v>
                </c:pt>
                <c:pt idx="305">
                  <c:v>2.0000000000000011E-2</c:v>
                </c:pt>
                <c:pt idx="306">
                  <c:v>2.0000000000000011E-2</c:v>
                </c:pt>
                <c:pt idx="307">
                  <c:v>2.0000000000000011E-2</c:v>
                </c:pt>
                <c:pt idx="308">
                  <c:v>2.0000000000000011E-2</c:v>
                </c:pt>
                <c:pt idx="309">
                  <c:v>2.0000000000000011E-2</c:v>
                </c:pt>
                <c:pt idx="310">
                  <c:v>2.0000000000000011E-2</c:v>
                </c:pt>
                <c:pt idx="311">
                  <c:v>2.0000000000000011E-2</c:v>
                </c:pt>
                <c:pt idx="312">
                  <c:v>2.0000000000000011E-2</c:v>
                </c:pt>
                <c:pt idx="313">
                  <c:v>2.0000000000000011E-2</c:v>
                </c:pt>
                <c:pt idx="314">
                  <c:v>2.0000000000000011E-2</c:v>
                </c:pt>
                <c:pt idx="315">
                  <c:v>2.0000000000000011E-2</c:v>
                </c:pt>
                <c:pt idx="316">
                  <c:v>2.0000000000000011E-2</c:v>
                </c:pt>
                <c:pt idx="317">
                  <c:v>2.0000000000000011E-2</c:v>
                </c:pt>
                <c:pt idx="318">
                  <c:v>2.0000000000000011E-2</c:v>
                </c:pt>
                <c:pt idx="319">
                  <c:v>2.0000000000000011E-2</c:v>
                </c:pt>
                <c:pt idx="320">
                  <c:v>2.0000000000000011E-2</c:v>
                </c:pt>
                <c:pt idx="321">
                  <c:v>2.0000000000000011E-2</c:v>
                </c:pt>
                <c:pt idx="322">
                  <c:v>2.0000000000000011E-2</c:v>
                </c:pt>
                <c:pt idx="323">
                  <c:v>2.0000000000000011E-2</c:v>
                </c:pt>
                <c:pt idx="324">
                  <c:v>2.0000000000000011E-2</c:v>
                </c:pt>
                <c:pt idx="325">
                  <c:v>2.0000000000000011E-2</c:v>
                </c:pt>
                <c:pt idx="326">
                  <c:v>2.0000000000000011E-2</c:v>
                </c:pt>
                <c:pt idx="327">
                  <c:v>2.0000000000000011E-2</c:v>
                </c:pt>
                <c:pt idx="328">
                  <c:v>2.0000000000000011E-2</c:v>
                </c:pt>
                <c:pt idx="329">
                  <c:v>2.0000000000000011E-2</c:v>
                </c:pt>
                <c:pt idx="330">
                  <c:v>2.0000000000000011E-2</c:v>
                </c:pt>
                <c:pt idx="331">
                  <c:v>2.0000000000000011E-2</c:v>
                </c:pt>
                <c:pt idx="332">
                  <c:v>2.0000000000000011E-2</c:v>
                </c:pt>
                <c:pt idx="333">
                  <c:v>2.0000000000000011E-2</c:v>
                </c:pt>
                <c:pt idx="334">
                  <c:v>2.0000000000000011E-2</c:v>
                </c:pt>
                <c:pt idx="335">
                  <c:v>2.0000000000000011E-2</c:v>
                </c:pt>
                <c:pt idx="336">
                  <c:v>2.0000000000000011E-2</c:v>
                </c:pt>
                <c:pt idx="337">
                  <c:v>2.0000000000000011E-2</c:v>
                </c:pt>
                <c:pt idx="338">
                  <c:v>2.0000000000000011E-2</c:v>
                </c:pt>
                <c:pt idx="339">
                  <c:v>2.0000000000000011E-2</c:v>
                </c:pt>
                <c:pt idx="340">
                  <c:v>2.0000000000000011E-2</c:v>
                </c:pt>
                <c:pt idx="341">
                  <c:v>2.0000000000000011E-2</c:v>
                </c:pt>
                <c:pt idx="342">
                  <c:v>2.0000000000000011E-2</c:v>
                </c:pt>
                <c:pt idx="343">
                  <c:v>2.0000000000000011E-2</c:v>
                </c:pt>
                <c:pt idx="344">
                  <c:v>2.0000000000000011E-2</c:v>
                </c:pt>
                <c:pt idx="345">
                  <c:v>2.0000000000000011E-2</c:v>
                </c:pt>
                <c:pt idx="346">
                  <c:v>2.0000000000000011E-2</c:v>
                </c:pt>
                <c:pt idx="347">
                  <c:v>2.0000000000000011E-2</c:v>
                </c:pt>
                <c:pt idx="348">
                  <c:v>2.0000000000000011E-2</c:v>
                </c:pt>
                <c:pt idx="349">
                  <c:v>2.0000000000000011E-2</c:v>
                </c:pt>
                <c:pt idx="350">
                  <c:v>2.0000000000000011E-2</c:v>
                </c:pt>
                <c:pt idx="351">
                  <c:v>2.0000000000000011E-2</c:v>
                </c:pt>
                <c:pt idx="352">
                  <c:v>2.0000000000000011E-2</c:v>
                </c:pt>
                <c:pt idx="353">
                  <c:v>2.0000000000000011E-2</c:v>
                </c:pt>
                <c:pt idx="354">
                  <c:v>2.0000000000000011E-2</c:v>
                </c:pt>
                <c:pt idx="355">
                  <c:v>2.0000000000000011E-2</c:v>
                </c:pt>
                <c:pt idx="356">
                  <c:v>2.0000000000000011E-2</c:v>
                </c:pt>
                <c:pt idx="357">
                  <c:v>2.0000000000000011E-2</c:v>
                </c:pt>
                <c:pt idx="358">
                  <c:v>2.0000000000000011E-2</c:v>
                </c:pt>
                <c:pt idx="359">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Лист1!$A$2:$A$361</c:f>
              <c:numCache>
                <c:formatCode>General</c:formatCode>
                <c:ptCount val="360"/>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Лист1!$C$2:$C$361</c:f>
              <c:numCache>
                <c:formatCode>General</c:formatCode>
                <c:ptCount val="360"/>
                <c:pt idx="0">
                  <c:v>4.0000000000000022E-2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pt idx="181">
                  <c:v>2.0000000000000011E-2</c:v>
                </c:pt>
                <c:pt idx="182">
                  <c:v>2.0000000000000011E-2</c:v>
                </c:pt>
                <c:pt idx="183">
                  <c:v>2.0000000000000011E-2</c:v>
                </c:pt>
                <c:pt idx="184">
                  <c:v>2.0000000000000011E-2</c:v>
                </c:pt>
                <c:pt idx="185">
                  <c:v>2.0000000000000011E-2</c:v>
                </c:pt>
                <c:pt idx="186">
                  <c:v>2.0000000000000011E-2</c:v>
                </c:pt>
                <c:pt idx="187">
                  <c:v>2.0000000000000011E-2</c:v>
                </c:pt>
                <c:pt idx="188">
                  <c:v>2.0000000000000011E-2</c:v>
                </c:pt>
                <c:pt idx="189">
                  <c:v>2.0000000000000011E-2</c:v>
                </c:pt>
                <c:pt idx="190">
                  <c:v>2.0000000000000011E-2</c:v>
                </c:pt>
                <c:pt idx="191">
                  <c:v>2.0000000000000011E-2</c:v>
                </c:pt>
                <c:pt idx="192">
                  <c:v>2.0000000000000011E-2</c:v>
                </c:pt>
                <c:pt idx="193">
                  <c:v>2.0000000000000011E-2</c:v>
                </c:pt>
                <c:pt idx="194">
                  <c:v>2.0000000000000011E-2</c:v>
                </c:pt>
                <c:pt idx="195">
                  <c:v>2.0000000000000011E-2</c:v>
                </c:pt>
                <c:pt idx="196">
                  <c:v>2.0000000000000011E-2</c:v>
                </c:pt>
                <c:pt idx="197">
                  <c:v>2.0000000000000011E-2</c:v>
                </c:pt>
                <c:pt idx="198">
                  <c:v>2.0000000000000011E-2</c:v>
                </c:pt>
                <c:pt idx="199">
                  <c:v>2.0000000000000011E-2</c:v>
                </c:pt>
                <c:pt idx="200">
                  <c:v>2.0000000000000011E-2</c:v>
                </c:pt>
                <c:pt idx="201">
                  <c:v>2.0000000000000011E-2</c:v>
                </c:pt>
                <c:pt idx="202">
                  <c:v>2.0000000000000011E-2</c:v>
                </c:pt>
                <c:pt idx="203">
                  <c:v>2.0000000000000011E-2</c:v>
                </c:pt>
                <c:pt idx="204">
                  <c:v>2.0000000000000011E-2</c:v>
                </c:pt>
                <c:pt idx="205">
                  <c:v>2.0000000000000011E-2</c:v>
                </c:pt>
                <c:pt idx="206">
                  <c:v>2.0000000000000011E-2</c:v>
                </c:pt>
                <c:pt idx="207">
                  <c:v>2.0000000000000011E-2</c:v>
                </c:pt>
                <c:pt idx="208">
                  <c:v>2.0000000000000011E-2</c:v>
                </c:pt>
                <c:pt idx="209">
                  <c:v>2.0000000000000011E-2</c:v>
                </c:pt>
                <c:pt idx="210">
                  <c:v>2.0000000000000011E-2</c:v>
                </c:pt>
                <c:pt idx="211">
                  <c:v>2.0000000000000011E-2</c:v>
                </c:pt>
                <c:pt idx="212">
                  <c:v>2.0000000000000011E-2</c:v>
                </c:pt>
                <c:pt idx="213">
                  <c:v>2.0000000000000011E-2</c:v>
                </c:pt>
                <c:pt idx="214">
                  <c:v>2.0000000000000011E-2</c:v>
                </c:pt>
                <c:pt idx="215">
                  <c:v>2.0000000000000011E-2</c:v>
                </c:pt>
                <c:pt idx="216">
                  <c:v>2.0000000000000011E-2</c:v>
                </c:pt>
                <c:pt idx="217">
                  <c:v>2.0000000000000011E-2</c:v>
                </c:pt>
                <c:pt idx="218">
                  <c:v>2.0000000000000011E-2</c:v>
                </c:pt>
                <c:pt idx="219">
                  <c:v>2.0000000000000011E-2</c:v>
                </c:pt>
                <c:pt idx="220">
                  <c:v>2.0000000000000011E-2</c:v>
                </c:pt>
                <c:pt idx="221">
                  <c:v>2.0000000000000011E-2</c:v>
                </c:pt>
                <c:pt idx="222">
                  <c:v>2.0000000000000011E-2</c:v>
                </c:pt>
                <c:pt idx="223">
                  <c:v>2.0000000000000011E-2</c:v>
                </c:pt>
                <c:pt idx="224">
                  <c:v>2.0000000000000011E-2</c:v>
                </c:pt>
                <c:pt idx="225">
                  <c:v>2.0000000000000011E-2</c:v>
                </c:pt>
                <c:pt idx="226">
                  <c:v>2.0000000000000011E-2</c:v>
                </c:pt>
                <c:pt idx="227">
                  <c:v>2.0000000000000011E-2</c:v>
                </c:pt>
                <c:pt idx="228">
                  <c:v>2.0000000000000011E-2</c:v>
                </c:pt>
                <c:pt idx="229">
                  <c:v>2.0000000000000011E-2</c:v>
                </c:pt>
                <c:pt idx="230">
                  <c:v>2.0000000000000011E-2</c:v>
                </c:pt>
                <c:pt idx="231">
                  <c:v>2.0000000000000011E-2</c:v>
                </c:pt>
                <c:pt idx="232">
                  <c:v>2.0000000000000011E-2</c:v>
                </c:pt>
                <c:pt idx="233">
                  <c:v>2.0000000000000011E-2</c:v>
                </c:pt>
                <c:pt idx="234">
                  <c:v>2.0000000000000011E-2</c:v>
                </c:pt>
                <c:pt idx="235">
                  <c:v>2.0000000000000011E-2</c:v>
                </c:pt>
                <c:pt idx="236">
                  <c:v>2.0000000000000011E-2</c:v>
                </c:pt>
                <c:pt idx="237">
                  <c:v>2.0000000000000011E-2</c:v>
                </c:pt>
                <c:pt idx="238">
                  <c:v>2.0000000000000011E-2</c:v>
                </c:pt>
                <c:pt idx="239">
                  <c:v>2.0000000000000011E-2</c:v>
                </c:pt>
                <c:pt idx="240">
                  <c:v>2.0000000000000011E-2</c:v>
                </c:pt>
                <c:pt idx="241">
                  <c:v>2.0000000000000011E-2</c:v>
                </c:pt>
                <c:pt idx="242">
                  <c:v>2.0000000000000011E-2</c:v>
                </c:pt>
                <c:pt idx="243">
                  <c:v>2.0000000000000011E-2</c:v>
                </c:pt>
                <c:pt idx="244">
                  <c:v>2.0000000000000011E-2</c:v>
                </c:pt>
                <c:pt idx="245">
                  <c:v>2.0000000000000011E-2</c:v>
                </c:pt>
                <c:pt idx="246">
                  <c:v>2.0000000000000011E-2</c:v>
                </c:pt>
                <c:pt idx="247">
                  <c:v>2.0000000000000011E-2</c:v>
                </c:pt>
                <c:pt idx="248">
                  <c:v>2.0000000000000011E-2</c:v>
                </c:pt>
                <c:pt idx="249">
                  <c:v>2.0000000000000011E-2</c:v>
                </c:pt>
                <c:pt idx="250">
                  <c:v>2.0000000000000011E-2</c:v>
                </c:pt>
                <c:pt idx="251">
                  <c:v>2.0000000000000011E-2</c:v>
                </c:pt>
                <c:pt idx="252">
                  <c:v>2.0000000000000011E-2</c:v>
                </c:pt>
                <c:pt idx="253">
                  <c:v>2.0000000000000011E-2</c:v>
                </c:pt>
                <c:pt idx="254">
                  <c:v>2.0000000000000011E-2</c:v>
                </c:pt>
                <c:pt idx="255">
                  <c:v>2.0000000000000011E-2</c:v>
                </c:pt>
                <c:pt idx="256">
                  <c:v>2.0000000000000011E-2</c:v>
                </c:pt>
                <c:pt idx="257">
                  <c:v>2.0000000000000011E-2</c:v>
                </c:pt>
                <c:pt idx="258">
                  <c:v>2.0000000000000011E-2</c:v>
                </c:pt>
                <c:pt idx="259">
                  <c:v>2.0000000000000011E-2</c:v>
                </c:pt>
                <c:pt idx="260">
                  <c:v>2.0000000000000011E-2</c:v>
                </c:pt>
                <c:pt idx="261">
                  <c:v>2.0000000000000011E-2</c:v>
                </c:pt>
                <c:pt idx="262">
                  <c:v>2.0000000000000011E-2</c:v>
                </c:pt>
                <c:pt idx="263">
                  <c:v>2.0000000000000011E-2</c:v>
                </c:pt>
                <c:pt idx="264">
                  <c:v>2.0000000000000011E-2</c:v>
                </c:pt>
                <c:pt idx="265">
                  <c:v>2.0000000000000011E-2</c:v>
                </c:pt>
                <c:pt idx="266">
                  <c:v>2.0000000000000011E-2</c:v>
                </c:pt>
                <c:pt idx="267">
                  <c:v>2.0000000000000011E-2</c:v>
                </c:pt>
                <c:pt idx="268">
                  <c:v>2.0000000000000011E-2</c:v>
                </c:pt>
                <c:pt idx="269">
                  <c:v>2.0000000000000011E-2</c:v>
                </c:pt>
                <c:pt idx="270">
                  <c:v>2.0000000000000011E-2</c:v>
                </c:pt>
                <c:pt idx="271">
                  <c:v>2.0000000000000011E-2</c:v>
                </c:pt>
                <c:pt idx="272">
                  <c:v>2.0000000000000011E-2</c:v>
                </c:pt>
                <c:pt idx="273">
                  <c:v>2.0000000000000011E-2</c:v>
                </c:pt>
                <c:pt idx="274">
                  <c:v>2.0000000000000011E-2</c:v>
                </c:pt>
                <c:pt idx="275">
                  <c:v>2.0000000000000011E-2</c:v>
                </c:pt>
                <c:pt idx="276">
                  <c:v>2.0000000000000011E-2</c:v>
                </c:pt>
                <c:pt idx="277">
                  <c:v>2.0000000000000011E-2</c:v>
                </c:pt>
                <c:pt idx="278">
                  <c:v>2.0000000000000011E-2</c:v>
                </c:pt>
                <c:pt idx="279">
                  <c:v>2.0000000000000011E-2</c:v>
                </c:pt>
                <c:pt idx="280">
                  <c:v>2.0000000000000011E-2</c:v>
                </c:pt>
                <c:pt idx="281">
                  <c:v>2.0000000000000011E-2</c:v>
                </c:pt>
                <c:pt idx="282">
                  <c:v>2.0000000000000011E-2</c:v>
                </c:pt>
                <c:pt idx="283">
                  <c:v>2.0000000000000011E-2</c:v>
                </c:pt>
                <c:pt idx="284">
                  <c:v>2.0000000000000011E-2</c:v>
                </c:pt>
                <c:pt idx="285">
                  <c:v>2.0000000000000011E-2</c:v>
                </c:pt>
                <c:pt idx="286">
                  <c:v>2.0000000000000011E-2</c:v>
                </c:pt>
                <c:pt idx="287">
                  <c:v>2.0000000000000011E-2</c:v>
                </c:pt>
                <c:pt idx="288">
                  <c:v>2.0000000000000011E-2</c:v>
                </c:pt>
                <c:pt idx="289">
                  <c:v>2.0000000000000011E-2</c:v>
                </c:pt>
                <c:pt idx="290">
                  <c:v>2.0000000000000011E-2</c:v>
                </c:pt>
                <c:pt idx="291">
                  <c:v>2.0000000000000011E-2</c:v>
                </c:pt>
                <c:pt idx="292">
                  <c:v>2.0000000000000011E-2</c:v>
                </c:pt>
                <c:pt idx="293">
                  <c:v>2.0000000000000011E-2</c:v>
                </c:pt>
                <c:pt idx="294">
                  <c:v>2.0000000000000011E-2</c:v>
                </c:pt>
                <c:pt idx="295">
                  <c:v>2.0000000000000011E-2</c:v>
                </c:pt>
                <c:pt idx="296">
                  <c:v>2.0000000000000011E-2</c:v>
                </c:pt>
                <c:pt idx="297">
                  <c:v>2.0000000000000011E-2</c:v>
                </c:pt>
                <c:pt idx="298">
                  <c:v>2.0000000000000011E-2</c:v>
                </c:pt>
                <c:pt idx="299">
                  <c:v>2.0000000000000011E-2</c:v>
                </c:pt>
                <c:pt idx="300">
                  <c:v>2.0000000000000011E-2</c:v>
                </c:pt>
                <c:pt idx="301">
                  <c:v>2.0000000000000011E-2</c:v>
                </c:pt>
                <c:pt idx="302">
                  <c:v>2.0000000000000011E-2</c:v>
                </c:pt>
                <c:pt idx="303">
                  <c:v>2.0000000000000011E-2</c:v>
                </c:pt>
                <c:pt idx="304">
                  <c:v>2.0000000000000011E-2</c:v>
                </c:pt>
                <c:pt idx="305">
                  <c:v>2.0000000000000011E-2</c:v>
                </c:pt>
                <c:pt idx="306">
                  <c:v>2.0000000000000011E-2</c:v>
                </c:pt>
                <c:pt idx="307">
                  <c:v>2.0000000000000011E-2</c:v>
                </c:pt>
                <c:pt idx="308">
                  <c:v>2.0000000000000011E-2</c:v>
                </c:pt>
                <c:pt idx="309">
                  <c:v>2.0000000000000011E-2</c:v>
                </c:pt>
                <c:pt idx="310">
                  <c:v>2.0000000000000011E-2</c:v>
                </c:pt>
                <c:pt idx="311">
                  <c:v>2.0000000000000011E-2</c:v>
                </c:pt>
                <c:pt idx="312">
                  <c:v>2.0000000000000011E-2</c:v>
                </c:pt>
                <c:pt idx="313">
                  <c:v>2.0000000000000011E-2</c:v>
                </c:pt>
                <c:pt idx="314">
                  <c:v>2.0000000000000011E-2</c:v>
                </c:pt>
                <c:pt idx="315">
                  <c:v>2.0000000000000011E-2</c:v>
                </c:pt>
                <c:pt idx="316">
                  <c:v>2.0000000000000011E-2</c:v>
                </c:pt>
                <c:pt idx="317">
                  <c:v>2.0000000000000011E-2</c:v>
                </c:pt>
                <c:pt idx="318">
                  <c:v>2.0000000000000011E-2</c:v>
                </c:pt>
                <c:pt idx="319">
                  <c:v>2.0000000000000011E-2</c:v>
                </c:pt>
                <c:pt idx="320">
                  <c:v>2.0000000000000011E-2</c:v>
                </c:pt>
                <c:pt idx="321">
                  <c:v>2.0000000000000011E-2</c:v>
                </c:pt>
                <c:pt idx="322">
                  <c:v>2.0000000000000011E-2</c:v>
                </c:pt>
                <c:pt idx="323">
                  <c:v>2.0000000000000011E-2</c:v>
                </c:pt>
                <c:pt idx="324">
                  <c:v>2.0000000000000011E-2</c:v>
                </c:pt>
                <c:pt idx="325">
                  <c:v>2.0000000000000011E-2</c:v>
                </c:pt>
                <c:pt idx="326">
                  <c:v>2.0000000000000011E-2</c:v>
                </c:pt>
                <c:pt idx="327">
                  <c:v>2.0000000000000011E-2</c:v>
                </c:pt>
                <c:pt idx="328">
                  <c:v>2.0000000000000011E-2</c:v>
                </c:pt>
                <c:pt idx="329">
                  <c:v>2.0000000000000011E-2</c:v>
                </c:pt>
                <c:pt idx="330">
                  <c:v>2.0000000000000011E-2</c:v>
                </c:pt>
                <c:pt idx="331">
                  <c:v>2.0000000000000011E-2</c:v>
                </c:pt>
                <c:pt idx="332">
                  <c:v>2.0000000000000011E-2</c:v>
                </c:pt>
                <c:pt idx="333">
                  <c:v>2.0000000000000011E-2</c:v>
                </c:pt>
                <c:pt idx="334">
                  <c:v>2.0000000000000011E-2</c:v>
                </c:pt>
                <c:pt idx="335">
                  <c:v>2.0000000000000011E-2</c:v>
                </c:pt>
                <c:pt idx="336">
                  <c:v>2.0000000000000011E-2</c:v>
                </c:pt>
                <c:pt idx="337">
                  <c:v>2.0000000000000011E-2</c:v>
                </c:pt>
                <c:pt idx="338">
                  <c:v>2.0000000000000011E-2</c:v>
                </c:pt>
                <c:pt idx="339">
                  <c:v>2.0000000000000011E-2</c:v>
                </c:pt>
                <c:pt idx="340">
                  <c:v>2.0000000000000011E-2</c:v>
                </c:pt>
                <c:pt idx="341">
                  <c:v>2.0000000000000011E-2</c:v>
                </c:pt>
                <c:pt idx="342">
                  <c:v>2.0000000000000011E-2</c:v>
                </c:pt>
                <c:pt idx="343">
                  <c:v>2.0000000000000011E-2</c:v>
                </c:pt>
                <c:pt idx="344">
                  <c:v>2.0000000000000011E-2</c:v>
                </c:pt>
                <c:pt idx="345">
                  <c:v>2.0000000000000011E-2</c:v>
                </c:pt>
                <c:pt idx="346">
                  <c:v>2.0000000000000011E-2</c:v>
                </c:pt>
                <c:pt idx="347">
                  <c:v>2.0000000000000011E-2</c:v>
                </c:pt>
                <c:pt idx="348">
                  <c:v>2.0000000000000011E-2</c:v>
                </c:pt>
                <c:pt idx="349">
                  <c:v>2.0000000000000011E-2</c:v>
                </c:pt>
                <c:pt idx="350">
                  <c:v>2.0000000000000011E-2</c:v>
                </c:pt>
                <c:pt idx="351">
                  <c:v>2.0000000000000011E-2</c:v>
                </c:pt>
                <c:pt idx="352">
                  <c:v>2.0000000000000011E-2</c:v>
                </c:pt>
                <c:pt idx="353">
                  <c:v>2.0000000000000011E-2</c:v>
                </c:pt>
                <c:pt idx="354">
                  <c:v>2.0000000000000011E-2</c:v>
                </c:pt>
                <c:pt idx="355">
                  <c:v>2.0000000000000011E-2</c:v>
                </c:pt>
                <c:pt idx="356">
                  <c:v>2.0000000000000011E-2</c:v>
                </c:pt>
                <c:pt idx="357">
                  <c:v>2.0000000000000011E-2</c:v>
                </c:pt>
                <c:pt idx="358">
                  <c:v>2.0000000000000011E-2</c:v>
                </c:pt>
                <c:pt idx="359">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Лист1!$A$2:$A$361</c:f>
              <c:numCache>
                <c:formatCode>General</c:formatCode>
                <c:ptCount val="360"/>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Лист1!$D$2:$D$361</c:f>
              <c:numCache>
                <c:formatCode>General</c:formatCode>
                <c:ptCount val="360"/>
                <c:pt idx="0">
                  <c:v>6.0000000000000032E-2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pt idx="181">
                  <c:v>2.0000000000000011E-2</c:v>
                </c:pt>
                <c:pt idx="182">
                  <c:v>2.0000000000000011E-2</c:v>
                </c:pt>
                <c:pt idx="183">
                  <c:v>2.0000000000000011E-2</c:v>
                </c:pt>
                <c:pt idx="184">
                  <c:v>2.0000000000000011E-2</c:v>
                </c:pt>
                <c:pt idx="185">
                  <c:v>2.0000000000000011E-2</c:v>
                </c:pt>
                <c:pt idx="186">
                  <c:v>2.0000000000000011E-2</c:v>
                </c:pt>
                <c:pt idx="187">
                  <c:v>2.0000000000000011E-2</c:v>
                </c:pt>
                <c:pt idx="188">
                  <c:v>2.0000000000000011E-2</c:v>
                </c:pt>
                <c:pt idx="189">
                  <c:v>2.0000000000000011E-2</c:v>
                </c:pt>
                <c:pt idx="190">
                  <c:v>2.0000000000000011E-2</c:v>
                </c:pt>
                <c:pt idx="191">
                  <c:v>2.0000000000000011E-2</c:v>
                </c:pt>
                <c:pt idx="192">
                  <c:v>2.0000000000000011E-2</c:v>
                </c:pt>
                <c:pt idx="193">
                  <c:v>2.0000000000000011E-2</c:v>
                </c:pt>
                <c:pt idx="194">
                  <c:v>2.0000000000000011E-2</c:v>
                </c:pt>
                <c:pt idx="195">
                  <c:v>2.0000000000000011E-2</c:v>
                </c:pt>
                <c:pt idx="196">
                  <c:v>2.0000000000000011E-2</c:v>
                </c:pt>
                <c:pt idx="197">
                  <c:v>2.0000000000000011E-2</c:v>
                </c:pt>
                <c:pt idx="198">
                  <c:v>2.0000000000000011E-2</c:v>
                </c:pt>
                <c:pt idx="199">
                  <c:v>2.0000000000000011E-2</c:v>
                </c:pt>
                <c:pt idx="200">
                  <c:v>2.0000000000000011E-2</c:v>
                </c:pt>
                <c:pt idx="201">
                  <c:v>2.0000000000000011E-2</c:v>
                </c:pt>
                <c:pt idx="202">
                  <c:v>2.0000000000000011E-2</c:v>
                </c:pt>
                <c:pt idx="203">
                  <c:v>2.0000000000000011E-2</c:v>
                </c:pt>
                <c:pt idx="204">
                  <c:v>2.0000000000000011E-2</c:v>
                </c:pt>
                <c:pt idx="205">
                  <c:v>2.0000000000000011E-2</c:v>
                </c:pt>
                <c:pt idx="206">
                  <c:v>2.0000000000000011E-2</c:v>
                </c:pt>
                <c:pt idx="207">
                  <c:v>2.0000000000000011E-2</c:v>
                </c:pt>
                <c:pt idx="208">
                  <c:v>2.0000000000000011E-2</c:v>
                </c:pt>
                <c:pt idx="209">
                  <c:v>2.0000000000000011E-2</c:v>
                </c:pt>
                <c:pt idx="210">
                  <c:v>2.0000000000000011E-2</c:v>
                </c:pt>
                <c:pt idx="211">
                  <c:v>2.0000000000000011E-2</c:v>
                </c:pt>
                <c:pt idx="212">
                  <c:v>2.0000000000000011E-2</c:v>
                </c:pt>
                <c:pt idx="213">
                  <c:v>2.0000000000000011E-2</c:v>
                </c:pt>
                <c:pt idx="214">
                  <c:v>2.0000000000000011E-2</c:v>
                </c:pt>
                <c:pt idx="215">
                  <c:v>2.0000000000000011E-2</c:v>
                </c:pt>
                <c:pt idx="216">
                  <c:v>2.0000000000000011E-2</c:v>
                </c:pt>
                <c:pt idx="217">
                  <c:v>2.0000000000000011E-2</c:v>
                </c:pt>
                <c:pt idx="218">
                  <c:v>2.0000000000000011E-2</c:v>
                </c:pt>
                <c:pt idx="219">
                  <c:v>2.0000000000000011E-2</c:v>
                </c:pt>
                <c:pt idx="220">
                  <c:v>2.0000000000000011E-2</c:v>
                </c:pt>
                <c:pt idx="221">
                  <c:v>2.0000000000000011E-2</c:v>
                </c:pt>
                <c:pt idx="222">
                  <c:v>2.0000000000000011E-2</c:v>
                </c:pt>
                <c:pt idx="223">
                  <c:v>2.0000000000000011E-2</c:v>
                </c:pt>
                <c:pt idx="224">
                  <c:v>2.0000000000000011E-2</c:v>
                </c:pt>
                <c:pt idx="225">
                  <c:v>2.0000000000000011E-2</c:v>
                </c:pt>
                <c:pt idx="226">
                  <c:v>2.0000000000000011E-2</c:v>
                </c:pt>
                <c:pt idx="227">
                  <c:v>2.0000000000000011E-2</c:v>
                </c:pt>
                <c:pt idx="228">
                  <c:v>2.0000000000000011E-2</c:v>
                </c:pt>
                <c:pt idx="229">
                  <c:v>2.0000000000000011E-2</c:v>
                </c:pt>
                <c:pt idx="230">
                  <c:v>2.0000000000000011E-2</c:v>
                </c:pt>
                <c:pt idx="231">
                  <c:v>2.0000000000000011E-2</c:v>
                </c:pt>
                <c:pt idx="232">
                  <c:v>2.0000000000000011E-2</c:v>
                </c:pt>
                <c:pt idx="233">
                  <c:v>2.0000000000000011E-2</c:v>
                </c:pt>
                <c:pt idx="234">
                  <c:v>2.0000000000000011E-2</c:v>
                </c:pt>
                <c:pt idx="235">
                  <c:v>2.0000000000000011E-2</c:v>
                </c:pt>
                <c:pt idx="236">
                  <c:v>2.0000000000000011E-2</c:v>
                </c:pt>
                <c:pt idx="237">
                  <c:v>2.0000000000000011E-2</c:v>
                </c:pt>
                <c:pt idx="238">
                  <c:v>2.0000000000000011E-2</c:v>
                </c:pt>
                <c:pt idx="239">
                  <c:v>2.0000000000000011E-2</c:v>
                </c:pt>
                <c:pt idx="240">
                  <c:v>2.0000000000000011E-2</c:v>
                </c:pt>
                <c:pt idx="241">
                  <c:v>2.0000000000000011E-2</c:v>
                </c:pt>
                <c:pt idx="242">
                  <c:v>2.0000000000000011E-2</c:v>
                </c:pt>
                <c:pt idx="243">
                  <c:v>2.0000000000000011E-2</c:v>
                </c:pt>
                <c:pt idx="244">
                  <c:v>2.0000000000000011E-2</c:v>
                </c:pt>
                <c:pt idx="245">
                  <c:v>2.0000000000000011E-2</c:v>
                </c:pt>
                <c:pt idx="246">
                  <c:v>2.0000000000000011E-2</c:v>
                </c:pt>
                <c:pt idx="247">
                  <c:v>2.0000000000000011E-2</c:v>
                </c:pt>
                <c:pt idx="248">
                  <c:v>2.0000000000000011E-2</c:v>
                </c:pt>
                <c:pt idx="249">
                  <c:v>2.0000000000000011E-2</c:v>
                </c:pt>
                <c:pt idx="250">
                  <c:v>2.0000000000000011E-2</c:v>
                </c:pt>
                <c:pt idx="251">
                  <c:v>2.0000000000000011E-2</c:v>
                </c:pt>
                <c:pt idx="252">
                  <c:v>2.0000000000000011E-2</c:v>
                </c:pt>
                <c:pt idx="253">
                  <c:v>2.0000000000000011E-2</c:v>
                </c:pt>
                <c:pt idx="254">
                  <c:v>2.0000000000000011E-2</c:v>
                </c:pt>
                <c:pt idx="255">
                  <c:v>2.0000000000000011E-2</c:v>
                </c:pt>
                <c:pt idx="256">
                  <c:v>2.0000000000000011E-2</c:v>
                </c:pt>
                <c:pt idx="257">
                  <c:v>2.0000000000000011E-2</c:v>
                </c:pt>
                <c:pt idx="258">
                  <c:v>2.0000000000000011E-2</c:v>
                </c:pt>
                <c:pt idx="259">
                  <c:v>2.0000000000000011E-2</c:v>
                </c:pt>
                <c:pt idx="260">
                  <c:v>2.0000000000000011E-2</c:v>
                </c:pt>
                <c:pt idx="261">
                  <c:v>2.0000000000000011E-2</c:v>
                </c:pt>
                <c:pt idx="262">
                  <c:v>2.0000000000000011E-2</c:v>
                </c:pt>
                <c:pt idx="263">
                  <c:v>2.0000000000000011E-2</c:v>
                </c:pt>
                <c:pt idx="264">
                  <c:v>2.0000000000000011E-2</c:v>
                </c:pt>
                <c:pt idx="265">
                  <c:v>2.0000000000000011E-2</c:v>
                </c:pt>
                <c:pt idx="266">
                  <c:v>2.0000000000000011E-2</c:v>
                </c:pt>
                <c:pt idx="267">
                  <c:v>2.0000000000000011E-2</c:v>
                </c:pt>
                <c:pt idx="268">
                  <c:v>2.0000000000000011E-2</c:v>
                </c:pt>
                <c:pt idx="269">
                  <c:v>2.0000000000000011E-2</c:v>
                </c:pt>
                <c:pt idx="270">
                  <c:v>2.0000000000000011E-2</c:v>
                </c:pt>
                <c:pt idx="271">
                  <c:v>2.0000000000000011E-2</c:v>
                </c:pt>
                <c:pt idx="272">
                  <c:v>2.0000000000000011E-2</c:v>
                </c:pt>
                <c:pt idx="273">
                  <c:v>2.0000000000000011E-2</c:v>
                </c:pt>
                <c:pt idx="274">
                  <c:v>2.0000000000000011E-2</c:v>
                </c:pt>
                <c:pt idx="275">
                  <c:v>2.0000000000000011E-2</c:v>
                </c:pt>
                <c:pt idx="276">
                  <c:v>2.0000000000000011E-2</c:v>
                </c:pt>
                <c:pt idx="277">
                  <c:v>2.0000000000000011E-2</c:v>
                </c:pt>
                <c:pt idx="278">
                  <c:v>2.0000000000000011E-2</c:v>
                </c:pt>
                <c:pt idx="279">
                  <c:v>2.0000000000000011E-2</c:v>
                </c:pt>
                <c:pt idx="280">
                  <c:v>2.0000000000000011E-2</c:v>
                </c:pt>
                <c:pt idx="281">
                  <c:v>2.0000000000000011E-2</c:v>
                </c:pt>
                <c:pt idx="282">
                  <c:v>2.0000000000000011E-2</c:v>
                </c:pt>
                <c:pt idx="283">
                  <c:v>2.0000000000000011E-2</c:v>
                </c:pt>
                <c:pt idx="284">
                  <c:v>2.0000000000000011E-2</c:v>
                </c:pt>
                <c:pt idx="285">
                  <c:v>2.0000000000000011E-2</c:v>
                </c:pt>
                <c:pt idx="286">
                  <c:v>2.0000000000000011E-2</c:v>
                </c:pt>
                <c:pt idx="287">
                  <c:v>2.0000000000000011E-2</c:v>
                </c:pt>
                <c:pt idx="288">
                  <c:v>2.0000000000000011E-2</c:v>
                </c:pt>
                <c:pt idx="289">
                  <c:v>2.0000000000000011E-2</c:v>
                </c:pt>
                <c:pt idx="290">
                  <c:v>2.0000000000000011E-2</c:v>
                </c:pt>
                <c:pt idx="291">
                  <c:v>2.0000000000000011E-2</c:v>
                </c:pt>
                <c:pt idx="292">
                  <c:v>2.0000000000000011E-2</c:v>
                </c:pt>
                <c:pt idx="293">
                  <c:v>2.0000000000000011E-2</c:v>
                </c:pt>
                <c:pt idx="294">
                  <c:v>2.0000000000000011E-2</c:v>
                </c:pt>
                <c:pt idx="295">
                  <c:v>2.0000000000000011E-2</c:v>
                </c:pt>
                <c:pt idx="296">
                  <c:v>2.0000000000000011E-2</c:v>
                </c:pt>
                <c:pt idx="297">
                  <c:v>2.0000000000000011E-2</c:v>
                </c:pt>
                <c:pt idx="298">
                  <c:v>2.0000000000000011E-2</c:v>
                </c:pt>
                <c:pt idx="299">
                  <c:v>2.0000000000000011E-2</c:v>
                </c:pt>
                <c:pt idx="300">
                  <c:v>2.0000000000000011E-2</c:v>
                </c:pt>
                <c:pt idx="301">
                  <c:v>2.0000000000000011E-2</c:v>
                </c:pt>
                <c:pt idx="302">
                  <c:v>2.0000000000000011E-2</c:v>
                </c:pt>
                <c:pt idx="303">
                  <c:v>2.0000000000000011E-2</c:v>
                </c:pt>
                <c:pt idx="304">
                  <c:v>2.0000000000000011E-2</c:v>
                </c:pt>
                <c:pt idx="305">
                  <c:v>2.0000000000000011E-2</c:v>
                </c:pt>
                <c:pt idx="306">
                  <c:v>2.0000000000000011E-2</c:v>
                </c:pt>
                <c:pt idx="307">
                  <c:v>2.0000000000000011E-2</c:v>
                </c:pt>
                <c:pt idx="308">
                  <c:v>2.0000000000000011E-2</c:v>
                </c:pt>
                <c:pt idx="309">
                  <c:v>2.0000000000000011E-2</c:v>
                </c:pt>
                <c:pt idx="310">
                  <c:v>2.0000000000000011E-2</c:v>
                </c:pt>
                <c:pt idx="311">
                  <c:v>2.0000000000000011E-2</c:v>
                </c:pt>
                <c:pt idx="312">
                  <c:v>2.0000000000000011E-2</c:v>
                </c:pt>
                <c:pt idx="313">
                  <c:v>2.0000000000000011E-2</c:v>
                </c:pt>
                <c:pt idx="314">
                  <c:v>2.0000000000000011E-2</c:v>
                </c:pt>
                <c:pt idx="315">
                  <c:v>2.0000000000000011E-2</c:v>
                </c:pt>
                <c:pt idx="316">
                  <c:v>2.0000000000000011E-2</c:v>
                </c:pt>
                <c:pt idx="317">
                  <c:v>2.0000000000000011E-2</c:v>
                </c:pt>
                <c:pt idx="318">
                  <c:v>2.0000000000000011E-2</c:v>
                </c:pt>
                <c:pt idx="319">
                  <c:v>2.0000000000000011E-2</c:v>
                </c:pt>
                <c:pt idx="320">
                  <c:v>2.0000000000000011E-2</c:v>
                </c:pt>
                <c:pt idx="321">
                  <c:v>2.0000000000000011E-2</c:v>
                </c:pt>
                <c:pt idx="322">
                  <c:v>2.0000000000000011E-2</c:v>
                </c:pt>
                <c:pt idx="323">
                  <c:v>2.0000000000000011E-2</c:v>
                </c:pt>
                <c:pt idx="324">
                  <c:v>2.0000000000000011E-2</c:v>
                </c:pt>
                <c:pt idx="325">
                  <c:v>2.0000000000000011E-2</c:v>
                </c:pt>
                <c:pt idx="326">
                  <c:v>2.0000000000000011E-2</c:v>
                </c:pt>
                <c:pt idx="327">
                  <c:v>2.0000000000000011E-2</c:v>
                </c:pt>
                <c:pt idx="328">
                  <c:v>2.0000000000000011E-2</c:v>
                </c:pt>
                <c:pt idx="329">
                  <c:v>2.0000000000000011E-2</c:v>
                </c:pt>
                <c:pt idx="330">
                  <c:v>2.0000000000000011E-2</c:v>
                </c:pt>
                <c:pt idx="331">
                  <c:v>2.0000000000000011E-2</c:v>
                </c:pt>
                <c:pt idx="332">
                  <c:v>2.0000000000000011E-2</c:v>
                </c:pt>
                <c:pt idx="333">
                  <c:v>2.0000000000000011E-2</c:v>
                </c:pt>
                <c:pt idx="334">
                  <c:v>2.0000000000000011E-2</c:v>
                </c:pt>
                <c:pt idx="335">
                  <c:v>2.0000000000000011E-2</c:v>
                </c:pt>
                <c:pt idx="336">
                  <c:v>2.0000000000000011E-2</c:v>
                </c:pt>
                <c:pt idx="337">
                  <c:v>2.0000000000000011E-2</c:v>
                </c:pt>
                <c:pt idx="338">
                  <c:v>2.0000000000000011E-2</c:v>
                </c:pt>
                <c:pt idx="339">
                  <c:v>2.0000000000000011E-2</c:v>
                </c:pt>
                <c:pt idx="340">
                  <c:v>2.0000000000000011E-2</c:v>
                </c:pt>
                <c:pt idx="341">
                  <c:v>2.0000000000000011E-2</c:v>
                </c:pt>
                <c:pt idx="342">
                  <c:v>2.0000000000000011E-2</c:v>
                </c:pt>
                <c:pt idx="343">
                  <c:v>2.0000000000000011E-2</c:v>
                </c:pt>
                <c:pt idx="344">
                  <c:v>2.0000000000000011E-2</c:v>
                </c:pt>
                <c:pt idx="345">
                  <c:v>2.0000000000000011E-2</c:v>
                </c:pt>
                <c:pt idx="346">
                  <c:v>2.0000000000000011E-2</c:v>
                </c:pt>
                <c:pt idx="347">
                  <c:v>2.0000000000000011E-2</c:v>
                </c:pt>
                <c:pt idx="348">
                  <c:v>2.0000000000000011E-2</c:v>
                </c:pt>
                <c:pt idx="349">
                  <c:v>2.0000000000000011E-2</c:v>
                </c:pt>
                <c:pt idx="350">
                  <c:v>2.0000000000000011E-2</c:v>
                </c:pt>
                <c:pt idx="351">
                  <c:v>2.0000000000000011E-2</c:v>
                </c:pt>
                <c:pt idx="352">
                  <c:v>2.0000000000000011E-2</c:v>
                </c:pt>
                <c:pt idx="353">
                  <c:v>2.0000000000000011E-2</c:v>
                </c:pt>
                <c:pt idx="354">
                  <c:v>2.0000000000000011E-2</c:v>
                </c:pt>
                <c:pt idx="355">
                  <c:v>2.0000000000000011E-2</c:v>
                </c:pt>
                <c:pt idx="356">
                  <c:v>2.0000000000000011E-2</c:v>
                </c:pt>
                <c:pt idx="357">
                  <c:v>2.0000000000000011E-2</c:v>
                </c:pt>
                <c:pt idx="358">
                  <c:v>2.0000000000000011E-2</c:v>
                </c:pt>
                <c:pt idx="359">
                  <c:v>2.0000000000000011E-2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Лист1!$A$2:$A$361</c:f>
              <c:numCache>
                <c:formatCode>General</c:formatCode>
                <c:ptCount val="360"/>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Лист1!$E$2:$E$361</c:f>
              <c:numCache>
                <c:formatCode>General</c:formatCode>
                <c:ptCount val="360"/>
                <c:pt idx="0">
                  <c:v>6.0000000000000032E-2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pt idx="181">
                  <c:v>2.0000000000000011E-2</c:v>
                </c:pt>
                <c:pt idx="182">
                  <c:v>2.0000000000000011E-2</c:v>
                </c:pt>
                <c:pt idx="183">
                  <c:v>2.0000000000000011E-2</c:v>
                </c:pt>
                <c:pt idx="184">
                  <c:v>2.0000000000000011E-2</c:v>
                </c:pt>
                <c:pt idx="185">
                  <c:v>2.0000000000000011E-2</c:v>
                </c:pt>
                <c:pt idx="186">
                  <c:v>2.0000000000000011E-2</c:v>
                </c:pt>
                <c:pt idx="187">
                  <c:v>2.0000000000000011E-2</c:v>
                </c:pt>
                <c:pt idx="188">
                  <c:v>2.0000000000000011E-2</c:v>
                </c:pt>
                <c:pt idx="189">
                  <c:v>2.0000000000000011E-2</c:v>
                </c:pt>
                <c:pt idx="190">
                  <c:v>2.0000000000000011E-2</c:v>
                </c:pt>
                <c:pt idx="191">
                  <c:v>2.0000000000000011E-2</c:v>
                </c:pt>
                <c:pt idx="192">
                  <c:v>2.0000000000000011E-2</c:v>
                </c:pt>
                <c:pt idx="193">
                  <c:v>2.0000000000000011E-2</c:v>
                </c:pt>
                <c:pt idx="194">
                  <c:v>2.0000000000000011E-2</c:v>
                </c:pt>
                <c:pt idx="195">
                  <c:v>2.0000000000000011E-2</c:v>
                </c:pt>
                <c:pt idx="196">
                  <c:v>2.0000000000000011E-2</c:v>
                </c:pt>
                <c:pt idx="197">
                  <c:v>2.0000000000000011E-2</c:v>
                </c:pt>
                <c:pt idx="198">
                  <c:v>2.0000000000000011E-2</c:v>
                </c:pt>
                <c:pt idx="199">
                  <c:v>2.0000000000000011E-2</c:v>
                </c:pt>
                <c:pt idx="200">
                  <c:v>2.0000000000000011E-2</c:v>
                </c:pt>
                <c:pt idx="201">
                  <c:v>2.0000000000000011E-2</c:v>
                </c:pt>
                <c:pt idx="202">
                  <c:v>2.0000000000000011E-2</c:v>
                </c:pt>
                <c:pt idx="203">
                  <c:v>2.0000000000000011E-2</c:v>
                </c:pt>
                <c:pt idx="204">
                  <c:v>2.0000000000000011E-2</c:v>
                </c:pt>
                <c:pt idx="205">
                  <c:v>2.0000000000000011E-2</c:v>
                </c:pt>
                <c:pt idx="206">
                  <c:v>2.0000000000000011E-2</c:v>
                </c:pt>
                <c:pt idx="207">
                  <c:v>2.0000000000000011E-2</c:v>
                </c:pt>
                <c:pt idx="208">
                  <c:v>2.0000000000000011E-2</c:v>
                </c:pt>
                <c:pt idx="209">
                  <c:v>2.0000000000000011E-2</c:v>
                </c:pt>
                <c:pt idx="210">
                  <c:v>2.0000000000000011E-2</c:v>
                </c:pt>
                <c:pt idx="211">
                  <c:v>2.0000000000000011E-2</c:v>
                </c:pt>
                <c:pt idx="212">
                  <c:v>2.0000000000000011E-2</c:v>
                </c:pt>
                <c:pt idx="213">
                  <c:v>2.0000000000000011E-2</c:v>
                </c:pt>
                <c:pt idx="214">
                  <c:v>2.0000000000000011E-2</c:v>
                </c:pt>
                <c:pt idx="215">
                  <c:v>2.0000000000000011E-2</c:v>
                </c:pt>
                <c:pt idx="216">
                  <c:v>2.0000000000000011E-2</c:v>
                </c:pt>
                <c:pt idx="217">
                  <c:v>2.0000000000000011E-2</c:v>
                </c:pt>
                <c:pt idx="218">
                  <c:v>2.0000000000000011E-2</c:v>
                </c:pt>
                <c:pt idx="219">
                  <c:v>2.0000000000000011E-2</c:v>
                </c:pt>
                <c:pt idx="220">
                  <c:v>2.0000000000000011E-2</c:v>
                </c:pt>
                <c:pt idx="221">
                  <c:v>2.0000000000000011E-2</c:v>
                </c:pt>
                <c:pt idx="222">
                  <c:v>2.0000000000000011E-2</c:v>
                </c:pt>
                <c:pt idx="223">
                  <c:v>2.0000000000000011E-2</c:v>
                </c:pt>
                <c:pt idx="224">
                  <c:v>2.0000000000000011E-2</c:v>
                </c:pt>
                <c:pt idx="225">
                  <c:v>2.0000000000000011E-2</c:v>
                </c:pt>
                <c:pt idx="226">
                  <c:v>2.0000000000000011E-2</c:v>
                </c:pt>
                <c:pt idx="227">
                  <c:v>2.0000000000000011E-2</c:v>
                </c:pt>
                <c:pt idx="228">
                  <c:v>2.0000000000000011E-2</c:v>
                </c:pt>
                <c:pt idx="229">
                  <c:v>2.0000000000000011E-2</c:v>
                </c:pt>
                <c:pt idx="230">
                  <c:v>2.0000000000000011E-2</c:v>
                </c:pt>
                <c:pt idx="231">
                  <c:v>2.0000000000000011E-2</c:v>
                </c:pt>
                <c:pt idx="232">
                  <c:v>2.0000000000000011E-2</c:v>
                </c:pt>
                <c:pt idx="233">
                  <c:v>2.0000000000000011E-2</c:v>
                </c:pt>
                <c:pt idx="234">
                  <c:v>2.0000000000000011E-2</c:v>
                </c:pt>
                <c:pt idx="235">
                  <c:v>2.0000000000000011E-2</c:v>
                </c:pt>
                <c:pt idx="236">
                  <c:v>2.0000000000000011E-2</c:v>
                </c:pt>
                <c:pt idx="237">
                  <c:v>2.0000000000000011E-2</c:v>
                </c:pt>
                <c:pt idx="238">
                  <c:v>2.0000000000000011E-2</c:v>
                </c:pt>
                <c:pt idx="239">
                  <c:v>2.0000000000000011E-2</c:v>
                </c:pt>
                <c:pt idx="240">
                  <c:v>2.0000000000000011E-2</c:v>
                </c:pt>
                <c:pt idx="241">
                  <c:v>2.0000000000000011E-2</c:v>
                </c:pt>
                <c:pt idx="242">
                  <c:v>2.0000000000000011E-2</c:v>
                </c:pt>
                <c:pt idx="243">
                  <c:v>2.0000000000000011E-2</c:v>
                </c:pt>
                <c:pt idx="244">
                  <c:v>2.0000000000000011E-2</c:v>
                </c:pt>
                <c:pt idx="245">
                  <c:v>2.0000000000000011E-2</c:v>
                </c:pt>
                <c:pt idx="246">
                  <c:v>2.0000000000000011E-2</c:v>
                </c:pt>
                <c:pt idx="247">
                  <c:v>2.0000000000000011E-2</c:v>
                </c:pt>
                <c:pt idx="248">
                  <c:v>2.0000000000000011E-2</c:v>
                </c:pt>
                <c:pt idx="249">
                  <c:v>2.0000000000000011E-2</c:v>
                </c:pt>
                <c:pt idx="250">
                  <c:v>2.0000000000000011E-2</c:v>
                </c:pt>
                <c:pt idx="251">
                  <c:v>2.0000000000000011E-2</c:v>
                </c:pt>
                <c:pt idx="252">
                  <c:v>2.0000000000000011E-2</c:v>
                </c:pt>
                <c:pt idx="253">
                  <c:v>2.0000000000000011E-2</c:v>
                </c:pt>
                <c:pt idx="254">
                  <c:v>2.0000000000000011E-2</c:v>
                </c:pt>
                <c:pt idx="255">
                  <c:v>2.0000000000000011E-2</c:v>
                </c:pt>
                <c:pt idx="256">
                  <c:v>2.0000000000000011E-2</c:v>
                </c:pt>
                <c:pt idx="257">
                  <c:v>2.0000000000000011E-2</c:v>
                </c:pt>
                <c:pt idx="258">
                  <c:v>2.0000000000000011E-2</c:v>
                </c:pt>
                <c:pt idx="259">
                  <c:v>2.0000000000000011E-2</c:v>
                </c:pt>
                <c:pt idx="260">
                  <c:v>2.0000000000000011E-2</c:v>
                </c:pt>
                <c:pt idx="261">
                  <c:v>2.0000000000000011E-2</c:v>
                </c:pt>
                <c:pt idx="262">
                  <c:v>2.0000000000000011E-2</c:v>
                </c:pt>
                <c:pt idx="263">
                  <c:v>2.0000000000000011E-2</c:v>
                </c:pt>
                <c:pt idx="264">
                  <c:v>2.0000000000000011E-2</c:v>
                </c:pt>
                <c:pt idx="265">
                  <c:v>2.0000000000000011E-2</c:v>
                </c:pt>
                <c:pt idx="266">
                  <c:v>2.0000000000000011E-2</c:v>
                </c:pt>
                <c:pt idx="267">
                  <c:v>2.0000000000000011E-2</c:v>
                </c:pt>
                <c:pt idx="268">
                  <c:v>2.0000000000000011E-2</c:v>
                </c:pt>
                <c:pt idx="269">
                  <c:v>2.0000000000000011E-2</c:v>
                </c:pt>
                <c:pt idx="270">
                  <c:v>2.0000000000000011E-2</c:v>
                </c:pt>
                <c:pt idx="271">
                  <c:v>2.0000000000000011E-2</c:v>
                </c:pt>
                <c:pt idx="272">
                  <c:v>2.0000000000000011E-2</c:v>
                </c:pt>
                <c:pt idx="273">
                  <c:v>2.0000000000000011E-2</c:v>
                </c:pt>
                <c:pt idx="274">
                  <c:v>2.0000000000000011E-2</c:v>
                </c:pt>
                <c:pt idx="275">
                  <c:v>2.0000000000000011E-2</c:v>
                </c:pt>
                <c:pt idx="276">
                  <c:v>2.0000000000000011E-2</c:v>
                </c:pt>
                <c:pt idx="277">
                  <c:v>2.0000000000000011E-2</c:v>
                </c:pt>
                <c:pt idx="278">
                  <c:v>2.0000000000000011E-2</c:v>
                </c:pt>
                <c:pt idx="279">
                  <c:v>2.0000000000000011E-2</c:v>
                </c:pt>
                <c:pt idx="280">
                  <c:v>2.0000000000000011E-2</c:v>
                </c:pt>
                <c:pt idx="281">
                  <c:v>2.0000000000000011E-2</c:v>
                </c:pt>
                <c:pt idx="282">
                  <c:v>2.0000000000000011E-2</c:v>
                </c:pt>
                <c:pt idx="283">
                  <c:v>2.0000000000000011E-2</c:v>
                </c:pt>
                <c:pt idx="284">
                  <c:v>2.0000000000000011E-2</c:v>
                </c:pt>
                <c:pt idx="285">
                  <c:v>2.0000000000000011E-2</c:v>
                </c:pt>
                <c:pt idx="286">
                  <c:v>2.0000000000000011E-2</c:v>
                </c:pt>
                <c:pt idx="287">
                  <c:v>2.0000000000000011E-2</c:v>
                </c:pt>
                <c:pt idx="288">
                  <c:v>2.0000000000000011E-2</c:v>
                </c:pt>
                <c:pt idx="289">
                  <c:v>2.0000000000000011E-2</c:v>
                </c:pt>
                <c:pt idx="290">
                  <c:v>2.0000000000000011E-2</c:v>
                </c:pt>
                <c:pt idx="291">
                  <c:v>2.0000000000000011E-2</c:v>
                </c:pt>
                <c:pt idx="292">
                  <c:v>2.0000000000000011E-2</c:v>
                </c:pt>
                <c:pt idx="293">
                  <c:v>2.0000000000000011E-2</c:v>
                </c:pt>
                <c:pt idx="294">
                  <c:v>2.0000000000000011E-2</c:v>
                </c:pt>
                <c:pt idx="295">
                  <c:v>2.0000000000000011E-2</c:v>
                </c:pt>
                <c:pt idx="296">
                  <c:v>2.0000000000000011E-2</c:v>
                </c:pt>
                <c:pt idx="297">
                  <c:v>2.0000000000000011E-2</c:v>
                </c:pt>
                <c:pt idx="298">
                  <c:v>2.0000000000000011E-2</c:v>
                </c:pt>
                <c:pt idx="299">
                  <c:v>2.0000000000000011E-2</c:v>
                </c:pt>
                <c:pt idx="300">
                  <c:v>2.0000000000000011E-2</c:v>
                </c:pt>
                <c:pt idx="301">
                  <c:v>2.0000000000000011E-2</c:v>
                </c:pt>
                <c:pt idx="302">
                  <c:v>2.0000000000000011E-2</c:v>
                </c:pt>
                <c:pt idx="303">
                  <c:v>2.0000000000000011E-2</c:v>
                </c:pt>
                <c:pt idx="304">
                  <c:v>2.0000000000000011E-2</c:v>
                </c:pt>
                <c:pt idx="305">
                  <c:v>2.0000000000000011E-2</c:v>
                </c:pt>
                <c:pt idx="306">
                  <c:v>2.0000000000000011E-2</c:v>
                </c:pt>
                <c:pt idx="307">
                  <c:v>2.0000000000000011E-2</c:v>
                </c:pt>
                <c:pt idx="308">
                  <c:v>2.0000000000000011E-2</c:v>
                </c:pt>
                <c:pt idx="309">
                  <c:v>2.0000000000000011E-2</c:v>
                </c:pt>
                <c:pt idx="310">
                  <c:v>2.0000000000000011E-2</c:v>
                </c:pt>
                <c:pt idx="311">
                  <c:v>2.0000000000000011E-2</c:v>
                </c:pt>
                <c:pt idx="312">
                  <c:v>2.0000000000000011E-2</c:v>
                </c:pt>
                <c:pt idx="313">
                  <c:v>2.0000000000000011E-2</c:v>
                </c:pt>
                <c:pt idx="314">
                  <c:v>2.0000000000000011E-2</c:v>
                </c:pt>
                <c:pt idx="315">
                  <c:v>2.0000000000000011E-2</c:v>
                </c:pt>
                <c:pt idx="316">
                  <c:v>2.0000000000000011E-2</c:v>
                </c:pt>
                <c:pt idx="317">
                  <c:v>2.0000000000000011E-2</c:v>
                </c:pt>
                <c:pt idx="318">
                  <c:v>2.0000000000000011E-2</c:v>
                </c:pt>
                <c:pt idx="319">
                  <c:v>2.0000000000000011E-2</c:v>
                </c:pt>
                <c:pt idx="320">
                  <c:v>2.0000000000000011E-2</c:v>
                </c:pt>
                <c:pt idx="321">
                  <c:v>2.0000000000000011E-2</c:v>
                </c:pt>
                <c:pt idx="322">
                  <c:v>2.0000000000000011E-2</c:v>
                </c:pt>
                <c:pt idx="323">
                  <c:v>2.0000000000000011E-2</c:v>
                </c:pt>
                <c:pt idx="324">
                  <c:v>2.0000000000000011E-2</c:v>
                </c:pt>
                <c:pt idx="325">
                  <c:v>2.0000000000000011E-2</c:v>
                </c:pt>
                <c:pt idx="326">
                  <c:v>2.0000000000000011E-2</c:v>
                </c:pt>
                <c:pt idx="327">
                  <c:v>2.0000000000000011E-2</c:v>
                </c:pt>
                <c:pt idx="328">
                  <c:v>2.0000000000000011E-2</c:v>
                </c:pt>
                <c:pt idx="329">
                  <c:v>2.0000000000000011E-2</c:v>
                </c:pt>
                <c:pt idx="330">
                  <c:v>2.0000000000000011E-2</c:v>
                </c:pt>
                <c:pt idx="331">
                  <c:v>2.0000000000000011E-2</c:v>
                </c:pt>
                <c:pt idx="332">
                  <c:v>2.0000000000000011E-2</c:v>
                </c:pt>
                <c:pt idx="333">
                  <c:v>2.0000000000000011E-2</c:v>
                </c:pt>
                <c:pt idx="334">
                  <c:v>2.0000000000000011E-2</c:v>
                </c:pt>
                <c:pt idx="335">
                  <c:v>2.0000000000000011E-2</c:v>
                </c:pt>
                <c:pt idx="336">
                  <c:v>2.0000000000000011E-2</c:v>
                </c:pt>
                <c:pt idx="337">
                  <c:v>2.0000000000000011E-2</c:v>
                </c:pt>
                <c:pt idx="338">
                  <c:v>2.0000000000000011E-2</c:v>
                </c:pt>
                <c:pt idx="339">
                  <c:v>2.0000000000000011E-2</c:v>
                </c:pt>
                <c:pt idx="340">
                  <c:v>2.0000000000000011E-2</c:v>
                </c:pt>
                <c:pt idx="341">
                  <c:v>2.0000000000000011E-2</c:v>
                </c:pt>
                <c:pt idx="342">
                  <c:v>2.0000000000000011E-2</c:v>
                </c:pt>
                <c:pt idx="343">
                  <c:v>2.0000000000000011E-2</c:v>
                </c:pt>
                <c:pt idx="344">
                  <c:v>2.0000000000000011E-2</c:v>
                </c:pt>
                <c:pt idx="345">
                  <c:v>2.0000000000000011E-2</c:v>
                </c:pt>
                <c:pt idx="346">
                  <c:v>2.0000000000000011E-2</c:v>
                </c:pt>
                <c:pt idx="347">
                  <c:v>2.0000000000000011E-2</c:v>
                </c:pt>
                <c:pt idx="348">
                  <c:v>2.0000000000000011E-2</c:v>
                </c:pt>
                <c:pt idx="349">
                  <c:v>2.0000000000000011E-2</c:v>
                </c:pt>
                <c:pt idx="350">
                  <c:v>2.0000000000000011E-2</c:v>
                </c:pt>
                <c:pt idx="351">
                  <c:v>2.0000000000000011E-2</c:v>
                </c:pt>
                <c:pt idx="352">
                  <c:v>2.0000000000000011E-2</c:v>
                </c:pt>
                <c:pt idx="353">
                  <c:v>2.0000000000000011E-2</c:v>
                </c:pt>
                <c:pt idx="354">
                  <c:v>2.0000000000000011E-2</c:v>
                </c:pt>
                <c:pt idx="355">
                  <c:v>2.0000000000000011E-2</c:v>
                </c:pt>
                <c:pt idx="356">
                  <c:v>2.0000000000000011E-2</c:v>
                </c:pt>
                <c:pt idx="357">
                  <c:v>2.0000000000000011E-2</c:v>
                </c:pt>
                <c:pt idx="358">
                  <c:v>2.0000000000000011E-2</c:v>
                </c:pt>
                <c:pt idx="359">
                  <c:v>2.0000000000000011E-2</c:v>
                </c:pt>
              </c:numCache>
            </c:numRef>
          </c:yVal>
          <c:smooth val="0"/>
        </c:ser>
        <c:dLbls>
          <c:showLegendKey val="0"/>
          <c:showVal val="0"/>
          <c:showCatName val="0"/>
          <c:showSerName val="0"/>
          <c:showPercent val="0"/>
          <c:showBubbleSize val="0"/>
        </c:dLbls>
        <c:axId val="299955192"/>
        <c:axId val="299955584"/>
      </c:scatterChart>
      <c:valAx>
        <c:axId val="299955192"/>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0" baseline="0">
                    <a:effectLst/>
                  </a:rPr>
                  <a:t>az</a:t>
                </a:r>
                <a:r>
                  <a:rPr lang="en-US" sz="1200" b="1" i="0" baseline="-25000">
                    <a:effectLst/>
                  </a:rPr>
                  <a:t>FS-IMT</a:t>
                </a:r>
                <a:r>
                  <a:rPr lang="en-US" sz="1200" b="1" i="0" baseline="0">
                    <a:effectLst/>
                  </a:rPr>
                  <a:t>, degree</a:t>
                </a:r>
                <a:endParaRPr lang="ru-RU" sz="1200">
                  <a:effectLst/>
                </a:endParaRPr>
              </a:p>
            </c:rich>
          </c:tx>
          <c:layout/>
          <c:overlay val="0"/>
        </c:title>
        <c:numFmt formatCode="General" sourceLinked="1"/>
        <c:majorTickMark val="none"/>
        <c:minorTickMark val="none"/>
        <c:tickLblPos val="low"/>
        <c:crossAx val="299955584"/>
        <c:crosses val="autoZero"/>
        <c:crossBetween val="midCat"/>
        <c:majorUnit val="10"/>
        <c:minorUnit val="1"/>
      </c:valAx>
      <c:valAx>
        <c:axId val="299955584"/>
        <c:scaling>
          <c:logBase val="10"/>
          <c:orientation val="minMax"/>
          <c:max val="0.2"/>
          <c:min val="1.0000000000000005E-2"/>
        </c:scaling>
        <c:delete val="0"/>
        <c:axPos val="l"/>
        <c:majorGridlines/>
        <c:minorGridlines/>
        <c:title>
          <c:tx>
            <c:rich>
              <a:bodyPr rot="-5400000" vert="horz"/>
              <a:lstStyle/>
              <a:p>
                <a:pPr>
                  <a:defRPr/>
                </a:pPr>
                <a:r>
                  <a:rPr lang="en-US" sz="1200" b="1" i="0" baseline="0">
                    <a:effectLst/>
                  </a:rPr>
                  <a:t>d</a:t>
                </a:r>
                <a:r>
                  <a:rPr lang="en-US" sz="1200" b="1" i="0" baseline="-25000">
                    <a:effectLst/>
                  </a:rPr>
                  <a:t>FS-IMT, </a:t>
                </a:r>
                <a:r>
                  <a:rPr lang="en-US" sz="1200" b="1" i="0" baseline="0">
                    <a:effectLst/>
                  </a:rPr>
                  <a:t>km</a:t>
                </a:r>
                <a:endParaRPr lang="ru-RU" sz="1200">
                  <a:effectLst/>
                </a:endParaRPr>
              </a:p>
            </c:rich>
          </c:tx>
          <c:layout>
            <c:manualLayout>
              <c:xMode val="edge"/>
              <c:yMode val="edge"/>
              <c:x val="3.0476190476190577E-2"/>
              <c:y val="0.40740971817663607"/>
            </c:manualLayout>
          </c:layout>
          <c:overlay val="0"/>
        </c:title>
        <c:numFmt formatCode="General" sourceLinked="1"/>
        <c:majorTickMark val="none"/>
        <c:minorTickMark val="none"/>
        <c:tickLblPos val="low"/>
        <c:spPr>
          <a:ln>
            <a:solidFill>
              <a:schemeClr val="tx1"/>
            </a:solidFill>
          </a:ln>
        </c:spPr>
        <c:crossAx val="299955192"/>
        <c:crosses val="autoZero"/>
        <c:crossBetween val="midCat"/>
        <c:majorUnit val="2.0000000000000011E-2"/>
        <c:minorUnit val="1.0000000000000005E-2"/>
      </c:valAx>
      <c:spPr>
        <a:noFill/>
        <a:ln>
          <a:solidFill>
            <a:schemeClr val="tx1"/>
          </a:solidFill>
        </a:ln>
      </c:spPr>
    </c:plotArea>
    <c:legend>
      <c:legendPos val="l"/>
      <c:layout>
        <c:manualLayout>
          <c:xMode val="edge"/>
          <c:yMode val="edge"/>
          <c:x val="0.53604304643266742"/>
          <c:y val="0.31396588552922666"/>
          <c:w val="0.27906599757931838"/>
          <c:h val="0.18272837846488701"/>
        </c:manualLayout>
      </c:layout>
      <c:overlay val="1"/>
      <c:spPr>
        <a:solidFill>
          <a:schemeClr val="bg1"/>
        </a:solidFill>
      </c:spPr>
      <c:txPr>
        <a:bodyPr/>
        <a:lstStyle/>
        <a:p>
          <a:pPr>
            <a:defRPr sz="700"/>
          </a:pPr>
          <a:endParaRPr lang="en-US"/>
        </a:p>
      </c:txPr>
    </c:legend>
    <c:plotVisOnly val="1"/>
    <c:dispBlanksAs val="gap"/>
    <c:showDLblsOverMax val="0"/>
  </c:chart>
  <c:spPr>
    <a:ln w="15875">
      <a:solidFill>
        <a:sysClr val="windowText" lastClr="000000"/>
      </a:solid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fr-FR" sz="700" b="1" i="1" baseline="0">
                <a:effectLst/>
              </a:rPr>
              <a:t>C</a:t>
            </a:r>
            <a:r>
              <a:rPr lang="fr-FR" sz="700" b="1" i="0" baseline="0">
                <a:effectLst/>
              </a:rPr>
              <a:t>/</a:t>
            </a:r>
            <a:r>
              <a:rPr lang="fr-FR" sz="700" b="1" i="1" baseline="0">
                <a:effectLst/>
              </a:rPr>
              <a:t>I</a:t>
            </a:r>
            <a:r>
              <a:rPr lang="fr-FR" sz="700" b="1" i="0" baseline="0">
                <a:effectLst/>
              </a:rPr>
              <a:t>) </a:t>
            </a:r>
            <a:r>
              <a:rPr lang="en-GB" sz="700" b="1" i="1" baseline="-25000">
                <a:effectLst/>
              </a:rPr>
              <a:t>required</a:t>
            </a:r>
            <a:r>
              <a:rPr lang="fr-FR" sz="700" b="1" i="0" baseline="0">
                <a:effectLst/>
              </a:rPr>
              <a:t>  = 55 dB; </a:t>
            </a:r>
            <a:endParaRPr lang="ru-RU" sz="700">
              <a:effectLst/>
            </a:endParaRPr>
          </a:p>
          <a:p>
            <a:pPr algn="l">
              <a:defRPr sz="700"/>
            </a:pPr>
            <a:r>
              <a:rPr lang="fr-FR" sz="700" b="1" i="0" baseline="0">
                <a:effectLst/>
              </a:rPr>
              <a:t>Channel Separation 29.65 MHz;     </a:t>
            </a:r>
            <a:endParaRPr lang="ru-RU" sz="700">
              <a:effectLst/>
            </a:endParaRPr>
          </a:p>
          <a:p>
            <a:pPr algn="l">
              <a:defRPr sz="700"/>
            </a:pPr>
            <a:r>
              <a:rPr lang="en-GB" sz="700" b="1" i="0" baseline="0">
                <a:effectLst/>
              </a:rPr>
              <a:t>Co‑channel (</a:t>
            </a:r>
            <a:r>
              <a:rPr lang="en-US" sz="700" b="1" i="1" baseline="0">
                <a:effectLst/>
              </a:rPr>
              <a:t>MD</a:t>
            </a:r>
            <a:r>
              <a:rPr lang="en-US" sz="700" b="1" i="0" baseline="0">
                <a:effectLst/>
              </a:rPr>
              <a:t> +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0 dB); </a:t>
            </a:r>
            <a:r>
              <a:rPr lang="ru-RU" sz="700" b="1" i="0" baseline="0">
                <a:effectLst/>
              </a:rPr>
              <a:t> </a:t>
            </a:r>
            <a:endParaRPr lang="ru-RU" sz="700">
              <a:effectLst/>
            </a:endParaRPr>
          </a:p>
          <a:p>
            <a:pPr algn="l">
              <a:defRPr sz="700"/>
            </a:pPr>
            <a:r>
              <a:rPr lang="ru-RU" sz="700" b="1" i="0" baseline="0">
                <a:effectLst/>
              </a:rPr>
              <a:t> </a:t>
            </a:r>
            <a:r>
              <a:rPr lang="en-GB" sz="700" b="1" i="1" baseline="0">
                <a:effectLst/>
              </a:rPr>
              <a:t>a</a:t>
            </a:r>
            <a:r>
              <a:rPr lang="en-GB" sz="700" b="1" i="1" baseline="-25000">
                <a:effectLst/>
              </a:rPr>
              <a:t>indoor</a:t>
            </a:r>
            <a:r>
              <a:rPr lang="en-GB" sz="700" b="1" i="0" baseline="0">
                <a:effectLst/>
              </a:rPr>
              <a:t> = 25 dB;   </a:t>
            </a:r>
            <a:r>
              <a:rPr lang="en-GB" sz="700" b="1" i="1" baseline="0">
                <a:effectLst/>
              </a:rPr>
              <a:t>A</a:t>
            </a:r>
            <a:r>
              <a:rPr lang="en-GB" sz="700" b="1" i="1" baseline="-25000">
                <a:effectLst/>
              </a:rPr>
              <a:t>hTx</a:t>
            </a:r>
            <a:r>
              <a:rPr lang="en-GB" sz="700" b="1" i="0" baseline="0">
                <a:effectLst/>
              </a:rPr>
              <a:t> = 10 dB </a:t>
            </a:r>
            <a:endParaRPr lang="ru-RU" sz="700">
              <a:effectLst/>
            </a:endParaRPr>
          </a:p>
        </c:rich>
      </c:tx>
      <c:layout>
        <c:manualLayout>
          <c:xMode val="edge"/>
          <c:yMode val="edge"/>
          <c:x val="0.11730971128608952"/>
          <c:y val="7.5209348831395937E-4"/>
        </c:manualLayout>
      </c:layout>
      <c:overlay val="0"/>
    </c:title>
    <c:autoTitleDeleted val="0"/>
    <c:plotArea>
      <c:layout>
        <c:manualLayout>
          <c:layoutTarget val="inner"/>
          <c:xMode val="edge"/>
          <c:yMode val="edge"/>
          <c:x val="0.1127993419836608"/>
          <c:y val="0.1648312710911137"/>
          <c:w val="0.84670770026986064"/>
          <c:h val="0.66462285964254686"/>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0.46</c:v>
                </c:pt>
                <c:pt idx="1">
                  <c:v>8.0000000000000043E-2</c:v>
                </c:pt>
                <c:pt idx="2">
                  <c:v>4.0000000000000022E-2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1.4</c:v>
                </c:pt>
                <c:pt idx="1">
                  <c:v>0.30000000000000032</c:v>
                </c:pt>
                <c:pt idx="2">
                  <c:v>8.0000000000000043E-2</c:v>
                </c:pt>
                <c:pt idx="3">
                  <c:v>4.0000000000000022E-2</c:v>
                </c:pt>
                <c:pt idx="4">
                  <c:v>4.0000000000000022E-2</c:v>
                </c:pt>
                <c:pt idx="5">
                  <c:v>4.0000000000000022E-2</c:v>
                </c:pt>
                <c:pt idx="6">
                  <c:v>4.0000000000000022E-2</c:v>
                </c:pt>
                <c:pt idx="7">
                  <c:v>4.0000000000000022E-2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2.34</c:v>
                </c:pt>
                <c:pt idx="1">
                  <c:v>0.5</c:v>
                </c:pt>
                <c:pt idx="2">
                  <c:v>0.18000000000000024</c:v>
                </c:pt>
                <c:pt idx="3">
                  <c:v>8.0000000000000043E-2</c:v>
                </c:pt>
                <c:pt idx="4">
                  <c:v>8.0000000000000043E-2</c:v>
                </c:pt>
                <c:pt idx="5">
                  <c:v>4.0000000000000022E-2</c:v>
                </c:pt>
                <c:pt idx="6">
                  <c:v>4.0000000000000022E-2</c:v>
                </c:pt>
                <c:pt idx="7">
                  <c:v>4.0000000000000022E-2</c:v>
                </c:pt>
                <c:pt idx="8">
                  <c:v>4.0000000000000022E-2</c:v>
                </c:pt>
                <c:pt idx="9">
                  <c:v>4.0000000000000022E-2</c:v>
                </c:pt>
                <c:pt idx="10">
                  <c:v>4.0000000000000022E-2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3.3</c:v>
                </c:pt>
                <c:pt idx="1">
                  <c:v>0.70000000000000062</c:v>
                </c:pt>
                <c:pt idx="2">
                  <c:v>0.24000000000000021</c:v>
                </c:pt>
                <c:pt idx="3">
                  <c:v>0.14000000000000001</c:v>
                </c:pt>
                <c:pt idx="4">
                  <c:v>8.0000000000000043E-2</c:v>
                </c:pt>
                <c:pt idx="5">
                  <c:v>8.0000000000000043E-2</c:v>
                </c:pt>
                <c:pt idx="6">
                  <c:v>4.0000000000000022E-2</c:v>
                </c:pt>
                <c:pt idx="7">
                  <c:v>4.0000000000000022E-2</c:v>
                </c:pt>
                <c:pt idx="8">
                  <c:v>4.0000000000000022E-2</c:v>
                </c:pt>
                <c:pt idx="9">
                  <c:v>4.0000000000000022E-2</c:v>
                </c:pt>
                <c:pt idx="10">
                  <c:v>4.0000000000000022E-2</c:v>
                </c:pt>
                <c:pt idx="11">
                  <c:v>4.0000000000000022E-2</c:v>
                </c:pt>
                <c:pt idx="12">
                  <c:v>4.0000000000000022E-2</c:v>
                </c:pt>
                <c:pt idx="13">
                  <c:v>4.0000000000000022E-2</c:v>
                </c:pt>
                <c:pt idx="14">
                  <c:v>4.0000000000000022E-2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299956368"/>
        <c:axId val="299956760"/>
      </c:scatterChart>
      <c:valAx>
        <c:axId val="299956368"/>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overlay val="0"/>
        </c:title>
        <c:numFmt formatCode="0.0" sourceLinked="1"/>
        <c:majorTickMark val="none"/>
        <c:minorTickMark val="none"/>
        <c:tickLblPos val="low"/>
        <c:crossAx val="299956760"/>
        <c:crosses val="autoZero"/>
        <c:crossBetween val="midCat"/>
        <c:majorUnit val="10"/>
        <c:minorUnit val="10"/>
      </c:valAx>
      <c:valAx>
        <c:axId val="299956760"/>
        <c:scaling>
          <c:logBase val="10"/>
          <c:orientation val="minMax"/>
          <c:max val="10"/>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FS-IMT</a:t>
                </a:r>
                <a:r>
                  <a:rPr lang="en-US" sz="1200" b="1" i="1" baseline="0">
                    <a:effectLst/>
                  </a:rPr>
                  <a:t> </a:t>
                </a:r>
                <a:r>
                  <a:rPr lang="en-US" sz="1200" b="1" i="0" baseline="0">
                    <a:effectLst/>
                  </a:rPr>
                  <a:t>(km</a:t>
                </a:r>
                <a:r>
                  <a:rPr lang="en-GB" sz="1200" b="1" i="0" baseline="0">
                    <a:effectLst/>
                  </a:rPr>
                  <a:t>)</a:t>
                </a:r>
                <a:endParaRPr lang="ru-RU" sz="1200">
                  <a:effectLst/>
                </a:endParaRPr>
              </a:p>
            </c:rich>
          </c:tx>
          <c:layout>
            <c:manualLayout>
              <c:xMode val="edge"/>
              <c:yMode val="edge"/>
              <c:x val="2.0652702822259576E-3"/>
              <c:y val="0.36962015843818802"/>
            </c:manualLayout>
          </c:layout>
          <c:overlay val="0"/>
        </c:title>
        <c:numFmt formatCode="General" sourceLinked="1"/>
        <c:majorTickMark val="none"/>
        <c:minorTickMark val="none"/>
        <c:tickLblPos val="low"/>
        <c:crossAx val="299956368"/>
        <c:crosses val="autoZero"/>
        <c:crossBetween val="midCat"/>
        <c:majorUnit val="1"/>
        <c:minorUnit val="1.0000000000000005E-2"/>
      </c:valAx>
    </c:plotArea>
    <c:legend>
      <c:legendPos val="l"/>
      <c:layout>
        <c:manualLayout>
          <c:xMode val="edge"/>
          <c:yMode val="edge"/>
          <c:x val="0.58533769546412329"/>
          <c:y val="0.19375890981208393"/>
          <c:w val="0.3235612361835053"/>
          <c:h val="0.13928014609146486"/>
        </c:manualLayout>
      </c:layout>
      <c:overlay val="1"/>
      <c:spPr>
        <a:solidFill>
          <a:schemeClr val="bg1"/>
        </a:solidFill>
      </c:spPr>
      <c:txPr>
        <a:bodyPr/>
        <a:lstStyle/>
        <a:p>
          <a:pPr>
            <a:defRPr sz="700"/>
          </a:pPr>
          <a:endParaRPr lang="en-US"/>
        </a:p>
      </c:txPr>
    </c:legend>
    <c:plotVisOnly val="1"/>
    <c:dispBlanksAs val="gap"/>
    <c:showDLblsOverMax val="0"/>
  </c:chart>
  <c:spPr>
    <a:ln w="15875">
      <a:solidFill>
        <a:sysClr val="windowText" lastClr="000000"/>
      </a:solid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fr-FR" sz="700" b="1" i="1" baseline="0">
                <a:effectLst/>
              </a:rPr>
              <a:t>C</a:t>
            </a:r>
            <a:r>
              <a:rPr lang="fr-FR" sz="700" b="1" i="0" baseline="0">
                <a:effectLst/>
              </a:rPr>
              <a:t>/</a:t>
            </a:r>
            <a:r>
              <a:rPr lang="fr-FR" sz="700" b="1" i="1" baseline="0">
                <a:effectLst/>
              </a:rPr>
              <a:t>I</a:t>
            </a:r>
            <a:r>
              <a:rPr lang="fr-FR" sz="700" b="1" i="0" baseline="0">
                <a:effectLst/>
              </a:rPr>
              <a:t>) </a:t>
            </a:r>
            <a:r>
              <a:rPr lang="en-GB" sz="700" b="1" i="1" baseline="-25000">
                <a:effectLst/>
              </a:rPr>
              <a:t>required</a:t>
            </a:r>
            <a:r>
              <a:rPr lang="fr-FR" sz="700" b="1" i="0" baseline="0">
                <a:effectLst/>
              </a:rPr>
              <a:t>  = 55 dB; </a:t>
            </a:r>
            <a:endParaRPr lang="ru-RU" sz="700">
              <a:effectLst/>
            </a:endParaRPr>
          </a:p>
          <a:p>
            <a:pPr algn="l">
              <a:defRPr sz="700"/>
            </a:pPr>
            <a:r>
              <a:rPr lang="fr-FR" sz="700" b="1" i="0" baseline="0">
                <a:effectLst/>
              </a:rPr>
              <a:t>Channel Separation 29.65  MHz;     </a:t>
            </a:r>
            <a:endParaRPr lang="ru-RU" sz="700">
              <a:effectLst/>
            </a:endParaRPr>
          </a:p>
          <a:p>
            <a:pPr algn="l">
              <a:defRPr sz="700"/>
            </a:pPr>
            <a:r>
              <a:rPr lang="en-GB" sz="700" b="1" i="0" baseline="0">
                <a:effectLst/>
              </a:rPr>
              <a:t>First adjacent channel</a:t>
            </a:r>
            <a:r>
              <a:rPr lang="ru-RU" sz="700" b="1" i="0" baseline="0">
                <a:effectLst/>
              </a:rPr>
              <a:t> </a:t>
            </a:r>
            <a:r>
              <a:rPr lang="en-GB" sz="700" b="1" i="0" baseline="0">
                <a:effectLst/>
              </a:rPr>
              <a:t> (</a:t>
            </a:r>
            <a:r>
              <a:rPr lang="en-US" sz="700" b="1" i="1" baseline="0">
                <a:effectLst/>
              </a:rPr>
              <a:t>MD</a:t>
            </a:r>
            <a:r>
              <a:rPr lang="en-US" sz="700" b="1" i="0" baseline="0">
                <a:effectLst/>
              </a:rPr>
              <a:t> +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a:t>
            </a:r>
            <a:r>
              <a:rPr lang="ru-RU" sz="700" b="1" i="0" baseline="0">
                <a:effectLst/>
              </a:rPr>
              <a:t>45</a:t>
            </a:r>
            <a:r>
              <a:rPr lang="en-US" sz="700" b="1" i="0" baseline="0">
                <a:effectLst/>
              </a:rPr>
              <a:t> dB);</a:t>
            </a:r>
            <a:endParaRPr lang="ru-RU" sz="700">
              <a:effectLst/>
            </a:endParaRPr>
          </a:p>
          <a:p>
            <a:pPr algn="l">
              <a:defRPr sz="700"/>
            </a:pPr>
            <a:r>
              <a:rPr lang="ru-RU" sz="700" b="1" i="0" baseline="0">
                <a:effectLst/>
              </a:rPr>
              <a:t> </a:t>
            </a:r>
            <a:r>
              <a:rPr lang="en-GB" sz="700" b="1" i="1" baseline="0">
                <a:effectLst/>
              </a:rPr>
              <a:t>a</a:t>
            </a:r>
            <a:r>
              <a:rPr lang="en-GB" sz="700" b="1" i="1" baseline="-25000">
                <a:effectLst/>
              </a:rPr>
              <a:t>indoor</a:t>
            </a:r>
            <a:r>
              <a:rPr lang="en-GB" sz="700" b="1" i="1" baseline="0">
                <a:effectLst/>
              </a:rPr>
              <a:t> </a:t>
            </a:r>
            <a:r>
              <a:rPr lang="en-GB" sz="700" b="1" i="0" baseline="0">
                <a:effectLst/>
              </a:rPr>
              <a:t>= 25 dB;  </a:t>
            </a:r>
            <a:r>
              <a:rPr lang="en-GB" sz="700" b="1" i="1" baseline="0">
                <a:effectLst/>
              </a:rPr>
              <a:t>A</a:t>
            </a:r>
            <a:r>
              <a:rPr lang="en-GB" sz="700" b="1" i="1" baseline="-25000">
                <a:effectLst/>
              </a:rPr>
              <a:t>hTx</a:t>
            </a:r>
            <a:r>
              <a:rPr lang="en-GB" sz="700" b="1" i="0" baseline="0">
                <a:effectLst/>
              </a:rPr>
              <a:t> = 10 dB </a:t>
            </a:r>
            <a:endParaRPr lang="ru-RU" sz="700">
              <a:effectLst/>
            </a:endParaRPr>
          </a:p>
        </c:rich>
      </c:tx>
      <c:layout>
        <c:manualLayout>
          <c:xMode val="edge"/>
          <c:yMode val="edge"/>
          <c:x val="9.4134597611918253E-2"/>
          <c:y val="0"/>
        </c:manualLayout>
      </c:layout>
      <c:overlay val="0"/>
    </c:title>
    <c:autoTitleDeleted val="0"/>
    <c:plotArea>
      <c:layout>
        <c:manualLayout>
          <c:layoutTarget val="inner"/>
          <c:xMode val="edge"/>
          <c:yMode val="edge"/>
          <c:x val="8.6815829359358263E-2"/>
          <c:y val="0.15386215147927557"/>
          <c:w val="0.84746977930575551"/>
          <c:h val="0.71314152556706067"/>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619284952"/>
        <c:axId val="619285344"/>
      </c:scatterChart>
      <c:valAx>
        <c:axId val="619284952"/>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manualLayout>
              <c:xMode val="edge"/>
              <c:yMode val="edge"/>
              <c:x val="0.36158062756200421"/>
              <c:y val="0.92654077609462548"/>
            </c:manualLayout>
          </c:layout>
          <c:overlay val="0"/>
        </c:title>
        <c:numFmt formatCode="0.0" sourceLinked="1"/>
        <c:majorTickMark val="none"/>
        <c:minorTickMark val="none"/>
        <c:tickLblPos val="low"/>
        <c:crossAx val="619285344"/>
        <c:crosses val="autoZero"/>
        <c:crossBetween val="midCat"/>
        <c:majorUnit val="10"/>
        <c:minorUnit val="1"/>
      </c:valAx>
      <c:valAx>
        <c:axId val="619285344"/>
        <c:scaling>
          <c:logBase val="10"/>
          <c:orientation val="minMax"/>
          <c:max val="0.2"/>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FS-IMT </a:t>
                </a:r>
                <a:r>
                  <a:rPr lang="en-US" sz="1200" b="1" i="0" baseline="0">
                    <a:effectLst/>
                  </a:rPr>
                  <a:t>(km)</a:t>
                </a:r>
                <a:endParaRPr lang="ru-RU" sz="1200">
                  <a:effectLst/>
                </a:endParaRPr>
              </a:p>
            </c:rich>
          </c:tx>
          <c:layout>
            <c:manualLayout>
              <c:xMode val="edge"/>
              <c:yMode val="edge"/>
              <c:x val="4.727174201539416E-3"/>
              <c:y val="0.39910916924967282"/>
            </c:manualLayout>
          </c:layout>
          <c:overlay val="0"/>
        </c:title>
        <c:numFmt formatCode="General" sourceLinked="1"/>
        <c:majorTickMark val="none"/>
        <c:minorTickMark val="none"/>
        <c:tickLblPos val="low"/>
        <c:spPr>
          <a:ln>
            <a:solidFill>
              <a:schemeClr val="tx1"/>
            </a:solidFill>
          </a:ln>
        </c:spPr>
        <c:crossAx val="619284952"/>
        <c:crosses val="autoZero"/>
        <c:crossBetween val="midCat"/>
        <c:majorUnit val="2.0000000000000011E-2"/>
        <c:minorUnit val="1.0000000000000005E-2"/>
      </c:valAx>
      <c:spPr>
        <a:noFill/>
        <a:ln>
          <a:solidFill>
            <a:schemeClr val="tx1"/>
          </a:solidFill>
        </a:ln>
      </c:spPr>
    </c:plotArea>
    <c:legend>
      <c:legendPos val="l"/>
      <c:layout>
        <c:manualLayout>
          <c:xMode val="edge"/>
          <c:yMode val="edge"/>
          <c:x val="0.57082448612462766"/>
          <c:y val="0.18779078222194626"/>
          <c:w val="0.30491608443310786"/>
          <c:h val="0.14614298511015494"/>
        </c:manualLayout>
      </c:layout>
      <c:overlay val="1"/>
      <c:spPr>
        <a:solidFill>
          <a:schemeClr val="bg1"/>
        </a:solidFill>
      </c:spPr>
      <c:txPr>
        <a:bodyPr/>
        <a:lstStyle/>
        <a:p>
          <a:pPr>
            <a:defRPr sz="700"/>
          </a:pPr>
          <a:endParaRPr lang="en-US"/>
        </a:p>
      </c:txPr>
    </c:legend>
    <c:plotVisOnly val="1"/>
    <c:dispBlanksAs val="gap"/>
    <c:showDLblsOverMax val="0"/>
  </c:chart>
  <c:spPr>
    <a:ln w="15875">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114537766112565E-2"/>
          <c:y val="5.0053886121377691E-2"/>
          <c:w val="0.87470490667833511"/>
          <c:h val="0.85266441694788409"/>
        </c:manualLayout>
      </c:layout>
      <c:scatterChart>
        <c:scatterStyle val="lineMarker"/>
        <c:varyColors val="0"/>
        <c:ser>
          <c:idx val="0"/>
          <c:order val="0"/>
          <c:tx>
            <c:strRef>
              <c:f>Лист1!$B$1</c:f>
              <c:strCache>
                <c:ptCount val="1"/>
                <c:pt idx="0">
                  <c:v>Gmax= 38 dB, Rec. ITU-R F. 1245</c:v>
                </c:pt>
              </c:strCache>
            </c:strRef>
          </c:tx>
          <c:spPr>
            <a:ln>
              <a:solidFill>
                <a:srgbClr val="FF0000"/>
              </a:solidFill>
            </a:ln>
          </c:spPr>
          <c:marker>
            <c:symbol val="none"/>
          </c:marker>
          <c:xVal>
            <c:numRef>
              <c:f>Лист1!$A$2:$A$362</c:f>
              <c:numCache>
                <c:formatCode>General</c:formatCode>
                <c:ptCount val="361"/>
                <c:pt idx="0">
                  <c:v>0.1</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pt idx="201">
                  <c:v>100.5</c:v>
                </c:pt>
                <c:pt idx="202">
                  <c:v>101</c:v>
                </c:pt>
                <c:pt idx="203">
                  <c:v>101.5</c:v>
                </c:pt>
                <c:pt idx="204">
                  <c:v>102</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110</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120</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130</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140</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150</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160</c:v>
                </c:pt>
                <c:pt idx="321">
                  <c:v>160.5</c:v>
                </c:pt>
                <c:pt idx="322">
                  <c:v>161</c:v>
                </c:pt>
                <c:pt idx="323">
                  <c:v>161.5</c:v>
                </c:pt>
                <c:pt idx="324">
                  <c:v>162</c:v>
                </c:pt>
                <c:pt idx="325">
                  <c:v>162.5</c:v>
                </c:pt>
                <c:pt idx="326">
                  <c:v>163</c:v>
                </c:pt>
                <c:pt idx="327">
                  <c:v>163.5</c:v>
                </c:pt>
                <c:pt idx="328">
                  <c:v>164</c:v>
                </c:pt>
                <c:pt idx="329">
                  <c:v>164.5</c:v>
                </c:pt>
                <c:pt idx="330">
                  <c:v>165</c:v>
                </c:pt>
                <c:pt idx="331">
                  <c:v>165.5</c:v>
                </c:pt>
                <c:pt idx="332">
                  <c:v>166</c:v>
                </c:pt>
                <c:pt idx="333">
                  <c:v>166.5</c:v>
                </c:pt>
                <c:pt idx="334">
                  <c:v>167</c:v>
                </c:pt>
                <c:pt idx="335">
                  <c:v>167.5</c:v>
                </c:pt>
                <c:pt idx="336">
                  <c:v>168</c:v>
                </c:pt>
                <c:pt idx="337">
                  <c:v>168.5</c:v>
                </c:pt>
                <c:pt idx="338">
                  <c:v>169</c:v>
                </c:pt>
                <c:pt idx="339">
                  <c:v>169.5</c:v>
                </c:pt>
                <c:pt idx="340">
                  <c:v>170</c:v>
                </c:pt>
                <c:pt idx="341">
                  <c:v>170.5</c:v>
                </c:pt>
                <c:pt idx="342">
                  <c:v>171</c:v>
                </c:pt>
                <c:pt idx="343">
                  <c:v>171.5</c:v>
                </c:pt>
                <c:pt idx="344">
                  <c:v>172</c:v>
                </c:pt>
                <c:pt idx="345">
                  <c:v>172.5</c:v>
                </c:pt>
                <c:pt idx="346">
                  <c:v>173</c:v>
                </c:pt>
                <c:pt idx="347">
                  <c:v>173.5</c:v>
                </c:pt>
                <c:pt idx="348">
                  <c:v>174</c:v>
                </c:pt>
                <c:pt idx="349">
                  <c:v>174.5</c:v>
                </c:pt>
                <c:pt idx="350">
                  <c:v>175</c:v>
                </c:pt>
                <c:pt idx="351">
                  <c:v>175.5</c:v>
                </c:pt>
                <c:pt idx="352">
                  <c:v>176</c:v>
                </c:pt>
                <c:pt idx="353">
                  <c:v>176.5</c:v>
                </c:pt>
                <c:pt idx="354">
                  <c:v>177</c:v>
                </c:pt>
                <c:pt idx="355">
                  <c:v>177.5</c:v>
                </c:pt>
                <c:pt idx="356">
                  <c:v>178</c:v>
                </c:pt>
                <c:pt idx="357">
                  <c:v>178.5</c:v>
                </c:pt>
                <c:pt idx="358">
                  <c:v>179</c:v>
                </c:pt>
                <c:pt idx="359">
                  <c:v>179.5</c:v>
                </c:pt>
                <c:pt idx="360">
                  <c:v>180</c:v>
                </c:pt>
              </c:numCache>
            </c:numRef>
          </c:xVal>
          <c:yVal>
            <c:numRef>
              <c:f>Лист1!$B$2:$B$362</c:f>
              <c:numCache>
                <c:formatCode>General</c:formatCode>
                <c:ptCount val="361"/>
                <c:pt idx="0">
                  <c:v>38</c:v>
                </c:pt>
                <c:pt idx="1">
                  <c:v>37.33</c:v>
                </c:pt>
                <c:pt idx="2">
                  <c:v>35.32</c:v>
                </c:pt>
                <c:pt idx="3">
                  <c:v>31.97</c:v>
                </c:pt>
                <c:pt idx="4">
                  <c:v>27.279999999999987</c:v>
                </c:pt>
                <c:pt idx="5">
                  <c:v>24.73</c:v>
                </c:pt>
                <c:pt idx="6">
                  <c:v>24.73</c:v>
                </c:pt>
                <c:pt idx="7">
                  <c:v>17.82</c:v>
                </c:pt>
                <c:pt idx="8">
                  <c:v>16.37</c:v>
                </c:pt>
                <c:pt idx="9">
                  <c:v>15.09</c:v>
                </c:pt>
                <c:pt idx="10">
                  <c:v>13.950000000000006</c:v>
                </c:pt>
                <c:pt idx="11">
                  <c:v>12.92</c:v>
                </c:pt>
                <c:pt idx="12">
                  <c:v>11.97</c:v>
                </c:pt>
                <c:pt idx="13">
                  <c:v>11.1</c:v>
                </c:pt>
                <c:pt idx="14">
                  <c:v>10.3</c:v>
                </c:pt>
                <c:pt idx="15">
                  <c:v>9.5479999999999983</c:v>
                </c:pt>
                <c:pt idx="16">
                  <c:v>8.847999999999999</c:v>
                </c:pt>
                <c:pt idx="17">
                  <c:v>8.19</c:v>
                </c:pt>
                <c:pt idx="18">
                  <c:v>7.569</c:v>
                </c:pt>
                <c:pt idx="19">
                  <c:v>6.9820000000000002</c:v>
                </c:pt>
                <c:pt idx="20">
                  <c:v>6.4249999999999945</c:v>
                </c:pt>
                <c:pt idx="21">
                  <c:v>5.8949999999999871</c:v>
                </c:pt>
                <c:pt idx="22">
                  <c:v>5.39</c:v>
                </c:pt>
                <c:pt idx="23">
                  <c:v>4.9080000000000004</c:v>
                </c:pt>
                <c:pt idx="24">
                  <c:v>4.4450000000000003</c:v>
                </c:pt>
                <c:pt idx="25">
                  <c:v>4.0019999999999998</c:v>
                </c:pt>
                <c:pt idx="26">
                  <c:v>3.5759999999999987</c:v>
                </c:pt>
                <c:pt idx="27">
                  <c:v>3.1669999999999998</c:v>
                </c:pt>
                <c:pt idx="28">
                  <c:v>2.7719999999999998</c:v>
                </c:pt>
                <c:pt idx="29">
                  <c:v>2.3909999999999987</c:v>
                </c:pt>
                <c:pt idx="30">
                  <c:v>2.0230000000000001</c:v>
                </c:pt>
                <c:pt idx="31">
                  <c:v>1.667</c:v>
                </c:pt>
                <c:pt idx="32">
                  <c:v>1.3220000000000001</c:v>
                </c:pt>
                <c:pt idx="33">
                  <c:v>0.9879</c:v>
                </c:pt>
                <c:pt idx="34">
                  <c:v>0.66380000000000206</c:v>
                </c:pt>
                <c:pt idx="35">
                  <c:v>0.34900000000000031</c:v>
                </c:pt>
                <c:pt idx="36">
                  <c:v>4.3189999999999985E-2</c:v>
                </c:pt>
                <c:pt idx="37">
                  <c:v>-0.25430000000000008</c:v>
                </c:pt>
                <c:pt idx="38">
                  <c:v>-0.54379999999999995</c:v>
                </c:pt>
                <c:pt idx="39">
                  <c:v>-0.82590000000000063</c:v>
                </c:pt>
                <c:pt idx="40">
                  <c:v>-1.101</c:v>
                </c:pt>
                <c:pt idx="41">
                  <c:v>-1.369</c:v>
                </c:pt>
                <c:pt idx="42">
                  <c:v>-1.6300000000000001</c:v>
                </c:pt>
                <c:pt idx="43">
                  <c:v>-1.8859999999999968</c:v>
                </c:pt>
                <c:pt idx="44">
                  <c:v>-2.1359999999999997</c:v>
                </c:pt>
                <c:pt idx="45">
                  <c:v>-2.38</c:v>
                </c:pt>
                <c:pt idx="46">
                  <c:v>-2.6179999999999999</c:v>
                </c:pt>
                <c:pt idx="47">
                  <c:v>-2.8519999999999968</c:v>
                </c:pt>
                <c:pt idx="48">
                  <c:v>-3.08</c:v>
                </c:pt>
                <c:pt idx="49">
                  <c:v>-3.3039999999999998</c:v>
                </c:pt>
                <c:pt idx="50">
                  <c:v>-3.524</c:v>
                </c:pt>
                <c:pt idx="51">
                  <c:v>-3.7389999999999999</c:v>
                </c:pt>
                <c:pt idx="52">
                  <c:v>-3.9489999999999998</c:v>
                </c:pt>
                <c:pt idx="53">
                  <c:v>-4.1559999999999881</c:v>
                </c:pt>
                <c:pt idx="54">
                  <c:v>-4.359</c:v>
                </c:pt>
                <c:pt idx="55">
                  <c:v>-4.5579999999999945</c:v>
                </c:pt>
                <c:pt idx="56">
                  <c:v>-4.7539999999999996</c:v>
                </c:pt>
                <c:pt idx="57">
                  <c:v>-4.9459999999999997</c:v>
                </c:pt>
                <c:pt idx="58">
                  <c:v>-5.1349999999999945</c:v>
                </c:pt>
                <c:pt idx="59">
                  <c:v>-5.3209999999999882</c:v>
                </c:pt>
                <c:pt idx="60">
                  <c:v>-5.5030000000000001</c:v>
                </c:pt>
                <c:pt idx="61">
                  <c:v>-5.6819999999999995</c:v>
                </c:pt>
                <c:pt idx="62">
                  <c:v>-5.859</c:v>
                </c:pt>
                <c:pt idx="63">
                  <c:v>-6.0330000000000004</c:v>
                </c:pt>
                <c:pt idx="64">
                  <c:v>-6.2039999999999997</c:v>
                </c:pt>
                <c:pt idx="65">
                  <c:v>-6.3719999999999999</c:v>
                </c:pt>
                <c:pt idx="66">
                  <c:v>-6.5380000000000003</c:v>
                </c:pt>
                <c:pt idx="67">
                  <c:v>-6.7009999999999996</c:v>
                </c:pt>
                <c:pt idx="68">
                  <c:v>-6.8619999999999965</c:v>
                </c:pt>
                <c:pt idx="69">
                  <c:v>-7.02</c:v>
                </c:pt>
                <c:pt idx="70">
                  <c:v>-7.1769999999999996</c:v>
                </c:pt>
                <c:pt idx="71">
                  <c:v>-7.3310000000000004</c:v>
                </c:pt>
                <c:pt idx="72">
                  <c:v>-7.4829999999999997</c:v>
                </c:pt>
                <c:pt idx="73">
                  <c:v>-7.6319999999999997</c:v>
                </c:pt>
                <c:pt idx="74">
                  <c:v>-7.78</c:v>
                </c:pt>
                <c:pt idx="75">
                  <c:v>-7.9260000000000002</c:v>
                </c:pt>
                <c:pt idx="76">
                  <c:v>-8.07</c:v>
                </c:pt>
                <c:pt idx="77">
                  <c:v>-8.2119999999999997</c:v>
                </c:pt>
                <c:pt idx="78">
                  <c:v>-8.3520000000000287</c:v>
                </c:pt>
                <c:pt idx="79">
                  <c:v>-8.49</c:v>
                </c:pt>
                <c:pt idx="80">
                  <c:v>-8.6260000000000012</c:v>
                </c:pt>
                <c:pt idx="81">
                  <c:v>-8.761000000000001</c:v>
                </c:pt>
                <c:pt idx="82">
                  <c:v>-8.8950000000000067</c:v>
                </c:pt>
                <c:pt idx="83">
                  <c:v>-9.0260000000000016</c:v>
                </c:pt>
                <c:pt idx="84">
                  <c:v>-9.1560000000000006</c:v>
                </c:pt>
                <c:pt idx="85">
                  <c:v>-9.2850000000000001</c:v>
                </c:pt>
                <c:pt idx="86">
                  <c:v>-9.4120000000000008</c:v>
                </c:pt>
                <c:pt idx="87">
                  <c:v>-9.536999999999999</c:v>
                </c:pt>
                <c:pt idx="88">
                  <c:v>-9.6610000000000014</c:v>
                </c:pt>
                <c:pt idx="89">
                  <c:v>-9.7839999999999989</c:v>
                </c:pt>
                <c:pt idx="90">
                  <c:v>-9.9050000000000047</c:v>
                </c:pt>
                <c:pt idx="91">
                  <c:v>-10.030000000000001</c:v>
                </c:pt>
                <c:pt idx="92">
                  <c:v>-10.139999999999999</c:v>
                </c:pt>
                <c:pt idx="93">
                  <c:v>-10.26</c:v>
                </c:pt>
                <c:pt idx="94">
                  <c:v>-10.38</c:v>
                </c:pt>
                <c:pt idx="95">
                  <c:v>-10.49</c:v>
                </c:pt>
                <c:pt idx="96">
                  <c:v>-10.58</c:v>
                </c:pt>
                <c:pt idx="97">
                  <c:v>-10.58</c:v>
                </c:pt>
                <c:pt idx="98">
                  <c:v>-10.58</c:v>
                </c:pt>
                <c:pt idx="99">
                  <c:v>-10.58</c:v>
                </c:pt>
                <c:pt idx="100">
                  <c:v>-10.58</c:v>
                </c:pt>
                <c:pt idx="101">
                  <c:v>-10.58</c:v>
                </c:pt>
                <c:pt idx="102">
                  <c:v>-10.58</c:v>
                </c:pt>
                <c:pt idx="103">
                  <c:v>-10.58</c:v>
                </c:pt>
                <c:pt idx="104">
                  <c:v>-10.58</c:v>
                </c:pt>
                <c:pt idx="105">
                  <c:v>-10.58</c:v>
                </c:pt>
                <c:pt idx="106">
                  <c:v>-10.58</c:v>
                </c:pt>
                <c:pt idx="107">
                  <c:v>-10.58</c:v>
                </c:pt>
                <c:pt idx="108">
                  <c:v>-10.58</c:v>
                </c:pt>
                <c:pt idx="109">
                  <c:v>-10.58</c:v>
                </c:pt>
                <c:pt idx="110">
                  <c:v>-10.58</c:v>
                </c:pt>
                <c:pt idx="111">
                  <c:v>-10.58</c:v>
                </c:pt>
                <c:pt idx="112">
                  <c:v>-10.58</c:v>
                </c:pt>
                <c:pt idx="113">
                  <c:v>-10.58</c:v>
                </c:pt>
                <c:pt idx="114">
                  <c:v>-10.58</c:v>
                </c:pt>
                <c:pt idx="115">
                  <c:v>-10.58</c:v>
                </c:pt>
                <c:pt idx="116">
                  <c:v>-10.58</c:v>
                </c:pt>
                <c:pt idx="117">
                  <c:v>-10.58</c:v>
                </c:pt>
                <c:pt idx="118">
                  <c:v>-10.58</c:v>
                </c:pt>
                <c:pt idx="119">
                  <c:v>-10.58</c:v>
                </c:pt>
                <c:pt idx="120">
                  <c:v>-10.58</c:v>
                </c:pt>
                <c:pt idx="121">
                  <c:v>-10.58</c:v>
                </c:pt>
                <c:pt idx="122">
                  <c:v>-10.58</c:v>
                </c:pt>
                <c:pt idx="123">
                  <c:v>-10.58</c:v>
                </c:pt>
                <c:pt idx="124">
                  <c:v>-10.58</c:v>
                </c:pt>
                <c:pt idx="125">
                  <c:v>-10.58</c:v>
                </c:pt>
                <c:pt idx="126">
                  <c:v>-10.58</c:v>
                </c:pt>
                <c:pt idx="127">
                  <c:v>-10.58</c:v>
                </c:pt>
                <c:pt idx="128">
                  <c:v>-10.58</c:v>
                </c:pt>
                <c:pt idx="129">
                  <c:v>-10.58</c:v>
                </c:pt>
                <c:pt idx="130">
                  <c:v>-10.58</c:v>
                </c:pt>
                <c:pt idx="131">
                  <c:v>-10.58</c:v>
                </c:pt>
                <c:pt idx="132">
                  <c:v>-10.58</c:v>
                </c:pt>
                <c:pt idx="133">
                  <c:v>-10.58</c:v>
                </c:pt>
                <c:pt idx="134">
                  <c:v>-10.58</c:v>
                </c:pt>
                <c:pt idx="135">
                  <c:v>-10.58</c:v>
                </c:pt>
                <c:pt idx="136">
                  <c:v>-10.58</c:v>
                </c:pt>
                <c:pt idx="137">
                  <c:v>-10.58</c:v>
                </c:pt>
                <c:pt idx="138">
                  <c:v>-10.58</c:v>
                </c:pt>
                <c:pt idx="139">
                  <c:v>-10.58</c:v>
                </c:pt>
                <c:pt idx="140">
                  <c:v>-10.58</c:v>
                </c:pt>
                <c:pt idx="141">
                  <c:v>-10.58</c:v>
                </c:pt>
                <c:pt idx="142">
                  <c:v>-10.58</c:v>
                </c:pt>
                <c:pt idx="143">
                  <c:v>-10.58</c:v>
                </c:pt>
                <c:pt idx="144">
                  <c:v>-10.58</c:v>
                </c:pt>
                <c:pt idx="145">
                  <c:v>-10.58</c:v>
                </c:pt>
                <c:pt idx="146">
                  <c:v>-10.58</c:v>
                </c:pt>
                <c:pt idx="147">
                  <c:v>-10.58</c:v>
                </c:pt>
                <c:pt idx="148">
                  <c:v>-10.58</c:v>
                </c:pt>
                <c:pt idx="149">
                  <c:v>-10.58</c:v>
                </c:pt>
                <c:pt idx="150">
                  <c:v>-10.58</c:v>
                </c:pt>
                <c:pt idx="151">
                  <c:v>-10.58</c:v>
                </c:pt>
                <c:pt idx="152">
                  <c:v>-10.58</c:v>
                </c:pt>
                <c:pt idx="153">
                  <c:v>-10.58</c:v>
                </c:pt>
                <c:pt idx="154">
                  <c:v>-10.58</c:v>
                </c:pt>
                <c:pt idx="155">
                  <c:v>-10.58</c:v>
                </c:pt>
                <c:pt idx="156">
                  <c:v>-10.58</c:v>
                </c:pt>
                <c:pt idx="157">
                  <c:v>-10.58</c:v>
                </c:pt>
                <c:pt idx="158">
                  <c:v>-10.58</c:v>
                </c:pt>
                <c:pt idx="159">
                  <c:v>-10.58</c:v>
                </c:pt>
                <c:pt idx="160">
                  <c:v>-10.58</c:v>
                </c:pt>
                <c:pt idx="161">
                  <c:v>-10.58</c:v>
                </c:pt>
                <c:pt idx="162">
                  <c:v>-10.58</c:v>
                </c:pt>
                <c:pt idx="163">
                  <c:v>-10.58</c:v>
                </c:pt>
                <c:pt idx="164">
                  <c:v>-10.58</c:v>
                </c:pt>
                <c:pt idx="165">
                  <c:v>-10.58</c:v>
                </c:pt>
                <c:pt idx="166">
                  <c:v>-10.58</c:v>
                </c:pt>
                <c:pt idx="167">
                  <c:v>-10.58</c:v>
                </c:pt>
                <c:pt idx="168">
                  <c:v>-10.58</c:v>
                </c:pt>
                <c:pt idx="169">
                  <c:v>-10.58</c:v>
                </c:pt>
                <c:pt idx="170">
                  <c:v>-10.58</c:v>
                </c:pt>
                <c:pt idx="171">
                  <c:v>-10.58</c:v>
                </c:pt>
                <c:pt idx="172">
                  <c:v>-10.58</c:v>
                </c:pt>
                <c:pt idx="173">
                  <c:v>-10.58</c:v>
                </c:pt>
                <c:pt idx="174">
                  <c:v>-10.58</c:v>
                </c:pt>
                <c:pt idx="175">
                  <c:v>-10.58</c:v>
                </c:pt>
                <c:pt idx="176">
                  <c:v>-10.58</c:v>
                </c:pt>
                <c:pt idx="177">
                  <c:v>-10.58</c:v>
                </c:pt>
                <c:pt idx="178">
                  <c:v>-10.58</c:v>
                </c:pt>
                <c:pt idx="179">
                  <c:v>-10.58</c:v>
                </c:pt>
                <c:pt idx="180">
                  <c:v>-10.58</c:v>
                </c:pt>
                <c:pt idx="181">
                  <c:v>-10.58</c:v>
                </c:pt>
                <c:pt idx="182">
                  <c:v>-10.58</c:v>
                </c:pt>
                <c:pt idx="183">
                  <c:v>-10.58</c:v>
                </c:pt>
                <c:pt idx="184">
                  <c:v>-10.58</c:v>
                </c:pt>
                <c:pt idx="185">
                  <c:v>-10.58</c:v>
                </c:pt>
                <c:pt idx="186">
                  <c:v>-10.58</c:v>
                </c:pt>
                <c:pt idx="187">
                  <c:v>-10.58</c:v>
                </c:pt>
                <c:pt idx="188">
                  <c:v>-10.58</c:v>
                </c:pt>
                <c:pt idx="189">
                  <c:v>-10.58</c:v>
                </c:pt>
                <c:pt idx="190">
                  <c:v>-10.58</c:v>
                </c:pt>
                <c:pt idx="191">
                  <c:v>-10.58</c:v>
                </c:pt>
                <c:pt idx="192">
                  <c:v>-10.58</c:v>
                </c:pt>
                <c:pt idx="193">
                  <c:v>-10.58</c:v>
                </c:pt>
                <c:pt idx="194">
                  <c:v>-10.58</c:v>
                </c:pt>
                <c:pt idx="195">
                  <c:v>-10.58</c:v>
                </c:pt>
                <c:pt idx="196">
                  <c:v>-10.58</c:v>
                </c:pt>
                <c:pt idx="197">
                  <c:v>-10.58</c:v>
                </c:pt>
                <c:pt idx="198">
                  <c:v>-10.58</c:v>
                </c:pt>
                <c:pt idx="199">
                  <c:v>-10.58</c:v>
                </c:pt>
                <c:pt idx="200">
                  <c:v>-10.58</c:v>
                </c:pt>
                <c:pt idx="201">
                  <c:v>-10.58</c:v>
                </c:pt>
                <c:pt idx="202">
                  <c:v>-10.58</c:v>
                </c:pt>
                <c:pt idx="203">
                  <c:v>-10.58</c:v>
                </c:pt>
                <c:pt idx="204">
                  <c:v>-10.58</c:v>
                </c:pt>
                <c:pt idx="205">
                  <c:v>-10.58</c:v>
                </c:pt>
                <c:pt idx="206">
                  <c:v>-10.58</c:v>
                </c:pt>
                <c:pt idx="207">
                  <c:v>-10.58</c:v>
                </c:pt>
                <c:pt idx="208">
                  <c:v>-10.58</c:v>
                </c:pt>
                <c:pt idx="209">
                  <c:v>-10.58</c:v>
                </c:pt>
                <c:pt idx="210">
                  <c:v>-10.58</c:v>
                </c:pt>
                <c:pt idx="211">
                  <c:v>-10.58</c:v>
                </c:pt>
                <c:pt idx="212">
                  <c:v>-10.58</c:v>
                </c:pt>
                <c:pt idx="213">
                  <c:v>-10.58</c:v>
                </c:pt>
                <c:pt idx="214">
                  <c:v>-10.58</c:v>
                </c:pt>
                <c:pt idx="215">
                  <c:v>-10.58</c:v>
                </c:pt>
                <c:pt idx="216">
                  <c:v>-10.58</c:v>
                </c:pt>
                <c:pt idx="217">
                  <c:v>-10.58</c:v>
                </c:pt>
                <c:pt idx="218">
                  <c:v>-10.58</c:v>
                </c:pt>
                <c:pt idx="219">
                  <c:v>-10.58</c:v>
                </c:pt>
                <c:pt idx="220">
                  <c:v>-10.58</c:v>
                </c:pt>
                <c:pt idx="221">
                  <c:v>-10.58</c:v>
                </c:pt>
                <c:pt idx="222">
                  <c:v>-10.58</c:v>
                </c:pt>
                <c:pt idx="223">
                  <c:v>-10.58</c:v>
                </c:pt>
                <c:pt idx="224">
                  <c:v>-10.58</c:v>
                </c:pt>
                <c:pt idx="225">
                  <c:v>-10.58</c:v>
                </c:pt>
                <c:pt idx="226">
                  <c:v>-10.58</c:v>
                </c:pt>
                <c:pt idx="227">
                  <c:v>-10.58</c:v>
                </c:pt>
                <c:pt idx="228">
                  <c:v>-10.58</c:v>
                </c:pt>
                <c:pt idx="229">
                  <c:v>-10.58</c:v>
                </c:pt>
                <c:pt idx="230">
                  <c:v>-10.58</c:v>
                </c:pt>
                <c:pt idx="231">
                  <c:v>-10.58</c:v>
                </c:pt>
                <c:pt idx="232">
                  <c:v>-10.58</c:v>
                </c:pt>
                <c:pt idx="233">
                  <c:v>-10.58</c:v>
                </c:pt>
                <c:pt idx="234">
                  <c:v>-10.58</c:v>
                </c:pt>
                <c:pt idx="235">
                  <c:v>-10.58</c:v>
                </c:pt>
                <c:pt idx="236">
                  <c:v>-10.58</c:v>
                </c:pt>
                <c:pt idx="237">
                  <c:v>-10.58</c:v>
                </c:pt>
                <c:pt idx="238">
                  <c:v>-10.58</c:v>
                </c:pt>
                <c:pt idx="239">
                  <c:v>-10.58</c:v>
                </c:pt>
                <c:pt idx="240">
                  <c:v>-10.58</c:v>
                </c:pt>
                <c:pt idx="241">
                  <c:v>-10.58</c:v>
                </c:pt>
                <c:pt idx="242">
                  <c:v>-10.58</c:v>
                </c:pt>
                <c:pt idx="243">
                  <c:v>-10.58</c:v>
                </c:pt>
                <c:pt idx="244">
                  <c:v>-10.58</c:v>
                </c:pt>
                <c:pt idx="245">
                  <c:v>-10.58</c:v>
                </c:pt>
                <c:pt idx="246">
                  <c:v>-10.58</c:v>
                </c:pt>
                <c:pt idx="247">
                  <c:v>-10.58</c:v>
                </c:pt>
                <c:pt idx="248">
                  <c:v>-10.58</c:v>
                </c:pt>
                <c:pt idx="249">
                  <c:v>-10.58</c:v>
                </c:pt>
                <c:pt idx="250">
                  <c:v>-10.58</c:v>
                </c:pt>
                <c:pt idx="251">
                  <c:v>-10.58</c:v>
                </c:pt>
                <c:pt idx="252">
                  <c:v>-10.58</c:v>
                </c:pt>
                <c:pt idx="253">
                  <c:v>-10.58</c:v>
                </c:pt>
                <c:pt idx="254">
                  <c:v>-10.58</c:v>
                </c:pt>
                <c:pt idx="255">
                  <c:v>-10.58</c:v>
                </c:pt>
                <c:pt idx="256">
                  <c:v>-10.58</c:v>
                </c:pt>
                <c:pt idx="257">
                  <c:v>-10.58</c:v>
                </c:pt>
                <c:pt idx="258">
                  <c:v>-10.58</c:v>
                </c:pt>
                <c:pt idx="259">
                  <c:v>-10.58</c:v>
                </c:pt>
                <c:pt idx="260">
                  <c:v>-10.58</c:v>
                </c:pt>
                <c:pt idx="261">
                  <c:v>-10.58</c:v>
                </c:pt>
                <c:pt idx="262">
                  <c:v>-10.58</c:v>
                </c:pt>
                <c:pt idx="263">
                  <c:v>-10.58</c:v>
                </c:pt>
                <c:pt idx="264">
                  <c:v>-10.58</c:v>
                </c:pt>
                <c:pt idx="265">
                  <c:v>-10.58</c:v>
                </c:pt>
                <c:pt idx="266">
                  <c:v>-10.58</c:v>
                </c:pt>
                <c:pt idx="267">
                  <c:v>-10.58</c:v>
                </c:pt>
                <c:pt idx="268">
                  <c:v>-10.58</c:v>
                </c:pt>
                <c:pt idx="269">
                  <c:v>-10.58</c:v>
                </c:pt>
                <c:pt idx="270">
                  <c:v>-10.58</c:v>
                </c:pt>
                <c:pt idx="271">
                  <c:v>-10.58</c:v>
                </c:pt>
                <c:pt idx="272">
                  <c:v>-10.58</c:v>
                </c:pt>
                <c:pt idx="273">
                  <c:v>-10.58</c:v>
                </c:pt>
                <c:pt idx="274">
                  <c:v>-10.58</c:v>
                </c:pt>
                <c:pt idx="275">
                  <c:v>-10.58</c:v>
                </c:pt>
                <c:pt idx="276">
                  <c:v>-10.58</c:v>
                </c:pt>
                <c:pt idx="277">
                  <c:v>-10.58</c:v>
                </c:pt>
                <c:pt idx="278">
                  <c:v>-10.58</c:v>
                </c:pt>
                <c:pt idx="279">
                  <c:v>-10.58</c:v>
                </c:pt>
                <c:pt idx="280">
                  <c:v>-10.58</c:v>
                </c:pt>
                <c:pt idx="281">
                  <c:v>-10.58</c:v>
                </c:pt>
                <c:pt idx="282">
                  <c:v>-10.58</c:v>
                </c:pt>
                <c:pt idx="283">
                  <c:v>-10.58</c:v>
                </c:pt>
                <c:pt idx="284">
                  <c:v>-10.58</c:v>
                </c:pt>
                <c:pt idx="285">
                  <c:v>-10.58</c:v>
                </c:pt>
                <c:pt idx="286">
                  <c:v>-10.58</c:v>
                </c:pt>
                <c:pt idx="287">
                  <c:v>-10.58</c:v>
                </c:pt>
                <c:pt idx="288">
                  <c:v>-10.58</c:v>
                </c:pt>
                <c:pt idx="289">
                  <c:v>-10.58</c:v>
                </c:pt>
                <c:pt idx="290">
                  <c:v>-10.58</c:v>
                </c:pt>
                <c:pt idx="291">
                  <c:v>-10.58</c:v>
                </c:pt>
                <c:pt idx="292">
                  <c:v>-10.58</c:v>
                </c:pt>
                <c:pt idx="293">
                  <c:v>-10.58</c:v>
                </c:pt>
                <c:pt idx="294">
                  <c:v>-10.58</c:v>
                </c:pt>
                <c:pt idx="295">
                  <c:v>-10.58</c:v>
                </c:pt>
                <c:pt idx="296">
                  <c:v>-10.58</c:v>
                </c:pt>
                <c:pt idx="297">
                  <c:v>-10.58</c:v>
                </c:pt>
                <c:pt idx="298">
                  <c:v>-10.58</c:v>
                </c:pt>
                <c:pt idx="299">
                  <c:v>-10.58</c:v>
                </c:pt>
                <c:pt idx="300">
                  <c:v>-10.58</c:v>
                </c:pt>
                <c:pt idx="301">
                  <c:v>-10.58</c:v>
                </c:pt>
                <c:pt idx="302">
                  <c:v>-10.58</c:v>
                </c:pt>
                <c:pt idx="303">
                  <c:v>-10.58</c:v>
                </c:pt>
                <c:pt idx="304">
                  <c:v>-10.58</c:v>
                </c:pt>
                <c:pt idx="305">
                  <c:v>-10.58</c:v>
                </c:pt>
                <c:pt idx="306">
                  <c:v>-10.58</c:v>
                </c:pt>
                <c:pt idx="307">
                  <c:v>-10.58</c:v>
                </c:pt>
                <c:pt idx="308">
                  <c:v>-10.58</c:v>
                </c:pt>
                <c:pt idx="309">
                  <c:v>-10.58</c:v>
                </c:pt>
                <c:pt idx="310">
                  <c:v>-10.58</c:v>
                </c:pt>
                <c:pt idx="311">
                  <c:v>-10.58</c:v>
                </c:pt>
                <c:pt idx="312">
                  <c:v>-10.58</c:v>
                </c:pt>
                <c:pt idx="313">
                  <c:v>-10.58</c:v>
                </c:pt>
                <c:pt idx="314">
                  <c:v>-10.58</c:v>
                </c:pt>
                <c:pt idx="315">
                  <c:v>-10.58</c:v>
                </c:pt>
                <c:pt idx="316">
                  <c:v>-10.58</c:v>
                </c:pt>
                <c:pt idx="317">
                  <c:v>-10.58</c:v>
                </c:pt>
                <c:pt idx="318">
                  <c:v>-10.58</c:v>
                </c:pt>
                <c:pt idx="319">
                  <c:v>-10.58</c:v>
                </c:pt>
                <c:pt idx="320">
                  <c:v>-10.58</c:v>
                </c:pt>
                <c:pt idx="321">
                  <c:v>-10.58</c:v>
                </c:pt>
                <c:pt idx="322">
                  <c:v>-10.58</c:v>
                </c:pt>
                <c:pt idx="323">
                  <c:v>-10.58</c:v>
                </c:pt>
                <c:pt idx="324">
                  <c:v>-10.58</c:v>
                </c:pt>
                <c:pt idx="325">
                  <c:v>-10.58</c:v>
                </c:pt>
                <c:pt idx="326">
                  <c:v>-10.58</c:v>
                </c:pt>
                <c:pt idx="327">
                  <c:v>-10.58</c:v>
                </c:pt>
                <c:pt idx="328">
                  <c:v>-10.58</c:v>
                </c:pt>
                <c:pt idx="329">
                  <c:v>-10.58</c:v>
                </c:pt>
                <c:pt idx="330">
                  <c:v>-10.58</c:v>
                </c:pt>
                <c:pt idx="331">
                  <c:v>-10.58</c:v>
                </c:pt>
                <c:pt idx="332">
                  <c:v>-10.58</c:v>
                </c:pt>
                <c:pt idx="333">
                  <c:v>-10.58</c:v>
                </c:pt>
                <c:pt idx="334">
                  <c:v>-10.58</c:v>
                </c:pt>
                <c:pt idx="335">
                  <c:v>-10.58</c:v>
                </c:pt>
                <c:pt idx="336">
                  <c:v>-10.58</c:v>
                </c:pt>
                <c:pt idx="337">
                  <c:v>-10.58</c:v>
                </c:pt>
                <c:pt idx="338">
                  <c:v>-10.58</c:v>
                </c:pt>
                <c:pt idx="339">
                  <c:v>-10.58</c:v>
                </c:pt>
                <c:pt idx="340">
                  <c:v>-10.58</c:v>
                </c:pt>
                <c:pt idx="341">
                  <c:v>-10.58</c:v>
                </c:pt>
                <c:pt idx="342">
                  <c:v>-10.58</c:v>
                </c:pt>
                <c:pt idx="343">
                  <c:v>-10.58</c:v>
                </c:pt>
                <c:pt idx="344">
                  <c:v>-10.58</c:v>
                </c:pt>
                <c:pt idx="345">
                  <c:v>-10.58</c:v>
                </c:pt>
                <c:pt idx="346">
                  <c:v>-10.58</c:v>
                </c:pt>
                <c:pt idx="347">
                  <c:v>-10.58</c:v>
                </c:pt>
                <c:pt idx="348">
                  <c:v>-10.58</c:v>
                </c:pt>
                <c:pt idx="349">
                  <c:v>-10.58</c:v>
                </c:pt>
                <c:pt idx="350">
                  <c:v>-10.58</c:v>
                </c:pt>
                <c:pt idx="351">
                  <c:v>-10.58</c:v>
                </c:pt>
                <c:pt idx="352">
                  <c:v>-10.58</c:v>
                </c:pt>
                <c:pt idx="353">
                  <c:v>-10.58</c:v>
                </c:pt>
                <c:pt idx="354">
                  <c:v>-10.58</c:v>
                </c:pt>
                <c:pt idx="355">
                  <c:v>-10.58</c:v>
                </c:pt>
                <c:pt idx="356">
                  <c:v>-10.58</c:v>
                </c:pt>
                <c:pt idx="357">
                  <c:v>-10.58</c:v>
                </c:pt>
                <c:pt idx="358">
                  <c:v>-10.58</c:v>
                </c:pt>
                <c:pt idx="359">
                  <c:v>-10.58</c:v>
                </c:pt>
                <c:pt idx="360">
                  <c:v>-10.58</c:v>
                </c:pt>
              </c:numCache>
            </c:numRef>
          </c:yVal>
          <c:smooth val="0"/>
        </c:ser>
        <c:ser>
          <c:idx val="1"/>
          <c:order val="1"/>
          <c:tx>
            <c:strRef>
              <c:f>Лист1!$C$1</c:f>
              <c:strCache>
                <c:ptCount val="1"/>
                <c:pt idx="0">
                  <c:v>Gmax= 45 dB, Rec. ITU-R f. 1245</c:v>
                </c:pt>
              </c:strCache>
            </c:strRef>
          </c:tx>
          <c:spPr>
            <a:ln>
              <a:solidFill>
                <a:srgbClr val="0070C0"/>
              </a:solidFill>
            </a:ln>
          </c:spPr>
          <c:marker>
            <c:symbol val="none"/>
          </c:marker>
          <c:xVal>
            <c:numRef>
              <c:f>Лист1!$A$2:$A$362</c:f>
              <c:numCache>
                <c:formatCode>General</c:formatCode>
                <c:ptCount val="361"/>
                <c:pt idx="0">
                  <c:v>0.1</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pt idx="201">
                  <c:v>100.5</c:v>
                </c:pt>
                <c:pt idx="202">
                  <c:v>101</c:v>
                </c:pt>
                <c:pt idx="203">
                  <c:v>101.5</c:v>
                </c:pt>
                <c:pt idx="204">
                  <c:v>102</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110</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120</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130</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140</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150</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160</c:v>
                </c:pt>
                <c:pt idx="321">
                  <c:v>160.5</c:v>
                </c:pt>
                <c:pt idx="322">
                  <c:v>161</c:v>
                </c:pt>
                <c:pt idx="323">
                  <c:v>161.5</c:v>
                </c:pt>
                <c:pt idx="324">
                  <c:v>162</c:v>
                </c:pt>
                <c:pt idx="325">
                  <c:v>162.5</c:v>
                </c:pt>
                <c:pt idx="326">
                  <c:v>163</c:v>
                </c:pt>
                <c:pt idx="327">
                  <c:v>163.5</c:v>
                </c:pt>
                <c:pt idx="328">
                  <c:v>164</c:v>
                </c:pt>
                <c:pt idx="329">
                  <c:v>164.5</c:v>
                </c:pt>
                <c:pt idx="330">
                  <c:v>165</c:v>
                </c:pt>
                <c:pt idx="331">
                  <c:v>165.5</c:v>
                </c:pt>
                <c:pt idx="332">
                  <c:v>166</c:v>
                </c:pt>
                <c:pt idx="333">
                  <c:v>166.5</c:v>
                </c:pt>
                <c:pt idx="334">
                  <c:v>167</c:v>
                </c:pt>
                <c:pt idx="335">
                  <c:v>167.5</c:v>
                </c:pt>
                <c:pt idx="336">
                  <c:v>168</c:v>
                </c:pt>
                <c:pt idx="337">
                  <c:v>168.5</c:v>
                </c:pt>
                <c:pt idx="338">
                  <c:v>169</c:v>
                </c:pt>
                <c:pt idx="339">
                  <c:v>169.5</c:v>
                </c:pt>
                <c:pt idx="340">
                  <c:v>170</c:v>
                </c:pt>
                <c:pt idx="341">
                  <c:v>170.5</c:v>
                </c:pt>
                <c:pt idx="342">
                  <c:v>171</c:v>
                </c:pt>
                <c:pt idx="343">
                  <c:v>171.5</c:v>
                </c:pt>
                <c:pt idx="344">
                  <c:v>172</c:v>
                </c:pt>
                <c:pt idx="345">
                  <c:v>172.5</c:v>
                </c:pt>
                <c:pt idx="346">
                  <c:v>173</c:v>
                </c:pt>
                <c:pt idx="347">
                  <c:v>173.5</c:v>
                </c:pt>
                <c:pt idx="348">
                  <c:v>174</c:v>
                </c:pt>
                <c:pt idx="349">
                  <c:v>174.5</c:v>
                </c:pt>
                <c:pt idx="350">
                  <c:v>175</c:v>
                </c:pt>
                <c:pt idx="351">
                  <c:v>175.5</c:v>
                </c:pt>
                <c:pt idx="352">
                  <c:v>176</c:v>
                </c:pt>
                <c:pt idx="353">
                  <c:v>176.5</c:v>
                </c:pt>
                <c:pt idx="354">
                  <c:v>177</c:v>
                </c:pt>
                <c:pt idx="355">
                  <c:v>177.5</c:v>
                </c:pt>
                <c:pt idx="356">
                  <c:v>178</c:v>
                </c:pt>
                <c:pt idx="357">
                  <c:v>178.5</c:v>
                </c:pt>
                <c:pt idx="358">
                  <c:v>179</c:v>
                </c:pt>
                <c:pt idx="359">
                  <c:v>179.5</c:v>
                </c:pt>
                <c:pt idx="360">
                  <c:v>180</c:v>
                </c:pt>
              </c:numCache>
            </c:numRef>
          </c:xVal>
          <c:yVal>
            <c:numRef>
              <c:f>Лист1!$C$2:$C$362</c:f>
              <c:numCache>
                <c:formatCode>General</c:formatCode>
                <c:ptCount val="361"/>
                <c:pt idx="0">
                  <c:v>45</c:v>
                </c:pt>
                <c:pt idx="1">
                  <c:v>41.64</c:v>
                </c:pt>
                <c:pt idx="2">
                  <c:v>31.57</c:v>
                </c:pt>
                <c:pt idx="3">
                  <c:v>25.27</c:v>
                </c:pt>
                <c:pt idx="4">
                  <c:v>22.150000000000031</c:v>
                </c:pt>
                <c:pt idx="5">
                  <c:v>19.73</c:v>
                </c:pt>
                <c:pt idx="6">
                  <c:v>17.75</c:v>
                </c:pt>
                <c:pt idx="7">
                  <c:v>16.07</c:v>
                </c:pt>
                <c:pt idx="8">
                  <c:v>14.62</c:v>
                </c:pt>
                <c:pt idx="9">
                  <c:v>13.34</c:v>
                </c:pt>
                <c:pt idx="10">
                  <c:v>12.2</c:v>
                </c:pt>
                <c:pt idx="11">
                  <c:v>11.17</c:v>
                </c:pt>
                <c:pt idx="12">
                  <c:v>10.220000000000001</c:v>
                </c:pt>
                <c:pt idx="13">
                  <c:v>9.3520000000000287</c:v>
                </c:pt>
                <c:pt idx="14">
                  <c:v>8.5479999999999983</c:v>
                </c:pt>
                <c:pt idx="15">
                  <c:v>7.798</c:v>
                </c:pt>
                <c:pt idx="16">
                  <c:v>7.0979999999999945</c:v>
                </c:pt>
                <c:pt idx="17">
                  <c:v>6.44</c:v>
                </c:pt>
                <c:pt idx="18">
                  <c:v>5.819</c:v>
                </c:pt>
                <c:pt idx="19">
                  <c:v>5.2320000000000002</c:v>
                </c:pt>
                <c:pt idx="20">
                  <c:v>4.6749999999999945</c:v>
                </c:pt>
                <c:pt idx="21">
                  <c:v>4.1449999999999871</c:v>
                </c:pt>
                <c:pt idx="22">
                  <c:v>3.64</c:v>
                </c:pt>
                <c:pt idx="23">
                  <c:v>3.1579999999999999</c:v>
                </c:pt>
                <c:pt idx="24">
                  <c:v>2.6949999999999998</c:v>
                </c:pt>
                <c:pt idx="25">
                  <c:v>2.2519999999999998</c:v>
                </c:pt>
                <c:pt idx="26">
                  <c:v>1.8260000000000001</c:v>
                </c:pt>
                <c:pt idx="27">
                  <c:v>1.416999999999996</c:v>
                </c:pt>
                <c:pt idx="28">
                  <c:v>1.022</c:v>
                </c:pt>
                <c:pt idx="29">
                  <c:v>0.64080000000000192</c:v>
                </c:pt>
                <c:pt idx="30">
                  <c:v>0.2727</c:v>
                </c:pt>
                <c:pt idx="31">
                  <c:v>-8.3290000000000045E-2</c:v>
                </c:pt>
                <c:pt idx="32">
                  <c:v>-0.42800000000000032</c:v>
                </c:pt>
                <c:pt idx="33">
                  <c:v>-0.76210000000000144</c:v>
                </c:pt>
                <c:pt idx="34">
                  <c:v>-1.0860000000000001</c:v>
                </c:pt>
                <c:pt idx="35">
                  <c:v>-1.4009999999999958</c:v>
                </c:pt>
                <c:pt idx="36">
                  <c:v>-1.7069999999999967</c:v>
                </c:pt>
                <c:pt idx="37">
                  <c:v>-2.004</c:v>
                </c:pt>
                <c:pt idx="38">
                  <c:v>-2.294</c:v>
                </c:pt>
                <c:pt idx="39">
                  <c:v>-2.5759999999999987</c:v>
                </c:pt>
                <c:pt idx="40">
                  <c:v>-2.8509999999999978</c:v>
                </c:pt>
                <c:pt idx="41">
                  <c:v>-3.1189999999999998</c:v>
                </c:pt>
                <c:pt idx="42">
                  <c:v>-3.38</c:v>
                </c:pt>
                <c:pt idx="43">
                  <c:v>-3.6359999999999997</c:v>
                </c:pt>
                <c:pt idx="44">
                  <c:v>-3.8859999999999997</c:v>
                </c:pt>
                <c:pt idx="45">
                  <c:v>-4.13</c:v>
                </c:pt>
                <c:pt idx="46">
                  <c:v>-4.3679999999999861</c:v>
                </c:pt>
                <c:pt idx="47">
                  <c:v>-4.6019999999999985</c:v>
                </c:pt>
                <c:pt idx="48">
                  <c:v>-4.83</c:v>
                </c:pt>
                <c:pt idx="49">
                  <c:v>-5.0539999999999985</c:v>
                </c:pt>
                <c:pt idx="50">
                  <c:v>-5.274</c:v>
                </c:pt>
                <c:pt idx="51">
                  <c:v>-5.4889999999999999</c:v>
                </c:pt>
                <c:pt idx="52">
                  <c:v>-5.6989999999999945</c:v>
                </c:pt>
                <c:pt idx="53">
                  <c:v>-5.9059999999999997</c:v>
                </c:pt>
                <c:pt idx="54">
                  <c:v>-6.109</c:v>
                </c:pt>
                <c:pt idx="55">
                  <c:v>-6.3079999999999945</c:v>
                </c:pt>
                <c:pt idx="56">
                  <c:v>-6.5039999999999996</c:v>
                </c:pt>
                <c:pt idx="57">
                  <c:v>-6.6959999999999882</c:v>
                </c:pt>
                <c:pt idx="58">
                  <c:v>-6.8849999999999945</c:v>
                </c:pt>
                <c:pt idx="59">
                  <c:v>-7.0709999999999997</c:v>
                </c:pt>
                <c:pt idx="60">
                  <c:v>-7.2530000000000001</c:v>
                </c:pt>
                <c:pt idx="61">
                  <c:v>-7.4320000000000004</c:v>
                </c:pt>
                <c:pt idx="62">
                  <c:v>-7.609</c:v>
                </c:pt>
                <c:pt idx="63">
                  <c:v>-7.7830000000000004</c:v>
                </c:pt>
                <c:pt idx="64">
                  <c:v>-7.9539999999999997</c:v>
                </c:pt>
                <c:pt idx="65">
                  <c:v>-8.1220000000000017</c:v>
                </c:pt>
                <c:pt idx="66">
                  <c:v>-8.2879999999999985</c:v>
                </c:pt>
                <c:pt idx="67">
                  <c:v>-8.4510000000000005</c:v>
                </c:pt>
                <c:pt idx="68">
                  <c:v>-8.6120000000000001</c:v>
                </c:pt>
                <c:pt idx="69">
                  <c:v>-8.77</c:v>
                </c:pt>
                <c:pt idx="70">
                  <c:v>-8.9270000000000014</c:v>
                </c:pt>
                <c:pt idx="71">
                  <c:v>-9.0810000000000013</c:v>
                </c:pt>
                <c:pt idx="72">
                  <c:v>-9.2329999999999988</c:v>
                </c:pt>
                <c:pt idx="73">
                  <c:v>-9.3820000000000068</c:v>
                </c:pt>
                <c:pt idx="74">
                  <c:v>-9.5300000000000011</c:v>
                </c:pt>
                <c:pt idx="75">
                  <c:v>-9.6760000000000002</c:v>
                </c:pt>
                <c:pt idx="76">
                  <c:v>-9.82</c:v>
                </c:pt>
                <c:pt idx="77">
                  <c:v>-9.9620000000000068</c:v>
                </c:pt>
                <c:pt idx="78">
                  <c:v>-10.1</c:v>
                </c:pt>
                <c:pt idx="79">
                  <c:v>-10.239999999999998</c:v>
                </c:pt>
                <c:pt idx="80">
                  <c:v>-10.38</c:v>
                </c:pt>
                <c:pt idx="81">
                  <c:v>-10.51</c:v>
                </c:pt>
                <c:pt idx="82">
                  <c:v>-10.639999999999999</c:v>
                </c:pt>
                <c:pt idx="83">
                  <c:v>-10.78</c:v>
                </c:pt>
                <c:pt idx="84">
                  <c:v>-10.91</c:v>
                </c:pt>
                <c:pt idx="85">
                  <c:v>-11.03</c:v>
                </c:pt>
                <c:pt idx="86">
                  <c:v>-11.16</c:v>
                </c:pt>
                <c:pt idx="87">
                  <c:v>-11.29</c:v>
                </c:pt>
                <c:pt idx="88">
                  <c:v>-11.41</c:v>
                </c:pt>
                <c:pt idx="89">
                  <c:v>-11.53</c:v>
                </c:pt>
                <c:pt idx="90">
                  <c:v>-11.66</c:v>
                </c:pt>
                <c:pt idx="91">
                  <c:v>-11.78</c:v>
                </c:pt>
                <c:pt idx="92">
                  <c:v>-11.89</c:v>
                </c:pt>
                <c:pt idx="93">
                  <c:v>-12.01</c:v>
                </c:pt>
                <c:pt idx="94">
                  <c:v>-12.129999999999999</c:v>
                </c:pt>
                <c:pt idx="95">
                  <c:v>-12.239999999999998</c:v>
                </c:pt>
                <c:pt idx="96">
                  <c:v>-12.32</c:v>
                </c:pt>
                <c:pt idx="97">
                  <c:v>-12.32</c:v>
                </c:pt>
                <c:pt idx="98">
                  <c:v>-12.32</c:v>
                </c:pt>
                <c:pt idx="99">
                  <c:v>-12.32</c:v>
                </c:pt>
                <c:pt idx="100">
                  <c:v>-12.32</c:v>
                </c:pt>
                <c:pt idx="101">
                  <c:v>-12.32</c:v>
                </c:pt>
                <c:pt idx="102">
                  <c:v>-12.32</c:v>
                </c:pt>
                <c:pt idx="103">
                  <c:v>-12.32</c:v>
                </c:pt>
                <c:pt idx="104">
                  <c:v>-12.32</c:v>
                </c:pt>
                <c:pt idx="105">
                  <c:v>-12.32</c:v>
                </c:pt>
                <c:pt idx="106">
                  <c:v>-12.32</c:v>
                </c:pt>
                <c:pt idx="107">
                  <c:v>-12.32</c:v>
                </c:pt>
                <c:pt idx="108">
                  <c:v>-12.32</c:v>
                </c:pt>
                <c:pt idx="109">
                  <c:v>-12.32</c:v>
                </c:pt>
                <c:pt idx="110">
                  <c:v>-12.32</c:v>
                </c:pt>
                <c:pt idx="111">
                  <c:v>-12.32</c:v>
                </c:pt>
                <c:pt idx="112">
                  <c:v>-12.32</c:v>
                </c:pt>
                <c:pt idx="113">
                  <c:v>-12.32</c:v>
                </c:pt>
                <c:pt idx="114">
                  <c:v>-12.32</c:v>
                </c:pt>
                <c:pt idx="115">
                  <c:v>-12.32</c:v>
                </c:pt>
                <c:pt idx="116">
                  <c:v>-12.32</c:v>
                </c:pt>
                <c:pt idx="117">
                  <c:v>-12.32</c:v>
                </c:pt>
                <c:pt idx="118">
                  <c:v>-12.32</c:v>
                </c:pt>
                <c:pt idx="119">
                  <c:v>-12.32</c:v>
                </c:pt>
                <c:pt idx="120">
                  <c:v>-12.32</c:v>
                </c:pt>
                <c:pt idx="121">
                  <c:v>-12.32</c:v>
                </c:pt>
                <c:pt idx="122">
                  <c:v>-12.32</c:v>
                </c:pt>
                <c:pt idx="123">
                  <c:v>-12.32</c:v>
                </c:pt>
                <c:pt idx="124">
                  <c:v>-12.32</c:v>
                </c:pt>
                <c:pt idx="125">
                  <c:v>-12.32</c:v>
                </c:pt>
                <c:pt idx="126">
                  <c:v>-12.32</c:v>
                </c:pt>
                <c:pt idx="127">
                  <c:v>-12.32</c:v>
                </c:pt>
                <c:pt idx="128">
                  <c:v>-12.32</c:v>
                </c:pt>
                <c:pt idx="129">
                  <c:v>-12.32</c:v>
                </c:pt>
                <c:pt idx="130">
                  <c:v>-12.32</c:v>
                </c:pt>
                <c:pt idx="131">
                  <c:v>-12.32</c:v>
                </c:pt>
                <c:pt idx="132">
                  <c:v>-12.32</c:v>
                </c:pt>
                <c:pt idx="133">
                  <c:v>-12.32</c:v>
                </c:pt>
                <c:pt idx="134">
                  <c:v>-12.32</c:v>
                </c:pt>
                <c:pt idx="135">
                  <c:v>-12.32</c:v>
                </c:pt>
                <c:pt idx="136">
                  <c:v>-12.32</c:v>
                </c:pt>
                <c:pt idx="137">
                  <c:v>-12.32</c:v>
                </c:pt>
                <c:pt idx="138">
                  <c:v>-12.32</c:v>
                </c:pt>
                <c:pt idx="139">
                  <c:v>-12.32</c:v>
                </c:pt>
                <c:pt idx="140">
                  <c:v>-12.32</c:v>
                </c:pt>
                <c:pt idx="141">
                  <c:v>-12.32</c:v>
                </c:pt>
                <c:pt idx="142">
                  <c:v>-12.32</c:v>
                </c:pt>
                <c:pt idx="143">
                  <c:v>-12.32</c:v>
                </c:pt>
                <c:pt idx="144">
                  <c:v>-12.32</c:v>
                </c:pt>
                <c:pt idx="145">
                  <c:v>-12.32</c:v>
                </c:pt>
                <c:pt idx="146">
                  <c:v>-12.32</c:v>
                </c:pt>
                <c:pt idx="147">
                  <c:v>-12.32</c:v>
                </c:pt>
                <c:pt idx="148">
                  <c:v>-12.32</c:v>
                </c:pt>
                <c:pt idx="149">
                  <c:v>-12.32</c:v>
                </c:pt>
                <c:pt idx="150">
                  <c:v>-12.32</c:v>
                </c:pt>
                <c:pt idx="151">
                  <c:v>-12.32</c:v>
                </c:pt>
                <c:pt idx="152">
                  <c:v>-12.32</c:v>
                </c:pt>
                <c:pt idx="153">
                  <c:v>-12.32</c:v>
                </c:pt>
                <c:pt idx="154">
                  <c:v>-12.32</c:v>
                </c:pt>
                <c:pt idx="155">
                  <c:v>-12.32</c:v>
                </c:pt>
                <c:pt idx="156">
                  <c:v>-12.32</c:v>
                </c:pt>
                <c:pt idx="157">
                  <c:v>-12.32</c:v>
                </c:pt>
                <c:pt idx="158">
                  <c:v>-12.32</c:v>
                </c:pt>
                <c:pt idx="159">
                  <c:v>-12.32</c:v>
                </c:pt>
                <c:pt idx="160">
                  <c:v>-12.32</c:v>
                </c:pt>
                <c:pt idx="161">
                  <c:v>-12.32</c:v>
                </c:pt>
                <c:pt idx="162">
                  <c:v>-12.32</c:v>
                </c:pt>
                <c:pt idx="163">
                  <c:v>-12.32</c:v>
                </c:pt>
                <c:pt idx="164">
                  <c:v>-12.32</c:v>
                </c:pt>
                <c:pt idx="165">
                  <c:v>-12.32</c:v>
                </c:pt>
                <c:pt idx="166">
                  <c:v>-12.32</c:v>
                </c:pt>
                <c:pt idx="167">
                  <c:v>-12.32</c:v>
                </c:pt>
                <c:pt idx="168">
                  <c:v>-12.32</c:v>
                </c:pt>
                <c:pt idx="169">
                  <c:v>-12.32</c:v>
                </c:pt>
                <c:pt idx="170">
                  <c:v>-12.32</c:v>
                </c:pt>
                <c:pt idx="171">
                  <c:v>-12.32</c:v>
                </c:pt>
                <c:pt idx="172">
                  <c:v>-12.32</c:v>
                </c:pt>
                <c:pt idx="173">
                  <c:v>-12.32</c:v>
                </c:pt>
                <c:pt idx="174">
                  <c:v>-12.32</c:v>
                </c:pt>
                <c:pt idx="175">
                  <c:v>-12.32</c:v>
                </c:pt>
                <c:pt idx="176">
                  <c:v>-12.32</c:v>
                </c:pt>
                <c:pt idx="177">
                  <c:v>-12.32</c:v>
                </c:pt>
                <c:pt idx="178">
                  <c:v>-12.32</c:v>
                </c:pt>
                <c:pt idx="179">
                  <c:v>-12.32</c:v>
                </c:pt>
                <c:pt idx="180">
                  <c:v>-12.32</c:v>
                </c:pt>
                <c:pt idx="181">
                  <c:v>-12.32</c:v>
                </c:pt>
                <c:pt idx="182">
                  <c:v>-12.32</c:v>
                </c:pt>
                <c:pt idx="183">
                  <c:v>-12.32</c:v>
                </c:pt>
                <c:pt idx="184">
                  <c:v>-12.32</c:v>
                </c:pt>
                <c:pt idx="185">
                  <c:v>-12.32</c:v>
                </c:pt>
                <c:pt idx="186">
                  <c:v>-12.32</c:v>
                </c:pt>
                <c:pt idx="187">
                  <c:v>-12.32</c:v>
                </c:pt>
                <c:pt idx="188">
                  <c:v>-12.32</c:v>
                </c:pt>
                <c:pt idx="189">
                  <c:v>-12.32</c:v>
                </c:pt>
                <c:pt idx="190">
                  <c:v>-12.32</c:v>
                </c:pt>
                <c:pt idx="191">
                  <c:v>-12.32</c:v>
                </c:pt>
                <c:pt idx="192">
                  <c:v>-12.32</c:v>
                </c:pt>
                <c:pt idx="193">
                  <c:v>-12.32</c:v>
                </c:pt>
                <c:pt idx="194">
                  <c:v>-12.32</c:v>
                </c:pt>
                <c:pt idx="195">
                  <c:v>-12.32</c:v>
                </c:pt>
                <c:pt idx="196">
                  <c:v>-12.32</c:v>
                </c:pt>
                <c:pt idx="197">
                  <c:v>-12.32</c:v>
                </c:pt>
                <c:pt idx="198">
                  <c:v>-12.32</c:v>
                </c:pt>
                <c:pt idx="199">
                  <c:v>-12.32</c:v>
                </c:pt>
                <c:pt idx="200">
                  <c:v>-12.32</c:v>
                </c:pt>
                <c:pt idx="201">
                  <c:v>-12.32</c:v>
                </c:pt>
                <c:pt idx="202">
                  <c:v>-12.32</c:v>
                </c:pt>
                <c:pt idx="203">
                  <c:v>-12.32</c:v>
                </c:pt>
                <c:pt idx="204">
                  <c:v>-12.32</c:v>
                </c:pt>
                <c:pt idx="205">
                  <c:v>-12.32</c:v>
                </c:pt>
                <c:pt idx="206">
                  <c:v>-12.32</c:v>
                </c:pt>
                <c:pt idx="207">
                  <c:v>-12.32</c:v>
                </c:pt>
                <c:pt idx="208">
                  <c:v>-12.32</c:v>
                </c:pt>
                <c:pt idx="209">
                  <c:v>-12.32</c:v>
                </c:pt>
                <c:pt idx="210">
                  <c:v>-12.32</c:v>
                </c:pt>
                <c:pt idx="211">
                  <c:v>-12.32</c:v>
                </c:pt>
                <c:pt idx="212">
                  <c:v>-12.32</c:v>
                </c:pt>
                <c:pt idx="213">
                  <c:v>-12.32</c:v>
                </c:pt>
                <c:pt idx="214">
                  <c:v>-12.32</c:v>
                </c:pt>
                <c:pt idx="215">
                  <c:v>-12.32</c:v>
                </c:pt>
                <c:pt idx="216">
                  <c:v>-12.32</c:v>
                </c:pt>
                <c:pt idx="217">
                  <c:v>-12.32</c:v>
                </c:pt>
                <c:pt idx="218">
                  <c:v>-12.32</c:v>
                </c:pt>
                <c:pt idx="219">
                  <c:v>-12.32</c:v>
                </c:pt>
                <c:pt idx="220">
                  <c:v>-12.32</c:v>
                </c:pt>
                <c:pt idx="221">
                  <c:v>-12.32</c:v>
                </c:pt>
                <c:pt idx="222">
                  <c:v>-12.32</c:v>
                </c:pt>
                <c:pt idx="223">
                  <c:v>-12.32</c:v>
                </c:pt>
                <c:pt idx="224">
                  <c:v>-12.32</c:v>
                </c:pt>
                <c:pt idx="225">
                  <c:v>-12.32</c:v>
                </c:pt>
                <c:pt idx="226">
                  <c:v>-12.32</c:v>
                </c:pt>
                <c:pt idx="227">
                  <c:v>-12.32</c:v>
                </c:pt>
                <c:pt idx="228">
                  <c:v>-12.32</c:v>
                </c:pt>
                <c:pt idx="229">
                  <c:v>-12.32</c:v>
                </c:pt>
                <c:pt idx="230">
                  <c:v>-12.32</c:v>
                </c:pt>
                <c:pt idx="231">
                  <c:v>-12.32</c:v>
                </c:pt>
                <c:pt idx="232">
                  <c:v>-12.32</c:v>
                </c:pt>
                <c:pt idx="233">
                  <c:v>-12.32</c:v>
                </c:pt>
                <c:pt idx="234">
                  <c:v>-12.32</c:v>
                </c:pt>
                <c:pt idx="235">
                  <c:v>-12.32</c:v>
                </c:pt>
                <c:pt idx="236">
                  <c:v>-12.32</c:v>
                </c:pt>
                <c:pt idx="237">
                  <c:v>-12.32</c:v>
                </c:pt>
                <c:pt idx="238">
                  <c:v>-12.32</c:v>
                </c:pt>
                <c:pt idx="239">
                  <c:v>-12.32</c:v>
                </c:pt>
                <c:pt idx="240">
                  <c:v>-12.32</c:v>
                </c:pt>
                <c:pt idx="241">
                  <c:v>-12.32</c:v>
                </c:pt>
                <c:pt idx="242">
                  <c:v>-12.32</c:v>
                </c:pt>
                <c:pt idx="243">
                  <c:v>-12.32</c:v>
                </c:pt>
                <c:pt idx="244">
                  <c:v>-12.32</c:v>
                </c:pt>
                <c:pt idx="245">
                  <c:v>-12.32</c:v>
                </c:pt>
                <c:pt idx="246">
                  <c:v>-12.32</c:v>
                </c:pt>
                <c:pt idx="247">
                  <c:v>-12.32</c:v>
                </c:pt>
                <c:pt idx="248">
                  <c:v>-12.32</c:v>
                </c:pt>
                <c:pt idx="249">
                  <c:v>-12.32</c:v>
                </c:pt>
                <c:pt idx="250">
                  <c:v>-12.32</c:v>
                </c:pt>
                <c:pt idx="251">
                  <c:v>-12.32</c:v>
                </c:pt>
                <c:pt idx="252">
                  <c:v>-12.32</c:v>
                </c:pt>
                <c:pt idx="253">
                  <c:v>-12.32</c:v>
                </c:pt>
                <c:pt idx="254">
                  <c:v>-12.32</c:v>
                </c:pt>
                <c:pt idx="255">
                  <c:v>-12.32</c:v>
                </c:pt>
                <c:pt idx="256">
                  <c:v>-12.32</c:v>
                </c:pt>
                <c:pt idx="257">
                  <c:v>-12.32</c:v>
                </c:pt>
                <c:pt idx="258">
                  <c:v>-12.32</c:v>
                </c:pt>
                <c:pt idx="259">
                  <c:v>-12.32</c:v>
                </c:pt>
                <c:pt idx="260">
                  <c:v>-12.32</c:v>
                </c:pt>
                <c:pt idx="261">
                  <c:v>-12.32</c:v>
                </c:pt>
                <c:pt idx="262">
                  <c:v>-12.32</c:v>
                </c:pt>
                <c:pt idx="263">
                  <c:v>-12.32</c:v>
                </c:pt>
                <c:pt idx="264">
                  <c:v>-12.32</c:v>
                </c:pt>
                <c:pt idx="265">
                  <c:v>-12.32</c:v>
                </c:pt>
                <c:pt idx="266">
                  <c:v>-12.32</c:v>
                </c:pt>
                <c:pt idx="267">
                  <c:v>-12.32</c:v>
                </c:pt>
                <c:pt idx="268">
                  <c:v>-12.32</c:v>
                </c:pt>
                <c:pt idx="269">
                  <c:v>-12.32</c:v>
                </c:pt>
                <c:pt idx="270">
                  <c:v>-12.32</c:v>
                </c:pt>
                <c:pt idx="271">
                  <c:v>-12.32</c:v>
                </c:pt>
                <c:pt idx="272">
                  <c:v>-12.32</c:v>
                </c:pt>
                <c:pt idx="273">
                  <c:v>-12.32</c:v>
                </c:pt>
                <c:pt idx="274">
                  <c:v>-12.32</c:v>
                </c:pt>
                <c:pt idx="275">
                  <c:v>-12.32</c:v>
                </c:pt>
                <c:pt idx="276">
                  <c:v>-12.32</c:v>
                </c:pt>
                <c:pt idx="277">
                  <c:v>-12.32</c:v>
                </c:pt>
                <c:pt idx="278">
                  <c:v>-12.32</c:v>
                </c:pt>
                <c:pt idx="279">
                  <c:v>-12.32</c:v>
                </c:pt>
                <c:pt idx="280">
                  <c:v>-12.32</c:v>
                </c:pt>
                <c:pt idx="281">
                  <c:v>-12.32</c:v>
                </c:pt>
                <c:pt idx="282">
                  <c:v>-12.32</c:v>
                </c:pt>
                <c:pt idx="283">
                  <c:v>-12.32</c:v>
                </c:pt>
                <c:pt idx="284">
                  <c:v>-12.32</c:v>
                </c:pt>
                <c:pt idx="285">
                  <c:v>-12.32</c:v>
                </c:pt>
                <c:pt idx="286">
                  <c:v>-12.32</c:v>
                </c:pt>
                <c:pt idx="287">
                  <c:v>-12.32</c:v>
                </c:pt>
                <c:pt idx="288">
                  <c:v>-12.32</c:v>
                </c:pt>
                <c:pt idx="289">
                  <c:v>-12.32</c:v>
                </c:pt>
                <c:pt idx="290">
                  <c:v>-12.32</c:v>
                </c:pt>
                <c:pt idx="291">
                  <c:v>-12.32</c:v>
                </c:pt>
                <c:pt idx="292">
                  <c:v>-12.32</c:v>
                </c:pt>
                <c:pt idx="293">
                  <c:v>-12.32</c:v>
                </c:pt>
                <c:pt idx="294">
                  <c:v>-12.32</c:v>
                </c:pt>
                <c:pt idx="295">
                  <c:v>-12.32</c:v>
                </c:pt>
                <c:pt idx="296">
                  <c:v>-12.32</c:v>
                </c:pt>
                <c:pt idx="297">
                  <c:v>-12.32</c:v>
                </c:pt>
                <c:pt idx="298">
                  <c:v>-12.32</c:v>
                </c:pt>
                <c:pt idx="299">
                  <c:v>-12.32</c:v>
                </c:pt>
                <c:pt idx="300">
                  <c:v>-12.32</c:v>
                </c:pt>
                <c:pt idx="301">
                  <c:v>-12.32</c:v>
                </c:pt>
                <c:pt idx="302">
                  <c:v>-12.32</c:v>
                </c:pt>
                <c:pt idx="303">
                  <c:v>-12.32</c:v>
                </c:pt>
                <c:pt idx="304">
                  <c:v>-12.32</c:v>
                </c:pt>
                <c:pt idx="305">
                  <c:v>-12.32</c:v>
                </c:pt>
                <c:pt idx="306">
                  <c:v>-12.32</c:v>
                </c:pt>
                <c:pt idx="307">
                  <c:v>-12.32</c:v>
                </c:pt>
                <c:pt idx="308">
                  <c:v>-12.32</c:v>
                </c:pt>
                <c:pt idx="309">
                  <c:v>-12.32</c:v>
                </c:pt>
                <c:pt idx="310">
                  <c:v>-12.32</c:v>
                </c:pt>
                <c:pt idx="311">
                  <c:v>-12.32</c:v>
                </c:pt>
                <c:pt idx="312">
                  <c:v>-12.32</c:v>
                </c:pt>
                <c:pt idx="313">
                  <c:v>-12.32</c:v>
                </c:pt>
                <c:pt idx="314">
                  <c:v>-12.32</c:v>
                </c:pt>
                <c:pt idx="315">
                  <c:v>-12.32</c:v>
                </c:pt>
                <c:pt idx="316">
                  <c:v>-12.32</c:v>
                </c:pt>
                <c:pt idx="317">
                  <c:v>-12.32</c:v>
                </c:pt>
                <c:pt idx="318">
                  <c:v>-12.32</c:v>
                </c:pt>
                <c:pt idx="319">
                  <c:v>-12.32</c:v>
                </c:pt>
                <c:pt idx="320">
                  <c:v>-12.32</c:v>
                </c:pt>
                <c:pt idx="321">
                  <c:v>-12.32</c:v>
                </c:pt>
                <c:pt idx="322">
                  <c:v>-12.32</c:v>
                </c:pt>
                <c:pt idx="323">
                  <c:v>-12.32</c:v>
                </c:pt>
                <c:pt idx="324">
                  <c:v>-12.32</c:v>
                </c:pt>
                <c:pt idx="325">
                  <c:v>-12.32</c:v>
                </c:pt>
                <c:pt idx="326">
                  <c:v>-12.32</c:v>
                </c:pt>
                <c:pt idx="327">
                  <c:v>-12.32</c:v>
                </c:pt>
                <c:pt idx="328">
                  <c:v>-12.32</c:v>
                </c:pt>
                <c:pt idx="329">
                  <c:v>-12.32</c:v>
                </c:pt>
                <c:pt idx="330">
                  <c:v>-12.32</c:v>
                </c:pt>
                <c:pt idx="331">
                  <c:v>-12.32</c:v>
                </c:pt>
                <c:pt idx="332">
                  <c:v>-12.32</c:v>
                </c:pt>
                <c:pt idx="333">
                  <c:v>-12.32</c:v>
                </c:pt>
                <c:pt idx="334">
                  <c:v>-12.32</c:v>
                </c:pt>
                <c:pt idx="335">
                  <c:v>-12.32</c:v>
                </c:pt>
                <c:pt idx="336">
                  <c:v>-12.32</c:v>
                </c:pt>
                <c:pt idx="337">
                  <c:v>-12.32</c:v>
                </c:pt>
                <c:pt idx="338">
                  <c:v>-12.32</c:v>
                </c:pt>
                <c:pt idx="339">
                  <c:v>-12.32</c:v>
                </c:pt>
                <c:pt idx="340">
                  <c:v>-12.32</c:v>
                </c:pt>
                <c:pt idx="341">
                  <c:v>-12.32</c:v>
                </c:pt>
                <c:pt idx="342">
                  <c:v>-12.32</c:v>
                </c:pt>
                <c:pt idx="343">
                  <c:v>-12.32</c:v>
                </c:pt>
                <c:pt idx="344">
                  <c:v>-12.32</c:v>
                </c:pt>
                <c:pt idx="345">
                  <c:v>-12.32</c:v>
                </c:pt>
                <c:pt idx="346">
                  <c:v>-12.32</c:v>
                </c:pt>
                <c:pt idx="347">
                  <c:v>-12.32</c:v>
                </c:pt>
                <c:pt idx="348">
                  <c:v>-12.32</c:v>
                </c:pt>
                <c:pt idx="349">
                  <c:v>-12.32</c:v>
                </c:pt>
                <c:pt idx="350">
                  <c:v>-12.32</c:v>
                </c:pt>
                <c:pt idx="351">
                  <c:v>-12.32</c:v>
                </c:pt>
                <c:pt idx="352">
                  <c:v>-12.32</c:v>
                </c:pt>
                <c:pt idx="353">
                  <c:v>-12.32</c:v>
                </c:pt>
                <c:pt idx="354">
                  <c:v>-12.32</c:v>
                </c:pt>
                <c:pt idx="355">
                  <c:v>-12.32</c:v>
                </c:pt>
                <c:pt idx="356">
                  <c:v>-12.32</c:v>
                </c:pt>
                <c:pt idx="357">
                  <c:v>-12.32</c:v>
                </c:pt>
                <c:pt idx="358">
                  <c:v>-12.32</c:v>
                </c:pt>
                <c:pt idx="359">
                  <c:v>-12.32</c:v>
                </c:pt>
                <c:pt idx="360">
                  <c:v>-12.32</c:v>
                </c:pt>
              </c:numCache>
            </c:numRef>
          </c:yVal>
          <c:smooth val="0"/>
        </c:ser>
        <c:dLbls>
          <c:showLegendKey val="0"/>
          <c:showVal val="0"/>
          <c:showCatName val="0"/>
          <c:showSerName val="0"/>
          <c:showPercent val="0"/>
          <c:showBubbleSize val="0"/>
        </c:dLbls>
        <c:axId val="617097656"/>
        <c:axId val="617098440"/>
      </c:scatterChart>
      <c:valAx>
        <c:axId val="617097656"/>
        <c:scaling>
          <c:logBase val="10"/>
          <c:orientation val="minMax"/>
          <c:max val="180"/>
          <c:min val="0.1"/>
        </c:scaling>
        <c:delete val="0"/>
        <c:axPos val="b"/>
        <c:majorGridlines/>
        <c:minorGridlines/>
        <c:title>
          <c:tx>
            <c:rich>
              <a:bodyPr/>
              <a:lstStyle/>
              <a:p>
                <a:pPr>
                  <a:defRPr/>
                </a:pPr>
                <a:r>
                  <a:rPr lang="en-US">
                    <a:latin typeface="Symbol" panose="05050102010706020507" pitchFamily="18" charset="2"/>
                  </a:rPr>
                  <a:t>j</a:t>
                </a:r>
                <a:r>
                  <a:rPr lang="en-US" baseline="0">
                    <a:latin typeface="+mn-lt"/>
                  </a:rPr>
                  <a:t>  (degree)</a:t>
                </a:r>
                <a:endParaRPr lang="ru-RU"/>
              </a:p>
            </c:rich>
          </c:tx>
          <c:layout/>
          <c:overlay val="0"/>
        </c:title>
        <c:numFmt formatCode="General" sourceLinked="1"/>
        <c:majorTickMark val="none"/>
        <c:minorTickMark val="none"/>
        <c:tickLblPos val="low"/>
        <c:txPr>
          <a:bodyPr/>
          <a:lstStyle/>
          <a:p>
            <a:pPr>
              <a:defRPr sz="600"/>
            </a:pPr>
            <a:endParaRPr lang="en-US"/>
          </a:p>
        </c:txPr>
        <c:crossAx val="617098440"/>
        <c:crosses val="autoZero"/>
        <c:crossBetween val="midCat"/>
        <c:majorUnit val="10"/>
        <c:minorUnit val="1"/>
      </c:valAx>
      <c:valAx>
        <c:axId val="617098440"/>
        <c:scaling>
          <c:orientation val="minMax"/>
          <c:max val="50"/>
          <c:min val="-20"/>
        </c:scaling>
        <c:delete val="0"/>
        <c:axPos val="l"/>
        <c:majorGridlines/>
        <c:minorGridlines/>
        <c:title>
          <c:tx>
            <c:rich>
              <a:bodyPr rot="-5400000" vert="horz"/>
              <a:lstStyle/>
              <a:p>
                <a:pPr>
                  <a:defRPr/>
                </a:pPr>
                <a:r>
                  <a:rPr lang="en-US"/>
                  <a:t>G(</a:t>
                </a:r>
                <a:r>
                  <a:rPr lang="en-US">
                    <a:latin typeface="Symbol" panose="05050102010706020507" pitchFamily="18" charset="2"/>
                  </a:rPr>
                  <a:t>j</a:t>
                </a:r>
                <a:r>
                  <a:rPr lang="en-US"/>
                  <a:t>) (dB)</a:t>
                </a:r>
                <a:endParaRPr lang="ru-RU"/>
              </a:p>
            </c:rich>
          </c:tx>
          <c:layout>
            <c:manualLayout>
              <c:xMode val="edge"/>
              <c:yMode val="edge"/>
              <c:x val="1.5046296296296295E-2"/>
              <c:y val="0.35676575670331923"/>
            </c:manualLayout>
          </c:layout>
          <c:overlay val="0"/>
        </c:title>
        <c:numFmt formatCode="General" sourceLinked="1"/>
        <c:majorTickMark val="none"/>
        <c:minorTickMark val="none"/>
        <c:tickLblPos val="low"/>
        <c:txPr>
          <a:bodyPr/>
          <a:lstStyle/>
          <a:p>
            <a:pPr>
              <a:defRPr sz="600"/>
            </a:pPr>
            <a:endParaRPr lang="en-US"/>
          </a:p>
        </c:txPr>
        <c:crossAx val="617097656"/>
        <c:crosses val="autoZero"/>
        <c:crossBetween val="midCat"/>
        <c:majorUnit val="5"/>
        <c:minorUnit val="5"/>
      </c:valAx>
    </c:plotArea>
    <c:legend>
      <c:legendPos val="l"/>
      <c:layout>
        <c:manualLayout>
          <c:xMode val="edge"/>
          <c:yMode val="edge"/>
          <c:x val="0.51157407407407463"/>
          <c:y val="0.13767036263324217"/>
          <c:w val="0.33400462962963123"/>
          <c:h val="0.21184723338154218"/>
        </c:manualLayout>
      </c:layout>
      <c:overlay val="1"/>
      <c:spPr>
        <a:solidFill>
          <a:schemeClr val="bg1"/>
        </a:solidFill>
      </c:spPr>
      <c:txPr>
        <a:bodyPr/>
        <a:lstStyle/>
        <a:p>
          <a:pPr>
            <a:defRPr sz="800"/>
          </a:pPr>
          <a:endParaRPr lang="en-US"/>
        </a:p>
      </c:txPr>
    </c:legend>
    <c:plotVisOnly val="1"/>
    <c:dispBlanksAs val="gap"/>
    <c:showDLblsOverMax val="0"/>
  </c:chart>
  <c:spPr>
    <a:ln w="15875">
      <a:solidFill>
        <a:schemeClr val="tx1"/>
      </a:solid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(C/I) </a:t>
            </a:r>
            <a:r>
              <a:rPr lang="en-GB" sz="700" b="1" i="0" baseline="-25000">
                <a:effectLst/>
              </a:rPr>
              <a:t>required</a:t>
            </a:r>
            <a:r>
              <a:rPr lang="fr-FR" sz="700" b="1" i="0" baseline="0">
                <a:effectLst/>
              </a:rPr>
              <a:t>  = 55 dB; </a:t>
            </a:r>
            <a:endParaRPr lang="ru-RU" sz="700">
              <a:effectLst/>
            </a:endParaRPr>
          </a:p>
          <a:p>
            <a:pPr algn="l">
              <a:defRPr sz="700"/>
            </a:pPr>
            <a:r>
              <a:rPr lang="fr-FR" sz="700" b="1" i="0" baseline="0">
                <a:effectLst/>
              </a:rPr>
              <a:t>Channel Separation 29.65 MHz;     </a:t>
            </a:r>
            <a:endParaRPr lang="ru-RU" sz="700">
              <a:effectLst/>
            </a:endParaRPr>
          </a:p>
          <a:p>
            <a:pPr algn="l">
              <a:defRPr sz="700"/>
            </a:pPr>
            <a:r>
              <a:rPr lang="en-GB" sz="700" b="1" i="0" baseline="0">
                <a:effectLst/>
              </a:rPr>
              <a:t>Co‑channel (</a:t>
            </a:r>
            <a:r>
              <a:rPr lang="en-US" sz="700" b="1" i="0" baseline="0">
                <a:effectLst/>
              </a:rPr>
              <a:t>MD+NFD(</a:t>
            </a:r>
            <a:r>
              <a:rPr lang="en-US" sz="700" b="1" i="0" baseline="0">
                <a:effectLst/>
                <a:latin typeface="Symbol" panose="05050102010706020507" pitchFamily="18" charset="2"/>
              </a:rPr>
              <a:t>D</a:t>
            </a:r>
            <a:r>
              <a:rPr lang="en-US" sz="700" b="1" i="0" baseline="0">
                <a:effectLst/>
              </a:rPr>
              <a:t>f) = 0 dB); </a:t>
            </a:r>
            <a:r>
              <a:rPr lang="ru-RU" sz="700" b="1" i="0" baseline="0">
                <a:effectLst/>
              </a:rPr>
              <a:t> </a:t>
            </a:r>
            <a:endParaRPr lang="ru-RU" sz="700">
              <a:effectLst/>
            </a:endParaRPr>
          </a:p>
          <a:p>
            <a:pPr algn="l">
              <a:defRPr sz="700"/>
            </a:pPr>
            <a:r>
              <a:rPr lang="ru-RU" sz="700" b="1" i="0" baseline="0">
                <a:effectLst/>
              </a:rPr>
              <a:t> </a:t>
            </a:r>
            <a:r>
              <a:rPr lang="en-GB" sz="700" b="1" i="0" baseline="0">
                <a:effectLst/>
              </a:rPr>
              <a:t>a</a:t>
            </a:r>
            <a:r>
              <a:rPr lang="en-GB" sz="700" b="1" i="0" baseline="-25000">
                <a:effectLst/>
              </a:rPr>
              <a:t>indoor</a:t>
            </a:r>
            <a:r>
              <a:rPr lang="en-GB" sz="700" b="1" i="0" baseline="0">
                <a:effectLst/>
              </a:rPr>
              <a:t> = 25 dB;     AhTx = 19 dB </a:t>
            </a:r>
            <a:endParaRPr lang="ru-RU" sz="700">
              <a:effectLst/>
            </a:endParaRPr>
          </a:p>
        </c:rich>
      </c:tx>
      <c:layout>
        <c:manualLayout>
          <c:xMode val="edge"/>
          <c:yMode val="edge"/>
          <c:x val="9.9444787831554901E-2"/>
          <c:y val="1.2185976752905885E-2"/>
        </c:manualLayout>
      </c:layout>
      <c:overlay val="0"/>
    </c:title>
    <c:autoTitleDeleted val="0"/>
    <c:plotArea>
      <c:layout>
        <c:manualLayout>
          <c:layoutTarget val="inner"/>
          <c:xMode val="edge"/>
          <c:yMode val="edge"/>
          <c:x val="0.1049645455898771"/>
          <c:y val="2.48328108842303E-2"/>
          <c:w val="0.86417254364943563"/>
          <c:h val="0.66462285964254686"/>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0.18000000000000024</c:v>
                </c:pt>
                <c:pt idx="1">
                  <c:v>4.0000000000000022E-2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0.5</c:v>
                </c:pt>
                <c:pt idx="1">
                  <c:v>0.12000000000000002</c:v>
                </c:pt>
                <c:pt idx="2">
                  <c:v>4.0000000000000022E-2</c:v>
                </c:pt>
                <c:pt idx="3">
                  <c:v>4.0000000000000022E-2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0.82000000000000062</c:v>
                </c:pt>
                <c:pt idx="1">
                  <c:v>0.18000000000000024</c:v>
                </c:pt>
                <c:pt idx="2">
                  <c:v>4.0000000000000022E-2</c:v>
                </c:pt>
                <c:pt idx="3">
                  <c:v>4.0000000000000022E-2</c:v>
                </c:pt>
                <c:pt idx="4">
                  <c:v>4.0000000000000022E-2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1.159999999999997</c:v>
                </c:pt>
                <c:pt idx="1">
                  <c:v>0.26</c:v>
                </c:pt>
                <c:pt idx="2">
                  <c:v>8.0000000000000043E-2</c:v>
                </c:pt>
                <c:pt idx="3">
                  <c:v>4.0000000000000022E-2</c:v>
                </c:pt>
                <c:pt idx="4">
                  <c:v>4.0000000000000022E-2</c:v>
                </c:pt>
                <c:pt idx="5">
                  <c:v>4.0000000000000022E-2</c:v>
                </c:pt>
                <c:pt idx="6">
                  <c:v>4.0000000000000022E-2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619286128"/>
        <c:axId val="619286520"/>
      </c:scatterChart>
      <c:valAx>
        <c:axId val="619286128"/>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0" baseline="0">
                    <a:effectLst/>
                  </a:rPr>
                  <a:t>az</a:t>
                </a:r>
                <a:r>
                  <a:rPr lang="en-US" sz="1200" b="1" i="0" baseline="-25000">
                    <a:effectLst/>
                  </a:rPr>
                  <a:t>FS-IMT</a:t>
                </a:r>
                <a:r>
                  <a:rPr lang="en-US" sz="1200" b="1" i="0" baseline="0">
                    <a:effectLst/>
                  </a:rPr>
                  <a:t>, degree</a:t>
                </a:r>
                <a:endParaRPr lang="ru-RU" sz="1200">
                  <a:effectLst/>
                </a:endParaRPr>
              </a:p>
            </c:rich>
          </c:tx>
          <c:layout/>
          <c:overlay val="0"/>
        </c:title>
        <c:numFmt formatCode="General" sourceLinked="1"/>
        <c:majorTickMark val="none"/>
        <c:minorTickMark val="none"/>
        <c:tickLblPos val="low"/>
        <c:crossAx val="619286520"/>
        <c:crosses val="autoZero"/>
        <c:crossBetween val="midCat"/>
        <c:majorUnit val="10"/>
        <c:minorUnit val="10"/>
      </c:valAx>
      <c:valAx>
        <c:axId val="619286520"/>
        <c:scaling>
          <c:logBase val="10"/>
          <c:orientation val="minMax"/>
          <c:max val="10"/>
          <c:min val="1.0000000000000005E-2"/>
        </c:scaling>
        <c:delete val="0"/>
        <c:axPos val="l"/>
        <c:majorGridlines/>
        <c:minorGridlines/>
        <c:title>
          <c:tx>
            <c:rich>
              <a:bodyPr rot="-5400000" vert="horz"/>
              <a:lstStyle/>
              <a:p>
                <a:pPr>
                  <a:defRPr/>
                </a:pPr>
                <a:r>
                  <a:rPr lang="en-US" sz="1200" b="1" i="0" baseline="0">
                    <a:effectLst/>
                  </a:rPr>
                  <a:t>d</a:t>
                </a:r>
                <a:r>
                  <a:rPr lang="en-US" sz="1200" b="1" i="0" baseline="-25000">
                    <a:effectLst/>
                  </a:rPr>
                  <a:t>FS-IMT, </a:t>
                </a:r>
                <a:r>
                  <a:rPr lang="en-US" sz="1200" b="1" i="0" baseline="0">
                    <a:effectLst/>
                  </a:rPr>
                  <a:t>km</a:t>
                </a:r>
                <a:endParaRPr lang="ru-RU" sz="1200">
                  <a:effectLst/>
                </a:endParaRPr>
              </a:p>
            </c:rich>
          </c:tx>
          <c:layout>
            <c:manualLayout>
              <c:xMode val="edge"/>
              <c:yMode val="edge"/>
              <c:x val="1.1428571428571465E-2"/>
              <c:y val="0.40383424640498489"/>
            </c:manualLayout>
          </c:layout>
          <c:overlay val="0"/>
        </c:title>
        <c:numFmt formatCode="General" sourceLinked="1"/>
        <c:majorTickMark val="none"/>
        <c:minorTickMark val="none"/>
        <c:tickLblPos val="low"/>
        <c:crossAx val="619286128"/>
        <c:crosses val="autoZero"/>
        <c:crossBetween val="midCat"/>
        <c:majorUnit val="1"/>
        <c:minorUnit val="1.0000000000000005E-2"/>
      </c:valAx>
    </c:plotArea>
    <c:legend>
      <c:legendPos val="l"/>
      <c:layout>
        <c:manualLayout>
          <c:xMode val="edge"/>
          <c:yMode val="edge"/>
          <c:x val="0.60732589295903394"/>
          <c:y val="0.19375890981208393"/>
          <c:w val="0.30157306858381838"/>
          <c:h val="0.13928014609146486"/>
        </c:manualLayout>
      </c:layout>
      <c:overlay val="1"/>
      <c:spPr>
        <a:solidFill>
          <a:schemeClr val="bg1"/>
        </a:solidFill>
      </c:spPr>
      <c:txPr>
        <a:bodyPr/>
        <a:lstStyle/>
        <a:p>
          <a:pPr>
            <a:defRPr sz="700"/>
          </a:pPr>
          <a:endParaRPr lang="en-US"/>
        </a:p>
      </c:txPr>
    </c:legend>
    <c:plotVisOnly val="1"/>
    <c:dispBlanksAs val="gap"/>
    <c:showDLblsOverMax val="0"/>
  </c:chart>
  <c:spPr>
    <a:ln w="15875">
      <a:solidFill>
        <a:sysClr val="windowText" lastClr="000000"/>
      </a:solid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fr-FR" sz="700" b="1" i="1" baseline="0">
                <a:effectLst/>
              </a:rPr>
              <a:t>C</a:t>
            </a:r>
            <a:r>
              <a:rPr lang="fr-FR" sz="700" b="1" i="0" baseline="0">
                <a:effectLst/>
              </a:rPr>
              <a:t>/</a:t>
            </a:r>
            <a:r>
              <a:rPr lang="fr-FR" sz="700" b="1" i="1" baseline="0">
                <a:effectLst/>
              </a:rPr>
              <a:t>I</a:t>
            </a:r>
            <a:r>
              <a:rPr lang="fr-FR" sz="700" b="1" i="0" baseline="0">
                <a:effectLst/>
              </a:rPr>
              <a:t>) </a:t>
            </a:r>
            <a:r>
              <a:rPr lang="en-GB" sz="700" b="1" i="1" baseline="-25000">
                <a:effectLst/>
              </a:rPr>
              <a:t>required</a:t>
            </a:r>
            <a:r>
              <a:rPr lang="fr-FR" sz="700" b="1" i="0" baseline="0">
                <a:effectLst/>
              </a:rPr>
              <a:t>  = 55 dB; </a:t>
            </a:r>
            <a:endParaRPr lang="ru-RU" sz="700">
              <a:effectLst/>
            </a:endParaRPr>
          </a:p>
          <a:p>
            <a:pPr algn="l">
              <a:defRPr sz="700"/>
            </a:pPr>
            <a:r>
              <a:rPr lang="fr-FR" sz="700" b="1" i="0" baseline="0">
                <a:effectLst/>
              </a:rPr>
              <a:t>Channel Separation 29.65  MHz;     </a:t>
            </a:r>
            <a:endParaRPr lang="ru-RU" sz="700">
              <a:effectLst/>
            </a:endParaRPr>
          </a:p>
          <a:p>
            <a:pPr algn="l">
              <a:defRPr sz="700"/>
            </a:pPr>
            <a:r>
              <a:rPr lang="en-GB" sz="700" b="1" i="0" baseline="0">
                <a:effectLst/>
              </a:rPr>
              <a:t>First adjacent channel</a:t>
            </a:r>
            <a:r>
              <a:rPr lang="ru-RU" sz="700" b="1" i="0" baseline="0">
                <a:effectLst/>
              </a:rPr>
              <a:t> </a:t>
            </a:r>
            <a:r>
              <a:rPr lang="en-GB" sz="700" b="1" i="0" baseline="0">
                <a:effectLst/>
              </a:rPr>
              <a:t> (</a:t>
            </a:r>
            <a:r>
              <a:rPr lang="en-US" sz="700" b="1" i="1" baseline="0">
                <a:effectLst/>
              </a:rPr>
              <a:t>MD</a:t>
            </a:r>
            <a:r>
              <a:rPr lang="en-US" sz="700" b="1" i="0" baseline="0">
                <a:effectLst/>
              </a:rPr>
              <a:t> + </a:t>
            </a:r>
            <a:r>
              <a:rPr lang="en-US" sz="700" b="1" i="1" baseline="0">
                <a:effectLst/>
              </a:rPr>
              <a:t>NFD</a:t>
            </a:r>
            <a:r>
              <a:rPr lang="en-US" sz="700" b="1" i="0" baseline="0">
                <a:effectLst/>
                <a:latin typeface="Symbol" panose="05050102010706020507" pitchFamily="18" charset="2"/>
              </a:rPr>
              <a:t>(D</a:t>
            </a:r>
            <a:r>
              <a:rPr lang="en-US" sz="700" b="1" i="1" baseline="0">
                <a:effectLst/>
              </a:rPr>
              <a:t>f</a:t>
            </a:r>
            <a:r>
              <a:rPr lang="en-US" sz="700" b="1" i="0" baseline="0">
                <a:effectLst/>
              </a:rPr>
              <a:t>) = </a:t>
            </a:r>
            <a:r>
              <a:rPr lang="ru-RU" sz="700" b="1" i="0" baseline="0">
                <a:effectLst/>
              </a:rPr>
              <a:t>45</a:t>
            </a:r>
            <a:r>
              <a:rPr lang="en-US" sz="700" b="1" i="0" baseline="0">
                <a:effectLst/>
              </a:rPr>
              <a:t> dB);</a:t>
            </a:r>
            <a:endParaRPr lang="ru-RU" sz="700">
              <a:effectLst/>
            </a:endParaRPr>
          </a:p>
          <a:p>
            <a:pPr algn="l">
              <a:defRPr sz="700"/>
            </a:pPr>
            <a:r>
              <a:rPr lang="ru-RU" sz="700" b="1" i="0" baseline="0">
                <a:effectLst/>
              </a:rPr>
              <a:t> </a:t>
            </a:r>
            <a:r>
              <a:rPr lang="en-GB" sz="700" b="1" i="1" baseline="0">
                <a:effectLst/>
              </a:rPr>
              <a:t>a</a:t>
            </a:r>
            <a:r>
              <a:rPr lang="en-GB" sz="700" b="1" i="1" baseline="-25000">
                <a:effectLst/>
              </a:rPr>
              <a:t>indoor</a:t>
            </a:r>
            <a:r>
              <a:rPr lang="en-GB" sz="700" b="1" i="0" baseline="0">
                <a:effectLst/>
              </a:rPr>
              <a:t> = 25 dB;  </a:t>
            </a:r>
            <a:r>
              <a:rPr lang="en-GB" sz="700" b="1" i="1" baseline="0">
                <a:effectLst/>
              </a:rPr>
              <a:t>A</a:t>
            </a:r>
            <a:r>
              <a:rPr lang="en-GB" sz="700" b="1" i="1" baseline="-25000">
                <a:effectLst/>
              </a:rPr>
              <a:t>hTx</a:t>
            </a:r>
            <a:r>
              <a:rPr lang="en-GB" sz="700" b="1" i="0" baseline="0">
                <a:effectLst/>
              </a:rPr>
              <a:t> = 19 dB </a:t>
            </a:r>
            <a:endParaRPr lang="ru-RU" sz="700">
              <a:effectLst/>
            </a:endParaRPr>
          </a:p>
        </c:rich>
      </c:tx>
      <c:layout>
        <c:manualLayout>
          <c:xMode val="edge"/>
          <c:yMode val="edge"/>
          <c:x val="0.1276577686137208"/>
          <c:y val="1.1904761904761921E-2"/>
        </c:manualLayout>
      </c:layout>
      <c:overlay val="0"/>
    </c:title>
    <c:autoTitleDeleted val="0"/>
    <c:plotArea>
      <c:layout>
        <c:manualLayout>
          <c:layoutTarget val="inner"/>
          <c:xMode val="edge"/>
          <c:yMode val="edge"/>
          <c:x val="0.12209733888712065"/>
          <c:y val="0.1776715410573679"/>
          <c:w val="0.8121884412954532"/>
          <c:h val="0.68933195850518836"/>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Лист1!$A$2:$A$183</c:f>
              <c:numCache>
                <c:formatCode>0.0</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Лист1!$B$2:$B$183</c:f>
              <c:numCache>
                <c:formatCode>General</c:formatCode>
                <c:ptCount val="182"/>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Лист1!$A$2:$A$183</c:f>
              <c:numCache>
                <c:formatCode>0.0</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Лист1!$C$2:$C$183</c:f>
              <c:numCache>
                <c:formatCode>General</c:formatCode>
                <c:ptCount val="182"/>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Лист1!$A$2:$A$183</c:f>
              <c:numCache>
                <c:formatCode>0.0</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Лист1!$D$2:$D$183</c:f>
              <c:numCache>
                <c:formatCode>General</c:formatCode>
                <c:ptCount val="182"/>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Лист1!$A$2:$A$183</c:f>
              <c:numCache>
                <c:formatCode>0.0</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Лист1!$E$2:$E$183</c:f>
              <c:numCache>
                <c:formatCode>General</c:formatCode>
                <c:ptCount val="182"/>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619287304"/>
        <c:axId val="619287696"/>
      </c:scatterChart>
      <c:valAx>
        <c:axId val="619287304"/>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manualLayout>
              <c:xMode val="edge"/>
              <c:yMode val="edge"/>
              <c:x val="0.39259075935603366"/>
              <c:y val="0.93002569677801938"/>
            </c:manualLayout>
          </c:layout>
          <c:overlay val="0"/>
        </c:title>
        <c:numFmt formatCode="0.0" sourceLinked="1"/>
        <c:majorTickMark val="none"/>
        <c:minorTickMark val="none"/>
        <c:tickLblPos val="low"/>
        <c:crossAx val="619287696"/>
        <c:crosses val="autoZero"/>
        <c:crossBetween val="midCat"/>
        <c:majorUnit val="10"/>
        <c:minorUnit val="1"/>
      </c:valAx>
      <c:valAx>
        <c:axId val="619287696"/>
        <c:scaling>
          <c:logBase val="10"/>
          <c:orientation val="minMax"/>
          <c:max val="0.2"/>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FS-IMT</a:t>
                </a:r>
                <a:r>
                  <a:rPr lang="en-US" sz="1200" b="1" i="0" baseline="0">
                    <a:effectLst/>
                  </a:rPr>
                  <a:t> (km)</a:t>
                </a:r>
                <a:endParaRPr lang="ru-RU" sz="1200">
                  <a:effectLst/>
                </a:endParaRPr>
              </a:p>
            </c:rich>
          </c:tx>
          <c:layout>
            <c:manualLayout>
              <c:xMode val="edge"/>
              <c:yMode val="edge"/>
              <c:x val="3.0476190476190577E-2"/>
              <c:y val="0.40740971817663607"/>
            </c:manualLayout>
          </c:layout>
          <c:overlay val="0"/>
        </c:title>
        <c:numFmt formatCode="General" sourceLinked="1"/>
        <c:majorTickMark val="none"/>
        <c:minorTickMark val="none"/>
        <c:tickLblPos val="low"/>
        <c:spPr>
          <a:ln>
            <a:solidFill>
              <a:schemeClr val="tx1"/>
            </a:solidFill>
          </a:ln>
        </c:spPr>
        <c:crossAx val="619287304"/>
        <c:crosses val="autoZero"/>
        <c:crossBetween val="midCat"/>
        <c:majorUnit val="2.0000000000000011E-2"/>
        <c:minorUnit val="1.0000000000000005E-2"/>
      </c:valAx>
      <c:spPr>
        <a:noFill/>
        <a:ln>
          <a:solidFill>
            <a:schemeClr val="tx1"/>
          </a:solidFill>
        </a:ln>
      </c:spPr>
    </c:plotArea>
    <c:legend>
      <c:legendPos val="l"/>
      <c:layout>
        <c:manualLayout>
          <c:xMode val="edge"/>
          <c:yMode val="edge"/>
          <c:x val="0.54958950869278422"/>
          <c:y val="0.23759357049342594"/>
          <c:w val="0.30742426968158093"/>
          <c:h val="0.14614298511015494"/>
        </c:manualLayout>
      </c:layout>
      <c:overlay val="1"/>
      <c:spPr>
        <a:solidFill>
          <a:schemeClr val="bg1"/>
        </a:solidFill>
      </c:spPr>
      <c:txPr>
        <a:bodyPr/>
        <a:lstStyle/>
        <a:p>
          <a:pPr>
            <a:defRPr sz="700"/>
          </a:pPr>
          <a:endParaRPr lang="en-US"/>
        </a:p>
      </c:txPr>
    </c:legend>
    <c:plotVisOnly val="1"/>
    <c:dispBlanksAs val="gap"/>
    <c:showDLblsOverMax val="0"/>
  </c:chart>
  <c:spPr>
    <a:ln w="15875">
      <a:solidFill>
        <a:sysClr val="windowText" lastClr="000000"/>
      </a:solid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en-US" sz="700" b="1" i="1" baseline="0">
                <a:effectLst/>
              </a:rPr>
              <a:t>C</a:t>
            </a:r>
            <a:r>
              <a:rPr lang="fr-FR" sz="700" b="1" i="1" baseline="0">
                <a:effectLst/>
              </a:rPr>
              <a:t>/I</a:t>
            </a:r>
            <a:r>
              <a:rPr lang="fr-FR" sz="700" b="1" i="0" baseline="0">
                <a:effectLst/>
              </a:rPr>
              <a:t>) </a:t>
            </a:r>
            <a:r>
              <a:rPr lang="en-GB" sz="700" b="1" i="1" baseline="-25000">
                <a:effectLst/>
              </a:rPr>
              <a:t>required</a:t>
            </a:r>
            <a:r>
              <a:rPr lang="fr-FR" sz="700" b="1" i="0" baseline="0">
                <a:effectLst/>
              </a:rPr>
              <a:t>  = 40 dB;   </a:t>
            </a:r>
          </a:p>
          <a:p>
            <a:pPr algn="l">
              <a:defRPr sz="700"/>
            </a:pPr>
            <a:r>
              <a:rPr lang="fr-FR" sz="700" b="1" i="0" baseline="0">
                <a:effectLst/>
              </a:rPr>
              <a:t>Channel Separation 40 MHz;           </a:t>
            </a:r>
            <a:endParaRPr lang="ru-RU" sz="700">
              <a:effectLst/>
            </a:endParaRPr>
          </a:p>
          <a:p>
            <a:pPr algn="l">
              <a:defRPr sz="700"/>
            </a:pPr>
            <a:r>
              <a:rPr lang="en-GB" sz="700" b="1" i="0" baseline="0">
                <a:effectLst/>
              </a:rPr>
              <a:t>Co‑channel (</a:t>
            </a:r>
            <a:r>
              <a:rPr lang="en-US" sz="700" b="1" i="1" baseline="0">
                <a:effectLst/>
              </a:rPr>
              <a:t>MD</a:t>
            </a:r>
            <a:r>
              <a:rPr lang="en-US" sz="700" b="1" i="0" baseline="0">
                <a:effectLst/>
              </a:rPr>
              <a:t> +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0 dB); </a:t>
            </a:r>
            <a:r>
              <a:rPr lang="ru-RU" sz="700" b="1" i="0" baseline="0">
                <a:effectLst/>
              </a:rPr>
              <a:t> </a:t>
            </a:r>
            <a:endParaRPr lang="en-US" sz="700" b="1" i="0" baseline="0">
              <a:effectLst/>
            </a:endParaRPr>
          </a:p>
          <a:p>
            <a:pPr algn="l">
              <a:defRPr sz="700"/>
            </a:pPr>
            <a:r>
              <a:rPr lang="en-GB" sz="700" b="1" i="1" baseline="0">
                <a:effectLst/>
              </a:rPr>
              <a:t>a</a:t>
            </a:r>
            <a:r>
              <a:rPr lang="en-GB" sz="700" b="1" i="1" baseline="-25000">
                <a:effectLst/>
              </a:rPr>
              <a:t>indoor</a:t>
            </a:r>
            <a:r>
              <a:rPr lang="en-GB" sz="700" b="1" i="1" baseline="0">
                <a:effectLst/>
              </a:rPr>
              <a:t> </a:t>
            </a:r>
            <a:r>
              <a:rPr lang="en-GB" sz="700" b="1" i="0" baseline="0">
                <a:effectLst/>
              </a:rPr>
              <a:t>= 25 dB;  </a:t>
            </a:r>
            <a:r>
              <a:rPr lang="en-GB" sz="700" b="1" i="1" baseline="0">
                <a:effectLst/>
              </a:rPr>
              <a:t>A</a:t>
            </a:r>
            <a:r>
              <a:rPr lang="en-GB" sz="700" b="1" i="1" baseline="-25000">
                <a:effectLst/>
              </a:rPr>
              <a:t>hTx</a:t>
            </a:r>
            <a:r>
              <a:rPr lang="en-GB" sz="700" b="1" i="0" baseline="0">
                <a:effectLst/>
              </a:rPr>
              <a:t> = 0 dB</a:t>
            </a:r>
            <a:endParaRPr lang="ru-RU" sz="700">
              <a:effectLst/>
            </a:endParaRPr>
          </a:p>
        </c:rich>
      </c:tx>
      <c:layout>
        <c:manualLayout>
          <c:xMode val="edge"/>
          <c:yMode val="edge"/>
          <c:x val="9.9475433991803724E-2"/>
          <c:y val="2.723846370414771E-2"/>
        </c:manualLayout>
      </c:layout>
      <c:overlay val="0"/>
    </c:title>
    <c:autoTitleDeleted val="0"/>
    <c:plotArea>
      <c:layout>
        <c:manualLayout>
          <c:layoutTarget val="inner"/>
          <c:xMode val="edge"/>
          <c:yMode val="edge"/>
          <c:x val="0.10266224616659789"/>
          <c:y val="0.22234295107575222"/>
          <c:w val="0.83712833264263065"/>
          <c:h val="0.68434333251596169"/>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Лист1!$A$2:$A$183</c:f>
              <c:numCache>
                <c:formatCode>General</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numCache>
            </c:numRef>
          </c:xVal>
          <c:yVal>
            <c:numRef>
              <c:f>Лист1!$B$2:$B$183</c:f>
              <c:numCache>
                <c:formatCode>General</c:formatCode>
                <c:ptCount val="182"/>
                <c:pt idx="0">
                  <c:v>0.84000000000000064</c:v>
                </c:pt>
                <c:pt idx="1">
                  <c:v>0.62000000000000133</c:v>
                </c:pt>
                <c:pt idx="2">
                  <c:v>0.26</c:v>
                </c:pt>
                <c:pt idx="3">
                  <c:v>0.18000000000000024</c:v>
                </c:pt>
                <c:pt idx="4">
                  <c:v>8.0000000000000043E-2</c:v>
                </c:pt>
                <c:pt idx="5">
                  <c:v>6.0000000000000032E-2</c:v>
                </c:pt>
                <c:pt idx="6">
                  <c:v>6.0000000000000032E-2</c:v>
                </c:pt>
                <c:pt idx="7">
                  <c:v>4.0000000000000022E-2</c:v>
                </c:pt>
                <c:pt idx="8">
                  <c:v>4.0000000000000022E-2</c:v>
                </c:pt>
                <c:pt idx="9">
                  <c:v>4.0000000000000022E-2</c:v>
                </c:pt>
                <c:pt idx="10">
                  <c:v>4.0000000000000022E-2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pt idx="181">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Лист1!$A$2:$A$183</c:f>
              <c:numCache>
                <c:formatCode>General</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numCache>
            </c:numRef>
          </c:xVal>
          <c:yVal>
            <c:numRef>
              <c:f>Лист1!$C$2:$C$183</c:f>
              <c:numCache>
                <c:formatCode>General</c:formatCode>
                <c:ptCount val="182"/>
                <c:pt idx="0">
                  <c:v>2.54</c:v>
                </c:pt>
                <c:pt idx="1">
                  <c:v>1.86</c:v>
                </c:pt>
                <c:pt idx="2">
                  <c:v>0.74000000000000132</c:v>
                </c:pt>
                <c:pt idx="3">
                  <c:v>0.54</c:v>
                </c:pt>
                <c:pt idx="4">
                  <c:v>0.22</c:v>
                </c:pt>
                <c:pt idx="5">
                  <c:v>0.16</c:v>
                </c:pt>
                <c:pt idx="6">
                  <c:v>0.14000000000000001</c:v>
                </c:pt>
                <c:pt idx="7">
                  <c:v>0.12000000000000002</c:v>
                </c:pt>
                <c:pt idx="8">
                  <c:v>0.1</c:v>
                </c:pt>
                <c:pt idx="9">
                  <c:v>8.0000000000000043E-2</c:v>
                </c:pt>
                <c:pt idx="10">
                  <c:v>8.0000000000000043E-2</c:v>
                </c:pt>
                <c:pt idx="11">
                  <c:v>6.0000000000000032E-2</c:v>
                </c:pt>
                <c:pt idx="12">
                  <c:v>6.0000000000000032E-2</c:v>
                </c:pt>
                <c:pt idx="13">
                  <c:v>6.0000000000000032E-2</c:v>
                </c:pt>
                <c:pt idx="14">
                  <c:v>6.0000000000000032E-2</c:v>
                </c:pt>
                <c:pt idx="15">
                  <c:v>4.0000000000000022E-2</c:v>
                </c:pt>
                <c:pt idx="16">
                  <c:v>4.0000000000000022E-2</c:v>
                </c:pt>
                <c:pt idx="17">
                  <c:v>4.0000000000000022E-2</c:v>
                </c:pt>
                <c:pt idx="18">
                  <c:v>4.0000000000000022E-2</c:v>
                </c:pt>
                <c:pt idx="19">
                  <c:v>4.0000000000000022E-2</c:v>
                </c:pt>
                <c:pt idx="20">
                  <c:v>4.0000000000000022E-2</c:v>
                </c:pt>
                <c:pt idx="21">
                  <c:v>4.0000000000000022E-2</c:v>
                </c:pt>
                <c:pt idx="22">
                  <c:v>4.0000000000000022E-2</c:v>
                </c:pt>
                <c:pt idx="23">
                  <c:v>4.0000000000000022E-2</c:v>
                </c:pt>
                <c:pt idx="24">
                  <c:v>4.0000000000000022E-2</c:v>
                </c:pt>
                <c:pt idx="25">
                  <c:v>4.0000000000000022E-2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pt idx="181">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Лист1!$A$2:$A$183</c:f>
              <c:numCache>
                <c:formatCode>General</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numCache>
            </c:numRef>
          </c:xVal>
          <c:yVal>
            <c:numRef>
              <c:f>Лист1!$D$2:$D$183</c:f>
              <c:numCache>
                <c:formatCode>General</c:formatCode>
                <c:ptCount val="182"/>
                <c:pt idx="0">
                  <c:v>4.28</c:v>
                </c:pt>
                <c:pt idx="1">
                  <c:v>3.12</c:v>
                </c:pt>
                <c:pt idx="2">
                  <c:v>1.22</c:v>
                </c:pt>
                <c:pt idx="3">
                  <c:v>0.9</c:v>
                </c:pt>
                <c:pt idx="4">
                  <c:v>0.36000000000000032</c:v>
                </c:pt>
                <c:pt idx="5">
                  <c:v>0.26</c:v>
                </c:pt>
                <c:pt idx="6">
                  <c:v>0.22</c:v>
                </c:pt>
                <c:pt idx="7">
                  <c:v>0.18000000000000024</c:v>
                </c:pt>
                <c:pt idx="8">
                  <c:v>0.16</c:v>
                </c:pt>
                <c:pt idx="9">
                  <c:v>0.14000000000000001</c:v>
                </c:pt>
                <c:pt idx="10">
                  <c:v>0.12000000000000002</c:v>
                </c:pt>
                <c:pt idx="11">
                  <c:v>0.1</c:v>
                </c:pt>
                <c:pt idx="12">
                  <c:v>0.1</c:v>
                </c:pt>
                <c:pt idx="13">
                  <c:v>8.0000000000000043E-2</c:v>
                </c:pt>
                <c:pt idx="14">
                  <c:v>8.0000000000000043E-2</c:v>
                </c:pt>
                <c:pt idx="15">
                  <c:v>8.0000000000000043E-2</c:v>
                </c:pt>
                <c:pt idx="16">
                  <c:v>8.0000000000000043E-2</c:v>
                </c:pt>
                <c:pt idx="17">
                  <c:v>6.0000000000000032E-2</c:v>
                </c:pt>
                <c:pt idx="18">
                  <c:v>6.0000000000000032E-2</c:v>
                </c:pt>
                <c:pt idx="19">
                  <c:v>6.0000000000000032E-2</c:v>
                </c:pt>
                <c:pt idx="20">
                  <c:v>6.0000000000000032E-2</c:v>
                </c:pt>
                <c:pt idx="21">
                  <c:v>6.0000000000000032E-2</c:v>
                </c:pt>
                <c:pt idx="22">
                  <c:v>6.0000000000000032E-2</c:v>
                </c:pt>
                <c:pt idx="23">
                  <c:v>4.0000000000000022E-2</c:v>
                </c:pt>
                <c:pt idx="24">
                  <c:v>4.0000000000000022E-2</c:v>
                </c:pt>
                <c:pt idx="25">
                  <c:v>4.0000000000000022E-2</c:v>
                </c:pt>
                <c:pt idx="26">
                  <c:v>4.0000000000000022E-2</c:v>
                </c:pt>
                <c:pt idx="27">
                  <c:v>4.0000000000000022E-2</c:v>
                </c:pt>
                <c:pt idx="28">
                  <c:v>4.0000000000000022E-2</c:v>
                </c:pt>
                <c:pt idx="29">
                  <c:v>4.0000000000000022E-2</c:v>
                </c:pt>
                <c:pt idx="30">
                  <c:v>4.0000000000000022E-2</c:v>
                </c:pt>
                <c:pt idx="31">
                  <c:v>4.0000000000000022E-2</c:v>
                </c:pt>
                <c:pt idx="32">
                  <c:v>4.0000000000000022E-2</c:v>
                </c:pt>
                <c:pt idx="33">
                  <c:v>4.0000000000000022E-2</c:v>
                </c:pt>
                <c:pt idx="34">
                  <c:v>4.0000000000000022E-2</c:v>
                </c:pt>
                <c:pt idx="35">
                  <c:v>4.0000000000000022E-2</c:v>
                </c:pt>
                <c:pt idx="36">
                  <c:v>4.0000000000000022E-2</c:v>
                </c:pt>
                <c:pt idx="37">
                  <c:v>4.0000000000000022E-2</c:v>
                </c:pt>
                <c:pt idx="38">
                  <c:v>4.0000000000000022E-2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pt idx="181">
                  <c:v>2.0000000000000011E-2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Лист1!$A$2:$A$183</c:f>
              <c:numCache>
                <c:formatCode>General</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numCache>
            </c:numRef>
          </c:xVal>
          <c:yVal>
            <c:numRef>
              <c:f>Лист1!$E$2:$E$183</c:f>
              <c:numCache>
                <c:formatCode>General</c:formatCode>
                <c:ptCount val="182"/>
                <c:pt idx="0">
                  <c:v>6.04</c:v>
                </c:pt>
                <c:pt idx="1">
                  <c:v>4.4000000000000004</c:v>
                </c:pt>
                <c:pt idx="2">
                  <c:v>1.72</c:v>
                </c:pt>
                <c:pt idx="3">
                  <c:v>1.28</c:v>
                </c:pt>
                <c:pt idx="4">
                  <c:v>0.48000000000000032</c:v>
                </c:pt>
                <c:pt idx="5">
                  <c:v>0.38000000000000073</c:v>
                </c:pt>
                <c:pt idx="6">
                  <c:v>0.30000000000000032</c:v>
                </c:pt>
                <c:pt idx="7">
                  <c:v>0.24000000000000021</c:v>
                </c:pt>
                <c:pt idx="8">
                  <c:v>0.22</c:v>
                </c:pt>
                <c:pt idx="9">
                  <c:v>0.18000000000000024</c:v>
                </c:pt>
                <c:pt idx="10">
                  <c:v>0.16</c:v>
                </c:pt>
                <c:pt idx="11">
                  <c:v>0.14000000000000001</c:v>
                </c:pt>
                <c:pt idx="12">
                  <c:v>0.14000000000000001</c:v>
                </c:pt>
                <c:pt idx="13">
                  <c:v>0.12000000000000002</c:v>
                </c:pt>
                <c:pt idx="14">
                  <c:v>0.1</c:v>
                </c:pt>
                <c:pt idx="15">
                  <c:v>0.1</c:v>
                </c:pt>
                <c:pt idx="16">
                  <c:v>0.1</c:v>
                </c:pt>
                <c:pt idx="17">
                  <c:v>8.0000000000000043E-2</c:v>
                </c:pt>
                <c:pt idx="18">
                  <c:v>8.0000000000000043E-2</c:v>
                </c:pt>
                <c:pt idx="19">
                  <c:v>8.0000000000000043E-2</c:v>
                </c:pt>
                <c:pt idx="20">
                  <c:v>8.0000000000000043E-2</c:v>
                </c:pt>
                <c:pt idx="21">
                  <c:v>8.0000000000000043E-2</c:v>
                </c:pt>
                <c:pt idx="22">
                  <c:v>6.0000000000000032E-2</c:v>
                </c:pt>
                <c:pt idx="23">
                  <c:v>6.0000000000000032E-2</c:v>
                </c:pt>
                <c:pt idx="24">
                  <c:v>6.0000000000000032E-2</c:v>
                </c:pt>
                <c:pt idx="25">
                  <c:v>6.0000000000000032E-2</c:v>
                </c:pt>
                <c:pt idx="26">
                  <c:v>6.0000000000000032E-2</c:v>
                </c:pt>
                <c:pt idx="27">
                  <c:v>6.0000000000000032E-2</c:v>
                </c:pt>
                <c:pt idx="28">
                  <c:v>6.0000000000000032E-2</c:v>
                </c:pt>
                <c:pt idx="29">
                  <c:v>6.0000000000000032E-2</c:v>
                </c:pt>
                <c:pt idx="30">
                  <c:v>4.0000000000000022E-2</c:v>
                </c:pt>
                <c:pt idx="31">
                  <c:v>4.0000000000000022E-2</c:v>
                </c:pt>
                <c:pt idx="32">
                  <c:v>4.0000000000000022E-2</c:v>
                </c:pt>
                <c:pt idx="33">
                  <c:v>4.0000000000000022E-2</c:v>
                </c:pt>
                <c:pt idx="34">
                  <c:v>4.0000000000000022E-2</c:v>
                </c:pt>
                <c:pt idx="35">
                  <c:v>4.0000000000000022E-2</c:v>
                </c:pt>
                <c:pt idx="36">
                  <c:v>4.0000000000000022E-2</c:v>
                </c:pt>
                <c:pt idx="37">
                  <c:v>4.0000000000000022E-2</c:v>
                </c:pt>
                <c:pt idx="38">
                  <c:v>4.0000000000000022E-2</c:v>
                </c:pt>
                <c:pt idx="39">
                  <c:v>4.0000000000000022E-2</c:v>
                </c:pt>
                <c:pt idx="40">
                  <c:v>4.0000000000000022E-2</c:v>
                </c:pt>
                <c:pt idx="41">
                  <c:v>4.0000000000000022E-2</c:v>
                </c:pt>
                <c:pt idx="42">
                  <c:v>4.0000000000000022E-2</c:v>
                </c:pt>
                <c:pt idx="43">
                  <c:v>4.0000000000000022E-2</c:v>
                </c:pt>
                <c:pt idx="44">
                  <c:v>4.0000000000000022E-2</c:v>
                </c:pt>
                <c:pt idx="45">
                  <c:v>4.0000000000000022E-2</c:v>
                </c:pt>
                <c:pt idx="46">
                  <c:v>4.0000000000000022E-2</c:v>
                </c:pt>
                <c:pt idx="47">
                  <c:v>4.0000000000000022E-2</c:v>
                </c:pt>
                <c:pt idx="48">
                  <c:v>4.0000000000000022E-2</c:v>
                </c:pt>
                <c:pt idx="49">
                  <c:v>4.0000000000000022E-2</c:v>
                </c:pt>
                <c:pt idx="50">
                  <c:v>4.0000000000000022E-2</c:v>
                </c:pt>
                <c:pt idx="51">
                  <c:v>4.0000000000000022E-2</c:v>
                </c:pt>
                <c:pt idx="52">
                  <c:v>4.0000000000000022E-2</c:v>
                </c:pt>
                <c:pt idx="53">
                  <c:v>4.0000000000000022E-2</c:v>
                </c:pt>
                <c:pt idx="54">
                  <c:v>4.0000000000000022E-2</c:v>
                </c:pt>
                <c:pt idx="55">
                  <c:v>4.0000000000000022E-2</c:v>
                </c:pt>
                <c:pt idx="56">
                  <c:v>4.0000000000000022E-2</c:v>
                </c:pt>
                <c:pt idx="57">
                  <c:v>4.0000000000000022E-2</c:v>
                </c:pt>
                <c:pt idx="58">
                  <c:v>4.0000000000000022E-2</c:v>
                </c:pt>
                <c:pt idx="59">
                  <c:v>4.0000000000000022E-2</c:v>
                </c:pt>
                <c:pt idx="60">
                  <c:v>4.0000000000000022E-2</c:v>
                </c:pt>
                <c:pt idx="61">
                  <c:v>4.0000000000000022E-2</c:v>
                </c:pt>
                <c:pt idx="62">
                  <c:v>4.0000000000000022E-2</c:v>
                </c:pt>
                <c:pt idx="63">
                  <c:v>4.0000000000000022E-2</c:v>
                </c:pt>
                <c:pt idx="64">
                  <c:v>4.0000000000000022E-2</c:v>
                </c:pt>
                <c:pt idx="65">
                  <c:v>4.0000000000000022E-2</c:v>
                </c:pt>
                <c:pt idx="66">
                  <c:v>4.0000000000000022E-2</c:v>
                </c:pt>
                <c:pt idx="67">
                  <c:v>4.0000000000000022E-2</c:v>
                </c:pt>
                <c:pt idx="68">
                  <c:v>4.0000000000000022E-2</c:v>
                </c:pt>
                <c:pt idx="69">
                  <c:v>4.0000000000000022E-2</c:v>
                </c:pt>
                <c:pt idx="70">
                  <c:v>4.0000000000000022E-2</c:v>
                </c:pt>
                <c:pt idx="71">
                  <c:v>4.0000000000000022E-2</c:v>
                </c:pt>
                <c:pt idx="72">
                  <c:v>4.0000000000000022E-2</c:v>
                </c:pt>
                <c:pt idx="73">
                  <c:v>4.0000000000000022E-2</c:v>
                </c:pt>
                <c:pt idx="74">
                  <c:v>4.0000000000000022E-2</c:v>
                </c:pt>
                <c:pt idx="75">
                  <c:v>4.0000000000000022E-2</c:v>
                </c:pt>
                <c:pt idx="76">
                  <c:v>4.0000000000000022E-2</c:v>
                </c:pt>
                <c:pt idx="77">
                  <c:v>4.0000000000000022E-2</c:v>
                </c:pt>
                <c:pt idx="78">
                  <c:v>4.0000000000000022E-2</c:v>
                </c:pt>
                <c:pt idx="79">
                  <c:v>4.0000000000000022E-2</c:v>
                </c:pt>
                <c:pt idx="80">
                  <c:v>4.0000000000000022E-2</c:v>
                </c:pt>
                <c:pt idx="81">
                  <c:v>4.0000000000000022E-2</c:v>
                </c:pt>
                <c:pt idx="82">
                  <c:v>4.0000000000000022E-2</c:v>
                </c:pt>
                <c:pt idx="83">
                  <c:v>4.0000000000000022E-2</c:v>
                </c:pt>
                <c:pt idx="84">
                  <c:v>4.0000000000000022E-2</c:v>
                </c:pt>
                <c:pt idx="85">
                  <c:v>4.0000000000000022E-2</c:v>
                </c:pt>
                <c:pt idx="86">
                  <c:v>4.0000000000000022E-2</c:v>
                </c:pt>
                <c:pt idx="87">
                  <c:v>4.0000000000000022E-2</c:v>
                </c:pt>
                <c:pt idx="88">
                  <c:v>4.0000000000000022E-2</c:v>
                </c:pt>
                <c:pt idx="89">
                  <c:v>4.0000000000000022E-2</c:v>
                </c:pt>
                <c:pt idx="90">
                  <c:v>4.0000000000000022E-2</c:v>
                </c:pt>
                <c:pt idx="91">
                  <c:v>4.0000000000000022E-2</c:v>
                </c:pt>
                <c:pt idx="92">
                  <c:v>4.0000000000000022E-2</c:v>
                </c:pt>
                <c:pt idx="93">
                  <c:v>4.0000000000000022E-2</c:v>
                </c:pt>
                <c:pt idx="94">
                  <c:v>4.0000000000000022E-2</c:v>
                </c:pt>
                <c:pt idx="95">
                  <c:v>4.0000000000000022E-2</c:v>
                </c:pt>
                <c:pt idx="96">
                  <c:v>4.0000000000000022E-2</c:v>
                </c:pt>
                <c:pt idx="97">
                  <c:v>4.0000000000000022E-2</c:v>
                </c:pt>
                <c:pt idx="98">
                  <c:v>4.0000000000000022E-2</c:v>
                </c:pt>
                <c:pt idx="99">
                  <c:v>4.0000000000000022E-2</c:v>
                </c:pt>
                <c:pt idx="100">
                  <c:v>4.0000000000000022E-2</c:v>
                </c:pt>
                <c:pt idx="101">
                  <c:v>4.0000000000000022E-2</c:v>
                </c:pt>
                <c:pt idx="102">
                  <c:v>4.0000000000000022E-2</c:v>
                </c:pt>
                <c:pt idx="103">
                  <c:v>4.0000000000000022E-2</c:v>
                </c:pt>
                <c:pt idx="104">
                  <c:v>4.0000000000000022E-2</c:v>
                </c:pt>
                <c:pt idx="105">
                  <c:v>4.0000000000000022E-2</c:v>
                </c:pt>
                <c:pt idx="106">
                  <c:v>4.0000000000000022E-2</c:v>
                </c:pt>
                <c:pt idx="107">
                  <c:v>4.0000000000000022E-2</c:v>
                </c:pt>
                <c:pt idx="108">
                  <c:v>4.0000000000000022E-2</c:v>
                </c:pt>
                <c:pt idx="109">
                  <c:v>4.0000000000000022E-2</c:v>
                </c:pt>
                <c:pt idx="110">
                  <c:v>4.0000000000000022E-2</c:v>
                </c:pt>
                <c:pt idx="111">
                  <c:v>4.0000000000000022E-2</c:v>
                </c:pt>
                <c:pt idx="112">
                  <c:v>4.0000000000000022E-2</c:v>
                </c:pt>
                <c:pt idx="113">
                  <c:v>4.0000000000000022E-2</c:v>
                </c:pt>
                <c:pt idx="114">
                  <c:v>4.0000000000000022E-2</c:v>
                </c:pt>
                <c:pt idx="115">
                  <c:v>4.0000000000000022E-2</c:v>
                </c:pt>
                <c:pt idx="116">
                  <c:v>4.0000000000000022E-2</c:v>
                </c:pt>
                <c:pt idx="117">
                  <c:v>4.0000000000000022E-2</c:v>
                </c:pt>
                <c:pt idx="118">
                  <c:v>4.0000000000000022E-2</c:v>
                </c:pt>
                <c:pt idx="119">
                  <c:v>4.0000000000000022E-2</c:v>
                </c:pt>
                <c:pt idx="120">
                  <c:v>4.0000000000000022E-2</c:v>
                </c:pt>
                <c:pt idx="121">
                  <c:v>4.0000000000000022E-2</c:v>
                </c:pt>
                <c:pt idx="122">
                  <c:v>4.0000000000000022E-2</c:v>
                </c:pt>
                <c:pt idx="123">
                  <c:v>4.0000000000000022E-2</c:v>
                </c:pt>
                <c:pt idx="124">
                  <c:v>4.0000000000000022E-2</c:v>
                </c:pt>
                <c:pt idx="125">
                  <c:v>4.0000000000000022E-2</c:v>
                </c:pt>
                <c:pt idx="126">
                  <c:v>4.0000000000000022E-2</c:v>
                </c:pt>
                <c:pt idx="127">
                  <c:v>4.0000000000000022E-2</c:v>
                </c:pt>
                <c:pt idx="128">
                  <c:v>4.0000000000000022E-2</c:v>
                </c:pt>
                <c:pt idx="129">
                  <c:v>4.0000000000000022E-2</c:v>
                </c:pt>
                <c:pt idx="130">
                  <c:v>4.0000000000000022E-2</c:v>
                </c:pt>
                <c:pt idx="131">
                  <c:v>4.0000000000000022E-2</c:v>
                </c:pt>
                <c:pt idx="132">
                  <c:v>4.0000000000000022E-2</c:v>
                </c:pt>
                <c:pt idx="133">
                  <c:v>4.0000000000000022E-2</c:v>
                </c:pt>
                <c:pt idx="134">
                  <c:v>4.0000000000000022E-2</c:v>
                </c:pt>
                <c:pt idx="135">
                  <c:v>4.0000000000000022E-2</c:v>
                </c:pt>
                <c:pt idx="136">
                  <c:v>4.0000000000000022E-2</c:v>
                </c:pt>
                <c:pt idx="137">
                  <c:v>4.0000000000000022E-2</c:v>
                </c:pt>
                <c:pt idx="138">
                  <c:v>4.0000000000000022E-2</c:v>
                </c:pt>
                <c:pt idx="139">
                  <c:v>4.0000000000000022E-2</c:v>
                </c:pt>
                <c:pt idx="140">
                  <c:v>4.0000000000000022E-2</c:v>
                </c:pt>
                <c:pt idx="141">
                  <c:v>4.0000000000000022E-2</c:v>
                </c:pt>
                <c:pt idx="142">
                  <c:v>4.0000000000000022E-2</c:v>
                </c:pt>
                <c:pt idx="143">
                  <c:v>4.0000000000000022E-2</c:v>
                </c:pt>
                <c:pt idx="144">
                  <c:v>4.0000000000000022E-2</c:v>
                </c:pt>
                <c:pt idx="145">
                  <c:v>4.0000000000000022E-2</c:v>
                </c:pt>
                <c:pt idx="146">
                  <c:v>4.0000000000000022E-2</c:v>
                </c:pt>
                <c:pt idx="147">
                  <c:v>4.0000000000000022E-2</c:v>
                </c:pt>
                <c:pt idx="148">
                  <c:v>4.0000000000000022E-2</c:v>
                </c:pt>
                <c:pt idx="149">
                  <c:v>4.0000000000000022E-2</c:v>
                </c:pt>
                <c:pt idx="150">
                  <c:v>4.0000000000000022E-2</c:v>
                </c:pt>
                <c:pt idx="151">
                  <c:v>4.0000000000000022E-2</c:v>
                </c:pt>
                <c:pt idx="152">
                  <c:v>4.0000000000000022E-2</c:v>
                </c:pt>
                <c:pt idx="153">
                  <c:v>4.0000000000000022E-2</c:v>
                </c:pt>
                <c:pt idx="154">
                  <c:v>4.0000000000000022E-2</c:v>
                </c:pt>
                <c:pt idx="155">
                  <c:v>4.0000000000000022E-2</c:v>
                </c:pt>
                <c:pt idx="156">
                  <c:v>4.0000000000000022E-2</c:v>
                </c:pt>
                <c:pt idx="157">
                  <c:v>4.0000000000000022E-2</c:v>
                </c:pt>
                <c:pt idx="158">
                  <c:v>4.0000000000000022E-2</c:v>
                </c:pt>
                <c:pt idx="159">
                  <c:v>4.0000000000000022E-2</c:v>
                </c:pt>
                <c:pt idx="160">
                  <c:v>4.0000000000000022E-2</c:v>
                </c:pt>
                <c:pt idx="161">
                  <c:v>4.0000000000000022E-2</c:v>
                </c:pt>
                <c:pt idx="162">
                  <c:v>4.0000000000000022E-2</c:v>
                </c:pt>
                <c:pt idx="163">
                  <c:v>4.0000000000000022E-2</c:v>
                </c:pt>
                <c:pt idx="164">
                  <c:v>4.0000000000000022E-2</c:v>
                </c:pt>
                <c:pt idx="165">
                  <c:v>4.0000000000000022E-2</c:v>
                </c:pt>
                <c:pt idx="166">
                  <c:v>4.0000000000000022E-2</c:v>
                </c:pt>
                <c:pt idx="167">
                  <c:v>4.0000000000000022E-2</c:v>
                </c:pt>
                <c:pt idx="168">
                  <c:v>4.0000000000000022E-2</c:v>
                </c:pt>
                <c:pt idx="169">
                  <c:v>4.0000000000000022E-2</c:v>
                </c:pt>
                <c:pt idx="170">
                  <c:v>4.0000000000000022E-2</c:v>
                </c:pt>
                <c:pt idx="171">
                  <c:v>4.0000000000000022E-2</c:v>
                </c:pt>
                <c:pt idx="172">
                  <c:v>4.0000000000000022E-2</c:v>
                </c:pt>
                <c:pt idx="173">
                  <c:v>4.0000000000000022E-2</c:v>
                </c:pt>
                <c:pt idx="174">
                  <c:v>4.0000000000000022E-2</c:v>
                </c:pt>
                <c:pt idx="175">
                  <c:v>4.0000000000000022E-2</c:v>
                </c:pt>
                <c:pt idx="176">
                  <c:v>4.0000000000000022E-2</c:v>
                </c:pt>
                <c:pt idx="177">
                  <c:v>4.0000000000000022E-2</c:v>
                </c:pt>
                <c:pt idx="178">
                  <c:v>4.0000000000000022E-2</c:v>
                </c:pt>
                <c:pt idx="179">
                  <c:v>4.0000000000000022E-2</c:v>
                </c:pt>
                <c:pt idx="180">
                  <c:v>4.0000000000000022E-2</c:v>
                </c:pt>
                <c:pt idx="181">
                  <c:v>2.0000000000000011E-2</c:v>
                </c:pt>
              </c:numCache>
            </c:numRef>
          </c:yVal>
          <c:smooth val="0"/>
        </c:ser>
        <c:dLbls>
          <c:showLegendKey val="0"/>
          <c:showVal val="0"/>
          <c:showCatName val="0"/>
          <c:showSerName val="0"/>
          <c:showPercent val="0"/>
          <c:showBubbleSize val="0"/>
        </c:dLbls>
        <c:axId val="991381592"/>
        <c:axId val="991381984"/>
      </c:scatterChart>
      <c:valAx>
        <c:axId val="991381592"/>
        <c:scaling>
          <c:logBase val="10"/>
          <c:orientation val="minMax"/>
          <c:max val="180"/>
          <c:min val="0.1"/>
        </c:scaling>
        <c:delete val="0"/>
        <c:axPos val="b"/>
        <c:majorGridlines/>
        <c:minorGridlines/>
        <c:title>
          <c:tx>
            <c:rich>
              <a:bodyPr/>
              <a:lstStyle/>
              <a:p>
                <a:pPr>
                  <a:defRPr/>
                </a:pPr>
                <a:r>
                  <a:rPr lang="en-US" sz="1200" b="1" i="0" u="none" strike="noStrike" baseline="0">
                    <a:effectLst/>
                    <a:latin typeface="Symbol" panose="05050102010706020507" pitchFamily="18" charset="2"/>
                  </a:rPr>
                  <a:t>D</a:t>
                </a:r>
                <a:r>
                  <a:rPr lang="en-US" sz="1200" b="1" i="1" u="none" strike="noStrike" baseline="-25000">
                    <a:effectLst/>
                  </a:rPr>
                  <a:t>azFS-IMT</a:t>
                </a:r>
                <a:r>
                  <a:rPr lang="en-US" sz="1200" b="1" i="0" u="none" strike="noStrike" baseline="0">
                    <a:effectLst/>
                  </a:rPr>
                  <a:t> (degree)</a:t>
                </a:r>
                <a:endParaRPr lang="ru-RU" sz="1200"/>
              </a:p>
            </c:rich>
          </c:tx>
          <c:layout>
            <c:manualLayout>
              <c:xMode val="edge"/>
              <c:yMode val="edge"/>
              <c:x val="0.39481696366901747"/>
              <c:y val="0.92107023411371414"/>
            </c:manualLayout>
          </c:layout>
          <c:overlay val="0"/>
        </c:title>
        <c:numFmt formatCode="General" sourceLinked="1"/>
        <c:majorTickMark val="none"/>
        <c:minorTickMark val="none"/>
        <c:tickLblPos val="low"/>
        <c:crossAx val="991381984"/>
        <c:crosses val="autoZero"/>
        <c:crossBetween val="midCat"/>
      </c:valAx>
      <c:valAx>
        <c:axId val="991381984"/>
        <c:scaling>
          <c:logBase val="10"/>
          <c:orientation val="minMax"/>
          <c:max val="10"/>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FS-IMT</a:t>
                </a:r>
                <a:r>
                  <a:rPr lang="en-US" sz="1200" b="1" i="1" baseline="0">
                    <a:effectLst/>
                  </a:rPr>
                  <a:t> </a:t>
                </a:r>
                <a:r>
                  <a:rPr lang="en-US" sz="1200" b="1" i="0" baseline="0">
                    <a:effectLst/>
                  </a:rPr>
                  <a:t> (km)</a:t>
                </a:r>
                <a:endParaRPr lang="ru-RU" sz="1200">
                  <a:effectLst/>
                </a:endParaRPr>
              </a:p>
            </c:rich>
          </c:tx>
          <c:layout>
            <c:manualLayout>
              <c:xMode val="edge"/>
              <c:yMode val="edge"/>
              <c:x val="4.6299910633181823E-3"/>
              <c:y val="0.39283415703356228"/>
            </c:manualLayout>
          </c:layout>
          <c:overlay val="0"/>
        </c:title>
        <c:numFmt formatCode="General" sourceLinked="1"/>
        <c:majorTickMark val="none"/>
        <c:minorTickMark val="none"/>
        <c:tickLblPos val="low"/>
        <c:crossAx val="991381592"/>
        <c:crosses val="autoZero"/>
        <c:crossBetween val="midCat"/>
      </c:valAx>
    </c:plotArea>
    <c:legend>
      <c:legendPos val="l"/>
      <c:layout>
        <c:manualLayout>
          <c:xMode val="edge"/>
          <c:yMode val="edge"/>
          <c:x val="0.6208461573882228"/>
          <c:y val="0.25455665867853411"/>
          <c:w val="0.30707224754800388"/>
          <c:h val="0.16004519488539945"/>
        </c:manualLayout>
      </c:layout>
      <c:overlay val="1"/>
      <c:spPr>
        <a:solidFill>
          <a:schemeClr val="bg1"/>
        </a:solidFill>
      </c:spPr>
      <c:txPr>
        <a:bodyPr/>
        <a:lstStyle/>
        <a:p>
          <a:pPr algn="l">
            <a:defRPr sz="700"/>
          </a:pPr>
          <a:endParaRPr lang="en-US"/>
        </a:p>
      </c:txPr>
    </c:legend>
    <c:plotVisOnly val="1"/>
    <c:dispBlanksAs val="gap"/>
    <c:showDLblsOverMax val="0"/>
  </c:chart>
  <c:spPr>
    <a:ln w="15875">
      <a:solidFill>
        <a:schemeClr val="tx1"/>
      </a:solid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fr-FR" sz="700" b="1" i="1" baseline="0">
                <a:effectLst/>
              </a:rPr>
              <a:t>C</a:t>
            </a:r>
            <a:r>
              <a:rPr lang="fr-FR" sz="700" b="1" i="0" baseline="0">
                <a:effectLst/>
              </a:rPr>
              <a:t>/</a:t>
            </a:r>
            <a:r>
              <a:rPr lang="fr-FR" sz="700" b="1" i="1" baseline="0">
                <a:effectLst/>
              </a:rPr>
              <a:t>I</a:t>
            </a:r>
            <a:r>
              <a:rPr lang="fr-FR" sz="700" b="1" i="0" baseline="0">
                <a:effectLst/>
              </a:rPr>
              <a:t>) </a:t>
            </a:r>
            <a:r>
              <a:rPr lang="en-GB" sz="700" b="1" i="1" baseline="-25000">
                <a:effectLst/>
              </a:rPr>
              <a:t>required</a:t>
            </a:r>
            <a:r>
              <a:rPr lang="fr-FR" sz="700" b="1" i="0" baseline="0">
                <a:effectLst/>
              </a:rPr>
              <a:t>  = 40 dB; </a:t>
            </a:r>
          </a:p>
          <a:p>
            <a:pPr algn="l">
              <a:defRPr sz="700"/>
            </a:pPr>
            <a:r>
              <a:rPr lang="fr-FR" sz="700" b="1" i="0" baseline="0">
                <a:effectLst/>
              </a:rPr>
              <a:t>Channel Separation 40  MHz;           </a:t>
            </a:r>
            <a:endParaRPr lang="ru-RU" sz="700">
              <a:effectLst/>
            </a:endParaRPr>
          </a:p>
          <a:p>
            <a:pPr algn="l">
              <a:defRPr sz="700"/>
            </a:pPr>
            <a:r>
              <a:rPr lang="en-GB" sz="700" b="1" i="0" baseline="0">
                <a:effectLst/>
              </a:rPr>
              <a:t>First adjacent channel</a:t>
            </a:r>
            <a:r>
              <a:rPr lang="ru-RU" sz="700" b="1" i="0" baseline="0">
                <a:effectLst/>
              </a:rPr>
              <a:t> </a:t>
            </a:r>
            <a:r>
              <a:rPr lang="en-GB" sz="700" b="1" i="0" baseline="0">
                <a:effectLst/>
              </a:rPr>
              <a:t> (</a:t>
            </a:r>
            <a:r>
              <a:rPr lang="en-US" sz="700" b="1" i="1" baseline="0">
                <a:effectLst/>
              </a:rPr>
              <a:t>MD</a:t>
            </a:r>
            <a:r>
              <a:rPr lang="en-US" sz="700" b="1" i="0" baseline="0">
                <a:effectLst/>
              </a:rPr>
              <a:t> +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a:t>
            </a:r>
            <a:r>
              <a:rPr lang="ru-RU" sz="700" b="1" i="0" baseline="0">
                <a:effectLst/>
              </a:rPr>
              <a:t>45</a:t>
            </a:r>
            <a:r>
              <a:rPr lang="en-US" sz="700" b="1" i="0" baseline="0">
                <a:effectLst/>
              </a:rPr>
              <a:t> dB);</a:t>
            </a:r>
            <a:endParaRPr lang="ru-RU" sz="700">
              <a:effectLst/>
            </a:endParaRPr>
          </a:p>
          <a:p>
            <a:pPr algn="l">
              <a:defRPr sz="700"/>
            </a:pPr>
            <a:r>
              <a:rPr lang="ru-RU" sz="700" b="1" i="1" baseline="0">
                <a:effectLst/>
              </a:rPr>
              <a:t> </a:t>
            </a:r>
            <a:r>
              <a:rPr lang="en-GB" sz="700" b="1" i="1" baseline="0">
                <a:effectLst/>
              </a:rPr>
              <a:t>a</a:t>
            </a:r>
            <a:r>
              <a:rPr lang="en-GB" sz="700" b="1" i="1" baseline="-25000">
                <a:effectLst/>
              </a:rPr>
              <a:t>indoor</a:t>
            </a:r>
            <a:r>
              <a:rPr lang="en-GB" sz="700" b="1" i="1" baseline="0">
                <a:effectLst/>
              </a:rPr>
              <a:t> </a:t>
            </a:r>
            <a:r>
              <a:rPr lang="en-GB" sz="700" b="1" i="0" baseline="0">
                <a:effectLst/>
              </a:rPr>
              <a:t>= 25 dB;  </a:t>
            </a:r>
            <a:r>
              <a:rPr lang="en-GB" sz="700" b="1" i="1" baseline="0">
                <a:effectLst/>
              </a:rPr>
              <a:t>A</a:t>
            </a:r>
            <a:r>
              <a:rPr lang="en-GB" sz="700" b="1" i="1" baseline="-25000">
                <a:effectLst/>
              </a:rPr>
              <a:t>hTx</a:t>
            </a:r>
            <a:r>
              <a:rPr lang="en-GB" sz="700" b="1" i="0" baseline="0">
                <a:effectLst/>
              </a:rPr>
              <a:t> = 0 dB </a:t>
            </a:r>
            <a:endParaRPr lang="ru-RU" sz="700">
              <a:effectLst/>
            </a:endParaRPr>
          </a:p>
        </c:rich>
      </c:tx>
      <c:layout>
        <c:manualLayout>
          <c:xMode val="edge"/>
          <c:yMode val="edge"/>
          <c:x val="0.10692789983530535"/>
          <c:y val="2.1191657092685485E-3"/>
        </c:manualLayout>
      </c:layout>
      <c:overlay val="0"/>
    </c:title>
    <c:autoTitleDeleted val="0"/>
    <c:plotArea>
      <c:layout>
        <c:manualLayout>
          <c:layoutTarget val="inner"/>
          <c:xMode val="edge"/>
          <c:yMode val="edge"/>
          <c:x val="0.10596441267626359"/>
          <c:y val="0.19755127160829034"/>
          <c:w val="0.82751130792195082"/>
          <c:h val="0.64961134306610402"/>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Лист1!$A$2:$A$183</c:f>
              <c:numCache>
                <c:formatCode>General</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numCache>
            </c:numRef>
          </c:xVal>
          <c:yVal>
            <c:numRef>
              <c:f>Лист1!$B$2:$B$183</c:f>
              <c:numCache>
                <c:formatCode>General</c:formatCode>
                <c:ptCount val="182"/>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pt idx="181">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Лист1!$A$2:$A$183</c:f>
              <c:numCache>
                <c:formatCode>General</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numCache>
            </c:numRef>
          </c:xVal>
          <c:yVal>
            <c:numRef>
              <c:f>Лист1!$C$2:$C$183</c:f>
              <c:numCache>
                <c:formatCode>General</c:formatCode>
                <c:ptCount val="182"/>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pt idx="181">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Лист1!$A$2:$A$183</c:f>
              <c:numCache>
                <c:formatCode>General</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numCache>
            </c:numRef>
          </c:xVal>
          <c:yVal>
            <c:numRef>
              <c:f>Лист1!$D$2:$D$183</c:f>
              <c:numCache>
                <c:formatCode>General</c:formatCode>
                <c:ptCount val="182"/>
                <c:pt idx="0">
                  <c:v>4.0000000000000022E-2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pt idx="181">
                  <c:v>2.0000000000000011E-2</c:v>
                </c:pt>
              </c:numCache>
            </c:numRef>
          </c:yVal>
          <c:smooth val="0"/>
        </c:ser>
        <c:ser>
          <c:idx val="3"/>
          <c:order val="3"/>
          <c:tx>
            <c:strRef>
              <c:f>Лист1!$E$1</c:f>
              <c:strCache>
                <c:ptCount val="1"/>
                <c:pt idx="0">
                  <c:v>Link Length 70 km</c:v>
                </c:pt>
              </c:strCache>
            </c:strRef>
          </c:tx>
          <c:spPr>
            <a:ln>
              <a:solidFill>
                <a:sysClr val="windowText" lastClr="000000"/>
              </a:solidFill>
            </a:ln>
          </c:spPr>
          <c:marker>
            <c:symbol val="none"/>
          </c:marker>
          <c:xVal>
            <c:numRef>
              <c:f>Лист1!$A$2:$A$183</c:f>
              <c:numCache>
                <c:formatCode>General</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numCache>
            </c:numRef>
          </c:xVal>
          <c:yVal>
            <c:numRef>
              <c:f>Лист1!$E$2:$E$183</c:f>
              <c:numCache>
                <c:formatCode>General</c:formatCode>
                <c:ptCount val="182"/>
                <c:pt idx="0">
                  <c:v>4.0000000000000022E-2</c:v>
                </c:pt>
                <c:pt idx="1">
                  <c:v>4.0000000000000022E-2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pt idx="181">
                  <c:v>2.0000000000000011E-2</c:v>
                </c:pt>
              </c:numCache>
            </c:numRef>
          </c:yVal>
          <c:smooth val="0"/>
        </c:ser>
        <c:dLbls>
          <c:showLegendKey val="0"/>
          <c:showVal val="0"/>
          <c:showCatName val="0"/>
          <c:showSerName val="0"/>
          <c:showPercent val="0"/>
          <c:showBubbleSize val="0"/>
        </c:dLbls>
        <c:axId val="991383160"/>
        <c:axId val="991383552"/>
      </c:scatterChart>
      <c:valAx>
        <c:axId val="991383160"/>
        <c:scaling>
          <c:logBase val="10"/>
          <c:orientation val="minMax"/>
          <c:max val="180"/>
          <c:min val="0.1"/>
        </c:scaling>
        <c:delete val="0"/>
        <c:axPos val="b"/>
        <c:majorGridlines/>
        <c:minorGridlines/>
        <c:title>
          <c:tx>
            <c:rich>
              <a:bodyPr/>
              <a:lstStyle/>
              <a:p>
                <a:pPr>
                  <a:defRPr/>
                </a:pPr>
                <a:r>
                  <a:rPr lang="en-US" sz="1200" b="1" i="0" u="none" strike="noStrike" baseline="0">
                    <a:effectLst/>
                    <a:latin typeface="Symbol" panose="05050102010706020507" pitchFamily="18" charset="2"/>
                  </a:rPr>
                  <a:t>D</a:t>
                </a:r>
                <a:r>
                  <a:rPr lang="en-US" sz="1200" b="1" i="1" u="none" strike="noStrike" baseline="-25000">
                    <a:effectLst/>
                  </a:rPr>
                  <a:t>azFS-IMT</a:t>
                </a:r>
                <a:r>
                  <a:rPr lang="en-US" sz="1200" b="1" i="0" u="none" strike="noStrike" baseline="0">
                    <a:effectLst/>
                  </a:rPr>
                  <a:t> (degree)</a:t>
                </a:r>
                <a:endParaRPr lang="ru-RU" sz="1200"/>
              </a:p>
            </c:rich>
          </c:tx>
          <c:layout/>
          <c:overlay val="0"/>
        </c:title>
        <c:numFmt formatCode="General" sourceLinked="1"/>
        <c:majorTickMark val="none"/>
        <c:minorTickMark val="none"/>
        <c:tickLblPos val="low"/>
        <c:crossAx val="991383552"/>
        <c:crosses val="autoZero"/>
        <c:crossBetween val="midCat"/>
      </c:valAx>
      <c:valAx>
        <c:axId val="991383552"/>
        <c:scaling>
          <c:logBase val="10"/>
          <c:orientation val="minMax"/>
          <c:max val="0.2"/>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FS-IMT</a:t>
                </a:r>
                <a:r>
                  <a:rPr lang="en-US" sz="1200" b="1" i="0" baseline="0">
                    <a:effectLst/>
                  </a:rPr>
                  <a:t> (km)</a:t>
                </a:r>
                <a:endParaRPr lang="ru-RU" sz="1200">
                  <a:effectLst/>
                </a:endParaRPr>
              </a:p>
            </c:rich>
          </c:tx>
          <c:layout>
            <c:manualLayout>
              <c:xMode val="edge"/>
              <c:yMode val="edge"/>
              <c:x val="1.4330566402776888E-2"/>
              <c:y val="0.43590444595440947"/>
            </c:manualLayout>
          </c:layout>
          <c:overlay val="0"/>
        </c:title>
        <c:numFmt formatCode="General" sourceLinked="1"/>
        <c:majorTickMark val="none"/>
        <c:minorTickMark val="none"/>
        <c:tickLblPos val="low"/>
        <c:crossAx val="991383160"/>
        <c:crosses val="autoZero"/>
        <c:crossBetween val="midCat"/>
      </c:valAx>
    </c:plotArea>
    <c:legend>
      <c:legendPos val="l"/>
      <c:layout>
        <c:manualLayout>
          <c:xMode val="edge"/>
          <c:yMode val="edge"/>
          <c:x val="0.54861105776412245"/>
          <c:y val="0.21710594712246406"/>
          <c:w val="0.32011574074074151"/>
          <c:h val="0.1489474425452928"/>
        </c:manualLayout>
      </c:layout>
      <c:overlay val="1"/>
      <c:spPr>
        <a:solidFill>
          <a:schemeClr val="bg1"/>
        </a:solidFill>
      </c:spPr>
      <c:txPr>
        <a:bodyPr/>
        <a:lstStyle/>
        <a:p>
          <a:pPr>
            <a:defRPr sz="700"/>
          </a:pPr>
          <a:endParaRPr lang="en-US"/>
        </a:p>
      </c:txPr>
    </c:legend>
    <c:plotVisOnly val="1"/>
    <c:dispBlanksAs val="gap"/>
    <c:showDLblsOverMax val="0"/>
  </c:chart>
  <c:spPr>
    <a:ln w="15875">
      <a:solidFill>
        <a:schemeClr val="tx1"/>
      </a:solid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en-US" sz="700" b="1" i="1" baseline="0">
                <a:effectLst/>
              </a:rPr>
              <a:t>C</a:t>
            </a:r>
            <a:r>
              <a:rPr lang="fr-FR" sz="700" b="1" i="0" baseline="0">
                <a:effectLst/>
              </a:rPr>
              <a:t>/</a:t>
            </a:r>
            <a:r>
              <a:rPr lang="fr-FR" sz="700" b="1" i="1" baseline="0">
                <a:effectLst/>
              </a:rPr>
              <a:t>I</a:t>
            </a:r>
            <a:r>
              <a:rPr lang="fr-FR" sz="700" b="1" i="0" baseline="0">
                <a:effectLst/>
              </a:rPr>
              <a:t>) </a:t>
            </a:r>
            <a:r>
              <a:rPr lang="en-GB" sz="700" b="1" i="1" baseline="-25000">
                <a:effectLst/>
              </a:rPr>
              <a:t>required</a:t>
            </a:r>
            <a:r>
              <a:rPr lang="fr-FR" sz="700" b="1" i="0" baseline="0">
                <a:effectLst/>
              </a:rPr>
              <a:t>  = 40 dB; </a:t>
            </a:r>
          </a:p>
          <a:p>
            <a:pPr algn="l">
              <a:defRPr sz="700"/>
            </a:pPr>
            <a:r>
              <a:rPr lang="fr-FR" sz="700" b="1" i="0" baseline="0">
                <a:effectLst/>
              </a:rPr>
              <a:t>Channel Separation 40 MHz; </a:t>
            </a:r>
            <a:endParaRPr lang="ru-RU" sz="700">
              <a:effectLst/>
            </a:endParaRPr>
          </a:p>
          <a:p>
            <a:pPr algn="l">
              <a:defRPr sz="700"/>
            </a:pPr>
            <a:r>
              <a:rPr lang="en-GB" sz="700" b="1" i="0" baseline="0">
                <a:effectLst/>
              </a:rPr>
              <a:t>Co‑channel (</a:t>
            </a:r>
            <a:r>
              <a:rPr lang="en-US" sz="700" b="1" i="1" baseline="0">
                <a:effectLst/>
              </a:rPr>
              <a:t>MD</a:t>
            </a:r>
            <a:r>
              <a:rPr lang="en-US" sz="700" b="1" i="0" baseline="0">
                <a:effectLst/>
              </a:rPr>
              <a:t> +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0 dB); </a:t>
            </a:r>
            <a:r>
              <a:rPr lang="ru-RU" sz="700" b="1" i="0" baseline="0">
                <a:effectLst/>
              </a:rPr>
              <a:t> </a:t>
            </a:r>
            <a:endParaRPr lang="ru-RU" sz="700">
              <a:effectLst/>
            </a:endParaRPr>
          </a:p>
          <a:p>
            <a:pPr algn="l">
              <a:defRPr sz="700"/>
            </a:pPr>
            <a:r>
              <a:rPr lang="en-GB" sz="700" b="1" i="1" baseline="0">
                <a:effectLst/>
              </a:rPr>
              <a:t>a</a:t>
            </a:r>
            <a:r>
              <a:rPr lang="en-GB" sz="700" b="1" i="1" baseline="-25000">
                <a:effectLst/>
              </a:rPr>
              <a:t>indoor</a:t>
            </a:r>
            <a:r>
              <a:rPr lang="en-GB" sz="700" b="1" i="0" baseline="0">
                <a:effectLst/>
              </a:rPr>
              <a:t> = 25 dB;  </a:t>
            </a:r>
            <a:r>
              <a:rPr lang="en-GB" sz="700" b="1" i="1" baseline="0">
                <a:effectLst/>
              </a:rPr>
              <a:t>A</a:t>
            </a:r>
            <a:r>
              <a:rPr lang="en-GB" sz="700" b="1" i="1" baseline="-25000">
                <a:effectLst/>
              </a:rPr>
              <a:t>hTx</a:t>
            </a:r>
            <a:r>
              <a:rPr lang="en-GB" sz="700" b="1" i="0" baseline="0">
                <a:effectLst/>
              </a:rPr>
              <a:t> = 10 dB</a:t>
            </a:r>
            <a:endParaRPr lang="ru-RU" sz="700">
              <a:effectLst/>
            </a:endParaRPr>
          </a:p>
        </c:rich>
      </c:tx>
      <c:layout>
        <c:manualLayout>
          <c:xMode val="edge"/>
          <c:yMode val="edge"/>
          <c:x val="0.1413108614232213"/>
          <c:y val="2.1563342318059415E-2"/>
        </c:manualLayout>
      </c:layout>
      <c:overlay val="0"/>
    </c:title>
    <c:autoTitleDeleted val="0"/>
    <c:plotArea>
      <c:layout>
        <c:manualLayout>
          <c:layoutTarget val="inner"/>
          <c:xMode val="edge"/>
          <c:yMode val="edge"/>
          <c:x val="0.10529358579341486"/>
          <c:y val="0.21660327342803079"/>
          <c:w val="0.82196227143847955"/>
          <c:h val="0.65882264716910655"/>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0.28000000000000008</c:v>
                </c:pt>
                <c:pt idx="1">
                  <c:v>0.2</c:v>
                </c:pt>
                <c:pt idx="2">
                  <c:v>8.0000000000000043E-2</c:v>
                </c:pt>
                <c:pt idx="3">
                  <c:v>4.0000000000000022E-2</c:v>
                </c:pt>
                <c:pt idx="4">
                  <c:v>4.0000000000000022E-2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0.8</c:v>
                </c:pt>
                <c:pt idx="1">
                  <c:v>0.58000000000000007</c:v>
                </c:pt>
                <c:pt idx="2">
                  <c:v>0.24000000000000021</c:v>
                </c:pt>
                <c:pt idx="3">
                  <c:v>0.18000000000000024</c:v>
                </c:pt>
                <c:pt idx="4">
                  <c:v>8.0000000000000043E-2</c:v>
                </c:pt>
                <c:pt idx="5">
                  <c:v>4.0000000000000022E-2</c:v>
                </c:pt>
                <c:pt idx="6">
                  <c:v>4.0000000000000022E-2</c:v>
                </c:pt>
                <c:pt idx="7">
                  <c:v>4.0000000000000022E-2</c:v>
                </c:pt>
                <c:pt idx="8">
                  <c:v>4.0000000000000022E-2</c:v>
                </c:pt>
                <c:pt idx="9">
                  <c:v>4.0000000000000022E-2</c:v>
                </c:pt>
                <c:pt idx="10">
                  <c:v>4.0000000000000022E-2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1.32</c:v>
                </c:pt>
                <c:pt idx="1">
                  <c:v>0.98</c:v>
                </c:pt>
                <c:pt idx="2">
                  <c:v>0.4</c:v>
                </c:pt>
                <c:pt idx="3">
                  <c:v>0.30000000000000032</c:v>
                </c:pt>
                <c:pt idx="4">
                  <c:v>0.12000000000000002</c:v>
                </c:pt>
                <c:pt idx="5">
                  <c:v>8.0000000000000043E-2</c:v>
                </c:pt>
                <c:pt idx="6">
                  <c:v>8.0000000000000043E-2</c:v>
                </c:pt>
                <c:pt idx="7">
                  <c:v>4.0000000000000022E-2</c:v>
                </c:pt>
                <c:pt idx="8">
                  <c:v>4.0000000000000022E-2</c:v>
                </c:pt>
                <c:pt idx="9">
                  <c:v>4.0000000000000022E-2</c:v>
                </c:pt>
                <c:pt idx="10">
                  <c:v>4.0000000000000022E-2</c:v>
                </c:pt>
                <c:pt idx="11">
                  <c:v>4.0000000000000022E-2</c:v>
                </c:pt>
                <c:pt idx="12">
                  <c:v>4.0000000000000022E-2</c:v>
                </c:pt>
                <c:pt idx="13">
                  <c:v>4.0000000000000022E-2</c:v>
                </c:pt>
                <c:pt idx="14">
                  <c:v>4.0000000000000022E-2</c:v>
                </c:pt>
                <c:pt idx="15">
                  <c:v>4.0000000000000022E-2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1.86</c:v>
                </c:pt>
                <c:pt idx="1">
                  <c:v>1.36</c:v>
                </c:pt>
                <c:pt idx="2">
                  <c:v>0.54</c:v>
                </c:pt>
                <c:pt idx="3">
                  <c:v>0.4</c:v>
                </c:pt>
                <c:pt idx="4">
                  <c:v>0.16</c:v>
                </c:pt>
                <c:pt idx="5">
                  <c:v>0.12000000000000002</c:v>
                </c:pt>
                <c:pt idx="6">
                  <c:v>8.0000000000000043E-2</c:v>
                </c:pt>
                <c:pt idx="7">
                  <c:v>8.0000000000000043E-2</c:v>
                </c:pt>
                <c:pt idx="8">
                  <c:v>8.0000000000000043E-2</c:v>
                </c:pt>
                <c:pt idx="9">
                  <c:v>4.0000000000000022E-2</c:v>
                </c:pt>
                <c:pt idx="10">
                  <c:v>4.0000000000000022E-2</c:v>
                </c:pt>
                <c:pt idx="11">
                  <c:v>4.0000000000000022E-2</c:v>
                </c:pt>
                <c:pt idx="12">
                  <c:v>4.0000000000000022E-2</c:v>
                </c:pt>
                <c:pt idx="13">
                  <c:v>4.0000000000000022E-2</c:v>
                </c:pt>
                <c:pt idx="14">
                  <c:v>4.0000000000000022E-2</c:v>
                </c:pt>
                <c:pt idx="15">
                  <c:v>4.0000000000000022E-2</c:v>
                </c:pt>
                <c:pt idx="16">
                  <c:v>4.0000000000000022E-2</c:v>
                </c:pt>
                <c:pt idx="17">
                  <c:v>4.0000000000000022E-2</c:v>
                </c:pt>
                <c:pt idx="18">
                  <c:v>4.0000000000000022E-2</c:v>
                </c:pt>
                <c:pt idx="19">
                  <c:v>4.0000000000000022E-2</c:v>
                </c:pt>
                <c:pt idx="20">
                  <c:v>4.0000000000000022E-2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991384336"/>
        <c:axId val="991384728"/>
      </c:scatterChart>
      <c:valAx>
        <c:axId val="991384336"/>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manualLayout>
              <c:xMode val="edge"/>
              <c:yMode val="edge"/>
              <c:x val="0.36788010614695377"/>
              <c:y val="0.91321575369116592"/>
            </c:manualLayout>
          </c:layout>
          <c:overlay val="0"/>
        </c:title>
        <c:numFmt formatCode="General" sourceLinked="1"/>
        <c:majorTickMark val="none"/>
        <c:minorTickMark val="none"/>
        <c:tickLblPos val="low"/>
        <c:crossAx val="991384728"/>
        <c:crosses val="autoZero"/>
        <c:crossBetween val="midCat"/>
        <c:majorUnit val="10"/>
        <c:minorUnit val="10"/>
      </c:valAx>
      <c:valAx>
        <c:axId val="991384728"/>
        <c:scaling>
          <c:logBase val="10"/>
          <c:orientation val="minMax"/>
          <c:max val="10"/>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FS-IMT</a:t>
                </a:r>
                <a:r>
                  <a:rPr lang="en-US" sz="1200" b="1" i="1" baseline="0">
                    <a:effectLst/>
                  </a:rPr>
                  <a:t> </a:t>
                </a:r>
                <a:r>
                  <a:rPr lang="en-US" sz="1200" b="1" i="0" baseline="0">
                    <a:effectLst/>
                  </a:rPr>
                  <a:t> (km)</a:t>
                </a:r>
                <a:endParaRPr lang="ru-RU" sz="1200">
                  <a:effectLst/>
                </a:endParaRPr>
              </a:p>
            </c:rich>
          </c:tx>
          <c:layout>
            <c:manualLayout>
              <c:xMode val="edge"/>
              <c:yMode val="edge"/>
              <c:x val="6.4403968402313386E-3"/>
              <c:y val="0.39205515490470233"/>
            </c:manualLayout>
          </c:layout>
          <c:overlay val="0"/>
        </c:title>
        <c:numFmt formatCode="General" sourceLinked="1"/>
        <c:majorTickMark val="none"/>
        <c:minorTickMark val="none"/>
        <c:tickLblPos val="low"/>
        <c:crossAx val="991384336"/>
        <c:crosses val="autoZero"/>
        <c:crossBetween val="midCat"/>
      </c:valAx>
    </c:plotArea>
    <c:legend>
      <c:legendPos val="l"/>
      <c:layout>
        <c:manualLayout>
          <c:xMode val="edge"/>
          <c:yMode val="edge"/>
          <c:x val="0.60941914869336988"/>
          <c:y val="0.28453257296326406"/>
          <c:w val="0.30370912666017075"/>
          <c:h val="0.17038238144760254"/>
        </c:manualLayout>
      </c:layout>
      <c:overlay val="1"/>
      <c:spPr>
        <a:solidFill>
          <a:schemeClr val="bg1"/>
        </a:solidFill>
      </c:spPr>
      <c:txPr>
        <a:bodyPr/>
        <a:lstStyle/>
        <a:p>
          <a:pPr>
            <a:defRPr sz="700"/>
          </a:pPr>
          <a:endParaRPr lang="en-US"/>
        </a:p>
      </c:txPr>
    </c:legend>
    <c:plotVisOnly val="1"/>
    <c:dispBlanksAs val="gap"/>
    <c:showDLblsOverMax val="0"/>
  </c:chart>
  <c:spPr>
    <a:ln w="15875">
      <a:solidFill>
        <a:schemeClr val="tx1"/>
      </a:solid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fr-FR" sz="700" b="1" i="1" baseline="0">
                <a:effectLst/>
              </a:rPr>
              <a:t>C</a:t>
            </a:r>
            <a:r>
              <a:rPr lang="fr-FR" sz="700" b="1" i="0" baseline="0">
                <a:effectLst/>
              </a:rPr>
              <a:t>/</a:t>
            </a:r>
            <a:r>
              <a:rPr lang="fr-FR" sz="700" b="1" i="1" baseline="0">
                <a:effectLst/>
              </a:rPr>
              <a:t>I</a:t>
            </a:r>
            <a:r>
              <a:rPr lang="fr-FR" sz="700" b="1" i="0" baseline="0">
                <a:effectLst/>
              </a:rPr>
              <a:t>) </a:t>
            </a:r>
            <a:r>
              <a:rPr lang="en-GB" sz="700" b="1" i="1" baseline="-25000">
                <a:effectLst/>
              </a:rPr>
              <a:t>required</a:t>
            </a:r>
            <a:r>
              <a:rPr lang="fr-FR" sz="700" b="1" i="0" baseline="0">
                <a:effectLst/>
              </a:rPr>
              <a:t>  = 40 dB; </a:t>
            </a:r>
          </a:p>
          <a:p>
            <a:pPr algn="l">
              <a:defRPr sz="700"/>
            </a:pPr>
            <a:r>
              <a:rPr lang="fr-FR" sz="700" b="1" i="0" baseline="0">
                <a:effectLst/>
              </a:rPr>
              <a:t>Channel Separation 40  MHz;     </a:t>
            </a:r>
            <a:endParaRPr lang="ru-RU" sz="700">
              <a:effectLst/>
            </a:endParaRPr>
          </a:p>
          <a:p>
            <a:pPr algn="l">
              <a:defRPr sz="700"/>
            </a:pPr>
            <a:r>
              <a:rPr lang="en-GB" sz="700" b="1" i="0" baseline="0">
                <a:effectLst/>
              </a:rPr>
              <a:t>First adjacent channel</a:t>
            </a:r>
            <a:r>
              <a:rPr lang="ru-RU" sz="700" b="1" i="0" baseline="0">
                <a:effectLst/>
              </a:rPr>
              <a:t> </a:t>
            </a:r>
            <a:r>
              <a:rPr lang="en-GB" sz="700" b="1" i="0" baseline="0">
                <a:effectLst/>
              </a:rPr>
              <a:t> (</a:t>
            </a:r>
            <a:r>
              <a:rPr lang="en-US" sz="700" b="1" i="1" baseline="0">
                <a:effectLst/>
              </a:rPr>
              <a:t>MD</a:t>
            </a:r>
            <a:r>
              <a:rPr lang="en-US" sz="700" b="1" i="0" baseline="0">
                <a:effectLst/>
              </a:rPr>
              <a:t> +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a:t>
            </a:r>
            <a:r>
              <a:rPr lang="ru-RU" sz="700" b="1" i="0" baseline="0">
                <a:effectLst/>
              </a:rPr>
              <a:t>45</a:t>
            </a:r>
            <a:r>
              <a:rPr lang="en-US" sz="700" b="1" i="0" baseline="0">
                <a:effectLst/>
              </a:rPr>
              <a:t> dB);</a:t>
            </a:r>
            <a:endParaRPr lang="ru-RU" sz="700">
              <a:effectLst/>
            </a:endParaRPr>
          </a:p>
          <a:p>
            <a:pPr algn="l">
              <a:defRPr sz="700"/>
            </a:pPr>
            <a:r>
              <a:rPr lang="ru-RU" sz="700" b="1" i="0" baseline="0">
                <a:effectLst/>
              </a:rPr>
              <a:t> </a:t>
            </a:r>
            <a:r>
              <a:rPr lang="en-GB" sz="700" b="1" i="1" baseline="0">
                <a:effectLst/>
              </a:rPr>
              <a:t>a</a:t>
            </a:r>
            <a:r>
              <a:rPr lang="en-GB" sz="700" b="1" i="1" baseline="-25000">
                <a:effectLst/>
              </a:rPr>
              <a:t>indoor</a:t>
            </a:r>
            <a:r>
              <a:rPr lang="en-GB" sz="700" b="1" i="0" baseline="0">
                <a:effectLst/>
              </a:rPr>
              <a:t> = 25 dB;  </a:t>
            </a:r>
            <a:r>
              <a:rPr lang="en-GB" sz="700" b="1" i="1" baseline="0">
                <a:effectLst/>
              </a:rPr>
              <a:t>A</a:t>
            </a:r>
            <a:r>
              <a:rPr lang="en-GB" sz="700" b="1" i="1" baseline="-25000">
                <a:effectLst/>
              </a:rPr>
              <a:t>hTx</a:t>
            </a:r>
            <a:r>
              <a:rPr lang="en-GB" sz="700" b="1" i="0" baseline="0">
                <a:effectLst/>
              </a:rPr>
              <a:t> = 10 dB </a:t>
            </a:r>
            <a:endParaRPr lang="ru-RU" sz="700">
              <a:effectLst/>
            </a:endParaRPr>
          </a:p>
        </c:rich>
      </c:tx>
      <c:layout>
        <c:manualLayout>
          <c:xMode val="edge"/>
          <c:yMode val="edge"/>
          <c:x val="0.12315377008468877"/>
          <c:y val="2.0356234096692107E-2"/>
        </c:manualLayout>
      </c:layout>
      <c:overlay val="0"/>
    </c:title>
    <c:autoTitleDeleted val="0"/>
    <c:plotArea>
      <c:layout>
        <c:manualLayout>
          <c:layoutTarget val="inner"/>
          <c:xMode val="edge"/>
          <c:yMode val="edge"/>
          <c:x val="0.11420945621233966"/>
          <c:y val="0.17460317460317457"/>
          <c:w val="0.8429664337732431"/>
          <c:h val="0.69240063742032265"/>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623213048"/>
        <c:axId val="623213440"/>
      </c:scatterChart>
      <c:valAx>
        <c:axId val="623213048"/>
        <c:scaling>
          <c:logBase val="10"/>
          <c:orientation val="minMax"/>
          <c:max val="180"/>
          <c:min val="0.1"/>
        </c:scaling>
        <c:delete val="0"/>
        <c:axPos val="b"/>
        <c:majorGridlines/>
        <c:minorGridlines>
          <c:spPr>
            <a:ln>
              <a:solidFill>
                <a:schemeClr val="tx1"/>
              </a:solidFill>
            </a:ln>
          </c:spPr>
        </c:minorGridlines>
        <c:title>
          <c:tx>
            <c:rich>
              <a:bodyPr/>
              <a:lstStyle/>
              <a:p>
                <a:pPr>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overlay val="0"/>
        </c:title>
        <c:numFmt formatCode="General" sourceLinked="1"/>
        <c:majorTickMark val="none"/>
        <c:minorTickMark val="none"/>
        <c:tickLblPos val="low"/>
        <c:crossAx val="623213440"/>
        <c:crosses val="autoZero"/>
        <c:crossBetween val="midCat"/>
        <c:majorUnit val="10"/>
        <c:minorUnit val="10"/>
      </c:valAx>
      <c:valAx>
        <c:axId val="623213440"/>
        <c:scaling>
          <c:logBase val="10"/>
          <c:orientation val="minMax"/>
          <c:max val="0.12000000000000002"/>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FS-IMT</a:t>
                </a:r>
                <a:r>
                  <a:rPr lang="en-US" sz="1200" b="1" i="0" baseline="0">
                    <a:effectLst/>
                  </a:rPr>
                  <a:t>  (km)</a:t>
                </a:r>
                <a:endParaRPr lang="ru-RU" sz="1200">
                  <a:effectLst/>
                </a:endParaRPr>
              </a:p>
            </c:rich>
          </c:tx>
          <c:layout>
            <c:manualLayout>
              <c:xMode val="edge"/>
              <c:yMode val="edge"/>
              <c:x val="1.1253958343626899E-2"/>
              <c:y val="0.37902782965294873"/>
            </c:manualLayout>
          </c:layout>
          <c:overlay val="0"/>
        </c:title>
        <c:numFmt formatCode="General" sourceLinked="1"/>
        <c:majorTickMark val="none"/>
        <c:minorTickMark val="none"/>
        <c:tickLblPos val="low"/>
        <c:crossAx val="623213048"/>
        <c:crosses val="autoZero"/>
        <c:crossBetween val="midCat"/>
      </c:valAx>
    </c:plotArea>
    <c:legend>
      <c:legendPos val="l"/>
      <c:layout>
        <c:manualLayout>
          <c:xMode val="edge"/>
          <c:yMode val="edge"/>
          <c:x val="0.57841682311151932"/>
          <c:y val="0.25761508819031209"/>
          <c:w val="0.19265920233384207"/>
          <c:h val="0.21267219148626867"/>
        </c:manualLayout>
      </c:layout>
      <c:overlay val="1"/>
      <c:spPr>
        <a:solidFill>
          <a:schemeClr val="bg1"/>
        </a:solidFill>
      </c:spPr>
      <c:txPr>
        <a:bodyPr/>
        <a:lstStyle/>
        <a:p>
          <a:pPr>
            <a:defRPr sz="700"/>
          </a:pPr>
          <a:endParaRPr lang="en-US"/>
        </a:p>
      </c:txPr>
    </c:legend>
    <c:plotVisOnly val="1"/>
    <c:dispBlanksAs val="gap"/>
    <c:showDLblsOverMax val="0"/>
  </c:chart>
  <c:spPr>
    <a:ln w="15875">
      <a:solidFill>
        <a:schemeClr val="tx1"/>
      </a:solid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fr-FR" sz="700" b="1" i="1" baseline="0">
                <a:effectLst/>
              </a:rPr>
              <a:t>C</a:t>
            </a:r>
            <a:r>
              <a:rPr lang="fr-FR" sz="700" b="1" i="0" baseline="0">
                <a:effectLst/>
              </a:rPr>
              <a:t>/</a:t>
            </a:r>
            <a:r>
              <a:rPr lang="fr-FR" sz="700" b="1" i="1" baseline="0">
                <a:effectLst/>
              </a:rPr>
              <a:t>I</a:t>
            </a:r>
            <a:r>
              <a:rPr lang="fr-FR" sz="700" b="1" i="0" baseline="0">
                <a:effectLst/>
              </a:rPr>
              <a:t>) </a:t>
            </a:r>
            <a:r>
              <a:rPr lang="en-GB" sz="700" b="1" i="1" baseline="-25000">
                <a:effectLst/>
              </a:rPr>
              <a:t>required</a:t>
            </a:r>
            <a:r>
              <a:rPr lang="fr-FR" sz="700" b="1" i="0" baseline="0">
                <a:effectLst/>
              </a:rPr>
              <a:t>  = 40 dB; </a:t>
            </a:r>
          </a:p>
          <a:p>
            <a:pPr algn="l">
              <a:defRPr sz="700"/>
            </a:pPr>
            <a:r>
              <a:rPr lang="fr-FR" sz="700" b="1" i="0" baseline="0">
                <a:effectLst/>
              </a:rPr>
              <a:t>Channel Separation 40  MHz;     </a:t>
            </a:r>
            <a:endParaRPr lang="ru-RU" sz="700">
              <a:effectLst/>
            </a:endParaRPr>
          </a:p>
          <a:p>
            <a:pPr algn="l">
              <a:defRPr sz="700"/>
            </a:pPr>
            <a:r>
              <a:rPr lang="en-GB" sz="700" b="1" i="0" baseline="0">
                <a:effectLst/>
              </a:rPr>
              <a:t>Co‑channel (</a:t>
            </a:r>
            <a:r>
              <a:rPr lang="en-US" sz="700" b="1" i="1" baseline="0">
                <a:effectLst/>
              </a:rPr>
              <a:t>MD</a:t>
            </a:r>
            <a:r>
              <a:rPr lang="en-US" sz="700" b="1" i="0" baseline="0">
                <a:effectLst/>
              </a:rPr>
              <a:t> +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0 dB); </a:t>
            </a:r>
            <a:r>
              <a:rPr lang="ru-RU" sz="700" b="1" i="0" baseline="0">
                <a:effectLst/>
              </a:rPr>
              <a:t> </a:t>
            </a:r>
            <a:endParaRPr lang="ru-RU" sz="700">
              <a:effectLst/>
            </a:endParaRPr>
          </a:p>
          <a:p>
            <a:pPr algn="l">
              <a:defRPr sz="700"/>
            </a:pPr>
            <a:r>
              <a:rPr lang="ru-RU" sz="700" b="1" i="0" baseline="0">
                <a:effectLst/>
              </a:rPr>
              <a:t> </a:t>
            </a:r>
            <a:r>
              <a:rPr lang="en-GB" sz="700" b="1" i="1" baseline="0">
                <a:effectLst/>
              </a:rPr>
              <a:t>a</a:t>
            </a:r>
            <a:r>
              <a:rPr lang="en-GB" sz="700" b="1" i="1" baseline="-25000">
                <a:effectLst/>
              </a:rPr>
              <a:t>indoor</a:t>
            </a:r>
            <a:r>
              <a:rPr lang="en-GB" sz="700" b="1" i="0" baseline="0">
                <a:effectLst/>
              </a:rPr>
              <a:t> = 25 dB;  </a:t>
            </a:r>
            <a:r>
              <a:rPr lang="en-GB" sz="700" b="1" i="1" baseline="0">
                <a:effectLst/>
              </a:rPr>
              <a:t>A</a:t>
            </a:r>
            <a:r>
              <a:rPr lang="en-GB" sz="700" b="1" i="1" baseline="-25000">
                <a:effectLst/>
              </a:rPr>
              <a:t>hTx</a:t>
            </a:r>
            <a:r>
              <a:rPr lang="en-GB" sz="700" b="1" i="0" baseline="0">
                <a:effectLst/>
              </a:rPr>
              <a:t> = 19 dB </a:t>
            </a:r>
            <a:endParaRPr lang="ru-RU" sz="700">
              <a:effectLst/>
            </a:endParaRPr>
          </a:p>
        </c:rich>
      </c:tx>
      <c:layout>
        <c:manualLayout>
          <c:xMode val="edge"/>
          <c:yMode val="edge"/>
          <c:x val="0.14689751500360687"/>
          <c:y val="5.8954169190389742E-4"/>
        </c:manualLayout>
      </c:layout>
      <c:overlay val="0"/>
    </c:title>
    <c:autoTitleDeleted val="0"/>
    <c:plotArea>
      <c:layout>
        <c:manualLayout>
          <c:layoutTarget val="inner"/>
          <c:xMode val="edge"/>
          <c:yMode val="edge"/>
          <c:x val="0.17404401372905309"/>
          <c:y val="0.1610501379635238"/>
          <c:w val="0.76042892074388291"/>
          <c:h val="0.63849330372164959"/>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8.0000000000000043E-2</c:v>
                </c:pt>
                <c:pt idx="1">
                  <c:v>8.0000000000000043E-2</c:v>
                </c:pt>
                <c:pt idx="2">
                  <c:v>4.0000000000000022E-2</c:v>
                </c:pt>
                <c:pt idx="3">
                  <c:v>4.0000000000000022E-2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0.28000000000000008</c:v>
                </c:pt>
                <c:pt idx="1">
                  <c:v>0.22</c:v>
                </c:pt>
                <c:pt idx="2">
                  <c:v>8.0000000000000043E-2</c:v>
                </c:pt>
                <c:pt idx="3">
                  <c:v>8.0000000000000043E-2</c:v>
                </c:pt>
                <c:pt idx="4">
                  <c:v>4.0000000000000022E-2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0.48000000000000032</c:v>
                </c:pt>
                <c:pt idx="1">
                  <c:v>0.36000000000000032</c:v>
                </c:pt>
                <c:pt idx="2">
                  <c:v>0.14000000000000001</c:v>
                </c:pt>
                <c:pt idx="3">
                  <c:v>0.12000000000000002</c:v>
                </c:pt>
                <c:pt idx="4">
                  <c:v>4.0000000000000022E-2</c:v>
                </c:pt>
                <c:pt idx="5">
                  <c:v>4.0000000000000022E-2</c:v>
                </c:pt>
                <c:pt idx="6">
                  <c:v>4.0000000000000022E-2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0.66000000000000181</c:v>
                </c:pt>
                <c:pt idx="1">
                  <c:v>0.48000000000000032</c:v>
                </c:pt>
                <c:pt idx="2">
                  <c:v>0.2</c:v>
                </c:pt>
                <c:pt idx="3">
                  <c:v>0.16</c:v>
                </c:pt>
                <c:pt idx="4">
                  <c:v>4.0000000000000022E-2</c:v>
                </c:pt>
                <c:pt idx="5">
                  <c:v>4.0000000000000022E-2</c:v>
                </c:pt>
                <c:pt idx="6">
                  <c:v>4.0000000000000022E-2</c:v>
                </c:pt>
                <c:pt idx="7">
                  <c:v>4.0000000000000022E-2</c:v>
                </c:pt>
                <c:pt idx="8">
                  <c:v>4.0000000000000022E-2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623214224"/>
        <c:axId val="623214616"/>
      </c:scatterChart>
      <c:valAx>
        <c:axId val="623214224"/>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manualLayout>
              <c:xMode val="edge"/>
              <c:yMode val="edge"/>
              <c:x val="0.43108325051601559"/>
              <c:y val="0.88459983221607097"/>
            </c:manualLayout>
          </c:layout>
          <c:overlay val="0"/>
        </c:title>
        <c:numFmt formatCode="General" sourceLinked="1"/>
        <c:majorTickMark val="none"/>
        <c:minorTickMark val="none"/>
        <c:tickLblPos val="low"/>
        <c:crossAx val="623214616"/>
        <c:crosses val="autoZero"/>
        <c:crossBetween val="midCat"/>
        <c:majorUnit val="10"/>
        <c:minorUnit val="10"/>
      </c:valAx>
      <c:valAx>
        <c:axId val="623214616"/>
        <c:scaling>
          <c:logBase val="10"/>
          <c:orientation val="minMax"/>
          <c:max val="1"/>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FS-IMT</a:t>
                </a:r>
                <a:r>
                  <a:rPr lang="en-US" sz="1200" b="1" i="0" baseline="0">
                    <a:effectLst/>
                  </a:rPr>
                  <a:t> (km)</a:t>
                </a:r>
                <a:endParaRPr lang="ru-RU" sz="1200">
                  <a:effectLst/>
                </a:endParaRPr>
              </a:p>
            </c:rich>
          </c:tx>
          <c:layout>
            <c:manualLayout>
              <c:xMode val="edge"/>
              <c:yMode val="edge"/>
              <c:x val="1.5194681861348529E-2"/>
              <c:y val="0.39603500490820631"/>
            </c:manualLayout>
          </c:layout>
          <c:overlay val="0"/>
        </c:title>
        <c:numFmt formatCode="General" sourceLinked="1"/>
        <c:majorTickMark val="none"/>
        <c:minorTickMark val="none"/>
        <c:tickLblPos val="low"/>
        <c:crossAx val="623214224"/>
        <c:crosses val="autoZero"/>
        <c:crossBetween val="midCat"/>
        <c:majorUnit val="1"/>
        <c:minorUnit val="0.1"/>
      </c:valAx>
    </c:plotArea>
    <c:legend>
      <c:legendPos val="l"/>
      <c:layout>
        <c:manualLayout>
          <c:xMode val="edge"/>
          <c:yMode val="edge"/>
          <c:x val="0.59571411820945053"/>
          <c:y val="0.22269185101862268"/>
          <c:w val="0.32919789665467175"/>
          <c:h val="0.14961437512618644"/>
        </c:manualLayout>
      </c:layout>
      <c:overlay val="1"/>
      <c:spPr>
        <a:solidFill>
          <a:schemeClr val="bg1"/>
        </a:solidFill>
      </c:spPr>
      <c:txPr>
        <a:bodyPr/>
        <a:lstStyle/>
        <a:p>
          <a:pPr>
            <a:defRPr sz="700"/>
          </a:pPr>
          <a:endParaRPr lang="en-US"/>
        </a:p>
      </c:txPr>
    </c:legend>
    <c:plotVisOnly val="1"/>
    <c:dispBlanksAs val="gap"/>
    <c:showDLblsOverMax val="0"/>
  </c:chart>
  <c:spPr>
    <a:ln w="15875">
      <a:solidFill>
        <a:schemeClr val="tx1"/>
      </a:solid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fr-FR" sz="700" b="1" i="1" baseline="0">
                <a:effectLst/>
              </a:rPr>
              <a:t>C</a:t>
            </a:r>
            <a:r>
              <a:rPr lang="fr-FR" sz="700" b="1" i="0" baseline="0">
                <a:effectLst/>
              </a:rPr>
              <a:t>/</a:t>
            </a:r>
            <a:r>
              <a:rPr lang="fr-FR" sz="700" b="1" i="1" baseline="0">
                <a:effectLst/>
              </a:rPr>
              <a:t>I</a:t>
            </a:r>
            <a:r>
              <a:rPr lang="fr-FR" sz="700" b="1" i="0" baseline="0">
                <a:effectLst/>
              </a:rPr>
              <a:t>) </a:t>
            </a:r>
            <a:r>
              <a:rPr lang="en-GB" sz="700" b="1" i="1" baseline="-25000">
                <a:effectLst/>
              </a:rPr>
              <a:t>required</a:t>
            </a:r>
            <a:r>
              <a:rPr lang="fr-FR" sz="700" b="1" i="0" baseline="0">
                <a:effectLst/>
              </a:rPr>
              <a:t>  = 40 dB; </a:t>
            </a:r>
            <a:endParaRPr lang="ru-RU" sz="700">
              <a:effectLst/>
            </a:endParaRPr>
          </a:p>
          <a:p>
            <a:pPr algn="l">
              <a:defRPr sz="700"/>
            </a:pPr>
            <a:r>
              <a:rPr lang="fr-FR" sz="700" b="1" i="0" baseline="0">
                <a:effectLst/>
              </a:rPr>
              <a:t>Channel Separation 40  MHz;     </a:t>
            </a:r>
            <a:endParaRPr lang="ru-RU" sz="700">
              <a:effectLst/>
            </a:endParaRPr>
          </a:p>
          <a:p>
            <a:pPr algn="l">
              <a:defRPr sz="700"/>
            </a:pPr>
            <a:r>
              <a:rPr lang="en-GB" sz="700" b="1" i="0" baseline="0">
                <a:effectLst/>
              </a:rPr>
              <a:t>First adjacent channel</a:t>
            </a:r>
            <a:r>
              <a:rPr lang="ru-RU" sz="700" b="1" i="0" baseline="0">
                <a:effectLst/>
              </a:rPr>
              <a:t> </a:t>
            </a:r>
            <a:r>
              <a:rPr lang="en-GB" sz="700" b="1" i="0" baseline="0">
                <a:effectLst/>
              </a:rPr>
              <a:t> (</a:t>
            </a:r>
            <a:r>
              <a:rPr lang="en-US" sz="700" b="1" i="1" baseline="0">
                <a:effectLst/>
              </a:rPr>
              <a:t>MD</a:t>
            </a:r>
            <a:r>
              <a:rPr lang="en-US" sz="700" b="1" i="0" baseline="0">
                <a:effectLst/>
              </a:rPr>
              <a:t> +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a:t>
            </a:r>
            <a:r>
              <a:rPr lang="ru-RU" sz="700" b="1" i="0" baseline="0">
                <a:effectLst/>
              </a:rPr>
              <a:t>45</a:t>
            </a:r>
            <a:r>
              <a:rPr lang="en-US" sz="700" b="1" i="0" baseline="0">
                <a:effectLst/>
              </a:rPr>
              <a:t> dB);</a:t>
            </a:r>
            <a:endParaRPr lang="ru-RU" sz="700">
              <a:effectLst/>
            </a:endParaRPr>
          </a:p>
          <a:p>
            <a:pPr algn="l">
              <a:defRPr sz="700"/>
            </a:pPr>
            <a:r>
              <a:rPr lang="ru-RU" sz="700" b="1" i="0" baseline="0">
                <a:effectLst/>
              </a:rPr>
              <a:t> </a:t>
            </a:r>
            <a:r>
              <a:rPr lang="en-GB" sz="700" b="1" i="1" baseline="0">
                <a:effectLst/>
              </a:rPr>
              <a:t>a</a:t>
            </a:r>
            <a:r>
              <a:rPr lang="en-GB" sz="700" b="1" i="1" baseline="-25000">
                <a:effectLst/>
              </a:rPr>
              <a:t>indoor</a:t>
            </a:r>
            <a:r>
              <a:rPr lang="en-GB" sz="700" b="1" i="0" baseline="0">
                <a:effectLst/>
              </a:rPr>
              <a:t> = 25 dB; </a:t>
            </a:r>
            <a:r>
              <a:rPr lang="en-GB" sz="700" b="1" i="1" baseline="0">
                <a:effectLst/>
              </a:rPr>
              <a:t>A</a:t>
            </a:r>
            <a:r>
              <a:rPr lang="en-GB" sz="700" b="1" i="1" baseline="-25000">
                <a:effectLst/>
              </a:rPr>
              <a:t>hTx</a:t>
            </a:r>
            <a:r>
              <a:rPr lang="en-GB" sz="700" b="1" i="0" baseline="0">
                <a:effectLst/>
              </a:rPr>
              <a:t> = 1</a:t>
            </a:r>
            <a:r>
              <a:rPr lang="ru-RU" sz="700" b="1" i="0" baseline="0">
                <a:effectLst/>
              </a:rPr>
              <a:t>9</a:t>
            </a:r>
            <a:r>
              <a:rPr lang="en-GB" sz="700" b="1" i="0" baseline="0">
                <a:effectLst/>
              </a:rPr>
              <a:t> dB </a:t>
            </a:r>
            <a:endParaRPr lang="ru-RU" sz="700">
              <a:effectLst/>
            </a:endParaRPr>
          </a:p>
        </c:rich>
      </c:tx>
      <c:layout>
        <c:manualLayout>
          <c:xMode val="edge"/>
          <c:yMode val="edge"/>
          <c:x val="0.11603902975715974"/>
          <c:y val="1.9157088122605363E-2"/>
        </c:manualLayout>
      </c:layout>
      <c:overlay val="0"/>
    </c:title>
    <c:autoTitleDeleted val="0"/>
    <c:plotArea>
      <c:layout>
        <c:manualLayout>
          <c:layoutTarget val="inner"/>
          <c:xMode val="edge"/>
          <c:yMode val="edge"/>
          <c:x val="0.10772604578956982"/>
          <c:y val="0.16697203714920286"/>
          <c:w val="0.84588504589679403"/>
          <c:h val="0.66828588734100713"/>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623215400"/>
        <c:axId val="623215792"/>
      </c:scatterChart>
      <c:valAx>
        <c:axId val="623215400"/>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overlay val="0"/>
        </c:title>
        <c:numFmt formatCode="General" sourceLinked="1"/>
        <c:majorTickMark val="none"/>
        <c:minorTickMark val="none"/>
        <c:tickLblPos val="low"/>
        <c:crossAx val="623215792"/>
        <c:crosses val="autoZero"/>
        <c:crossBetween val="midCat"/>
        <c:majorUnit val="10"/>
      </c:valAx>
      <c:valAx>
        <c:axId val="623215792"/>
        <c:scaling>
          <c:logBase val="10"/>
          <c:orientation val="minMax"/>
          <c:max val="0.1"/>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FS-IMT</a:t>
                </a:r>
                <a:r>
                  <a:rPr lang="en-US" sz="1200" b="1" i="0" baseline="0">
                    <a:effectLst/>
                  </a:rPr>
                  <a:t> (km)</a:t>
                </a:r>
                <a:endParaRPr lang="ru-RU" sz="1200">
                  <a:effectLst/>
                </a:endParaRPr>
              </a:p>
            </c:rich>
          </c:tx>
          <c:layout/>
          <c:overlay val="0"/>
        </c:title>
        <c:numFmt formatCode="General" sourceLinked="1"/>
        <c:majorTickMark val="none"/>
        <c:minorTickMark val="none"/>
        <c:tickLblPos val="low"/>
        <c:crossAx val="623215400"/>
        <c:crosses val="autoZero"/>
        <c:crossBetween val="midCat"/>
        <c:majorUnit val="1.0000000000000005E-2"/>
      </c:valAx>
    </c:plotArea>
    <c:legend>
      <c:legendPos val="l"/>
      <c:layout>
        <c:manualLayout>
          <c:xMode val="edge"/>
          <c:yMode val="edge"/>
          <c:x val="0.59096836351225557"/>
          <c:y val="0.19984053784177269"/>
          <c:w val="0.29876300098366931"/>
          <c:h val="0.16439108376759073"/>
        </c:manualLayout>
      </c:layout>
      <c:overlay val="1"/>
      <c:spPr>
        <a:solidFill>
          <a:schemeClr val="bg1"/>
        </a:solidFill>
      </c:spPr>
      <c:txPr>
        <a:bodyPr/>
        <a:lstStyle/>
        <a:p>
          <a:pPr>
            <a:defRPr sz="700"/>
          </a:pPr>
          <a:endParaRPr lang="en-US"/>
        </a:p>
      </c:txPr>
    </c:legend>
    <c:plotVisOnly val="1"/>
    <c:dispBlanksAs val="gap"/>
    <c:showDLblsOverMax val="0"/>
  </c:chart>
  <c:spPr>
    <a:ln w="15875">
      <a:solidFill>
        <a:schemeClr val="tx1"/>
      </a:solid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fr-FR" sz="700" b="1" i="1" baseline="0">
                <a:effectLst/>
              </a:rPr>
              <a:t>C/I)</a:t>
            </a:r>
            <a:r>
              <a:rPr lang="fr-FR" sz="700" b="1" i="0" baseline="0">
                <a:effectLst/>
              </a:rPr>
              <a:t> </a:t>
            </a:r>
            <a:r>
              <a:rPr lang="en-GB" sz="700" b="1" i="1" baseline="-25000">
                <a:effectLst/>
              </a:rPr>
              <a:t>required</a:t>
            </a:r>
            <a:r>
              <a:rPr lang="fr-FR" sz="700" b="1" i="0" baseline="0">
                <a:effectLst/>
              </a:rPr>
              <a:t>  = 40 dB; </a:t>
            </a:r>
            <a:endParaRPr lang="ru-RU" sz="700">
              <a:effectLst/>
            </a:endParaRPr>
          </a:p>
          <a:p>
            <a:pPr algn="l">
              <a:defRPr sz="700"/>
            </a:pPr>
            <a:r>
              <a:rPr lang="fr-FR" sz="700" b="1" i="0" baseline="0">
                <a:effectLst/>
              </a:rPr>
              <a:t>Channel Separation 29.65 MHz;     </a:t>
            </a:r>
            <a:endParaRPr lang="ru-RU" sz="700">
              <a:effectLst/>
            </a:endParaRPr>
          </a:p>
          <a:p>
            <a:pPr algn="l">
              <a:defRPr sz="700"/>
            </a:pPr>
            <a:r>
              <a:rPr lang="en-GB" sz="700" b="1" i="0" baseline="0">
                <a:effectLst/>
              </a:rPr>
              <a:t>Co‑channel (</a:t>
            </a:r>
            <a:r>
              <a:rPr lang="en-US" sz="700" b="1" i="1" baseline="0">
                <a:effectLst/>
              </a:rPr>
              <a:t>MD</a:t>
            </a:r>
            <a:r>
              <a:rPr lang="en-US" sz="700" b="1" i="0" baseline="0">
                <a:effectLst/>
              </a:rPr>
              <a:t> +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0 dB); </a:t>
            </a:r>
            <a:r>
              <a:rPr lang="ru-RU" sz="700" b="1" i="0" baseline="0">
                <a:effectLst/>
              </a:rPr>
              <a:t> </a:t>
            </a:r>
            <a:endParaRPr lang="ru-RU" sz="700">
              <a:effectLst/>
            </a:endParaRPr>
          </a:p>
          <a:p>
            <a:pPr algn="l">
              <a:defRPr sz="700"/>
            </a:pPr>
            <a:r>
              <a:rPr lang="ru-RU" sz="700" b="1" i="0" baseline="0">
                <a:effectLst/>
              </a:rPr>
              <a:t> </a:t>
            </a:r>
            <a:r>
              <a:rPr lang="en-GB" sz="700" b="1" i="1" baseline="0">
                <a:effectLst/>
              </a:rPr>
              <a:t>a</a:t>
            </a:r>
            <a:r>
              <a:rPr lang="en-GB" sz="700" b="1" i="1" baseline="-25000">
                <a:effectLst/>
              </a:rPr>
              <a:t>indoor</a:t>
            </a:r>
            <a:r>
              <a:rPr lang="en-GB" sz="700" b="1" i="0" baseline="0">
                <a:effectLst/>
              </a:rPr>
              <a:t> = 25 dB;  </a:t>
            </a:r>
            <a:r>
              <a:rPr lang="en-GB" sz="700" b="1" i="1" baseline="0">
                <a:effectLst/>
              </a:rPr>
              <a:t>A</a:t>
            </a:r>
            <a:r>
              <a:rPr lang="en-GB" sz="700" b="1" i="1" baseline="-25000">
                <a:effectLst/>
              </a:rPr>
              <a:t>hTx</a:t>
            </a:r>
            <a:r>
              <a:rPr lang="en-GB" sz="700" b="1" i="0" baseline="0">
                <a:effectLst/>
              </a:rPr>
              <a:t> = 0 dB </a:t>
            </a:r>
            <a:endParaRPr lang="ru-RU" sz="700">
              <a:effectLst/>
            </a:endParaRPr>
          </a:p>
        </c:rich>
      </c:tx>
      <c:layout>
        <c:manualLayout>
          <c:xMode val="edge"/>
          <c:yMode val="edge"/>
          <c:x val="0.10573609739929106"/>
          <c:y val="1.9839861279569097E-2"/>
        </c:manualLayout>
      </c:layout>
      <c:overlay val="0"/>
    </c:title>
    <c:autoTitleDeleted val="0"/>
    <c:plotArea>
      <c:layout>
        <c:manualLayout>
          <c:layoutTarget val="inner"/>
          <c:xMode val="edge"/>
          <c:yMode val="edge"/>
          <c:x val="9.6168513740536254E-2"/>
          <c:y val="0.20075942602983021"/>
          <c:w val="0.86390082394199874"/>
          <c:h val="0.62869473651123198"/>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0.26</c:v>
                </c:pt>
                <c:pt idx="1">
                  <c:v>4.0000000000000022E-2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0.78</c:v>
                </c:pt>
                <c:pt idx="1">
                  <c:v>0.18000000000000024</c:v>
                </c:pt>
                <c:pt idx="2">
                  <c:v>4.0000000000000022E-2</c:v>
                </c:pt>
                <c:pt idx="3">
                  <c:v>4.0000000000000022E-2</c:v>
                </c:pt>
                <c:pt idx="4">
                  <c:v>4.0000000000000022E-2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1.32</c:v>
                </c:pt>
                <c:pt idx="1">
                  <c:v>0.28000000000000008</c:v>
                </c:pt>
                <c:pt idx="2">
                  <c:v>8.0000000000000043E-2</c:v>
                </c:pt>
                <c:pt idx="3">
                  <c:v>4.0000000000000022E-2</c:v>
                </c:pt>
                <c:pt idx="4">
                  <c:v>4.0000000000000022E-2</c:v>
                </c:pt>
                <c:pt idx="5">
                  <c:v>4.0000000000000022E-2</c:v>
                </c:pt>
                <c:pt idx="6">
                  <c:v>4.0000000000000022E-2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1.84</c:v>
                </c:pt>
                <c:pt idx="1">
                  <c:v>0.4</c:v>
                </c:pt>
                <c:pt idx="2">
                  <c:v>0.14000000000000001</c:v>
                </c:pt>
                <c:pt idx="3">
                  <c:v>8.0000000000000043E-2</c:v>
                </c:pt>
                <c:pt idx="4">
                  <c:v>4.0000000000000022E-2</c:v>
                </c:pt>
                <c:pt idx="5">
                  <c:v>4.0000000000000022E-2</c:v>
                </c:pt>
                <c:pt idx="6">
                  <c:v>4.0000000000000022E-2</c:v>
                </c:pt>
                <c:pt idx="7">
                  <c:v>4.0000000000000022E-2</c:v>
                </c:pt>
                <c:pt idx="8">
                  <c:v>4.0000000000000022E-2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623216576"/>
        <c:axId val="621850288"/>
      </c:scatterChart>
      <c:valAx>
        <c:axId val="623216576"/>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manualLayout>
              <c:xMode val="edge"/>
              <c:yMode val="edge"/>
              <c:x val="0.39325274781911707"/>
              <c:y val="0.9004883309593974"/>
            </c:manualLayout>
          </c:layout>
          <c:overlay val="0"/>
        </c:title>
        <c:numFmt formatCode="General" sourceLinked="1"/>
        <c:majorTickMark val="none"/>
        <c:minorTickMark val="none"/>
        <c:tickLblPos val="low"/>
        <c:crossAx val="621850288"/>
        <c:crosses val="autoZero"/>
        <c:crossBetween val="midCat"/>
        <c:majorUnit val="10"/>
        <c:minorUnit val="10"/>
      </c:valAx>
      <c:valAx>
        <c:axId val="621850288"/>
        <c:scaling>
          <c:logBase val="10"/>
          <c:orientation val="minMax"/>
          <c:max val="10"/>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FS-IMT</a:t>
                </a:r>
                <a:r>
                  <a:rPr lang="en-US" sz="1200" b="1" i="0" baseline="0">
                    <a:effectLst/>
                  </a:rPr>
                  <a:t> (km)</a:t>
                </a:r>
                <a:endParaRPr lang="ru-RU" sz="1200">
                  <a:effectLst/>
                </a:endParaRPr>
              </a:p>
            </c:rich>
          </c:tx>
          <c:layout>
            <c:manualLayout>
              <c:xMode val="edge"/>
              <c:yMode val="edge"/>
              <c:x val="2.4003262993547761E-3"/>
              <c:y val="0.37314164618737833"/>
            </c:manualLayout>
          </c:layout>
          <c:overlay val="0"/>
        </c:title>
        <c:numFmt formatCode="General" sourceLinked="1"/>
        <c:majorTickMark val="none"/>
        <c:minorTickMark val="none"/>
        <c:tickLblPos val="low"/>
        <c:crossAx val="623216576"/>
        <c:crosses val="autoZero"/>
        <c:crossBetween val="midCat"/>
        <c:majorUnit val="1"/>
        <c:minorUnit val="1.0000000000000005E-2"/>
      </c:valAx>
    </c:plotArea>
    <c:legend>
      <c:legendPos val="l"/>
      <c:layout>
        <c:manualLayout>
          <c:xMode val="edge"/>
          <c:yMode val="edge"/>
          <c:x val="0.57955875209996033"/>
          <c:y val="0.27759127414462431"/>
          <c:w val="0.33613126033269702"/>
          <c:h val="0.15924025963820432"/>
        </c:manualLayout>
      </c:layout>
      <c:overlay val="1"/>
      <c:spPr>
        <a:solidFill>
          <a:schemeClr val="bg1"/>
        </a:solidFill>
      </c:spPr>
      <c:txPr>
        <a:bodyPr/>
        <a:lstStyle/>
        <a:p>
          <a:pPr>
            <a:defRPr sz="700"/>
          </a:pPr>
          <a:endParaRPr lang="en-US"/>
        </a:p>
      </c:txPr>
    </c:legend>
    <c:plotVisOnly val="1"/>
    <c:dispBlanksAs val="gap"/>
    <c:showDLblsOverMax val="0"/>
  </c:chart>
  <c:spPr>
    <a:ln w="15875">
      <a:solidFill>
        <a:sysClr val="windowText" lastClr="000000"/>
      </a:solid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fr-FR" sz="700" b="1" i="1" baseline="0">
                <a:effectLst/>
              </a:rPr>
              <a:t>C</a:t>
            </a:r>
            <a:r>
              <a:rPr lang="fr-FR" sz="700" b="1" i="0" baseline="0">
                <a:effectLst/>
              </a:rPr>
              <a:t>/</a:t>
            </a:r>
            <a:r>
              <a:rPr lang="fr-FR" sz="700" b="1" i="1" baseline="0">
                <a:effectLst/>
              </a:rPr>
              <a:t>I</a:t>
            </a:r>
            <a:r>
              <a:rPr lang="fr-FR" sz="700" b="1" i="0" baseline="0">
                <a:effectLst/>
              </a:rPr>
              <a:t>) </a:t>
            </a:r>
            <a:r>
              <a:rPr lang="en-GB" sz="700" b="1" i="1" baseline="-25000">
                <a:effectLst/>
              </a:rPr>
              <a:t>required</a:t>
            </a:r>
            <a:r>
              <a:rPr lang="fr-FR" sz="700" b="1" i="0" baseline="0">
                <a:effectLst/>
              </a:rPr>
              <a:t>  = 405 dB; </a:t>
            </a:r>
            <a:endParaRPr lang="ru-RU" sz="700">
              <a:effectLst/>
            </a:endParaRPr>
          </a:p>
          <a:p>
            <a:pPr algn="l">
              <a:defRPr sz="700"/>
            </a:pPr>
            <a:r>
              <a:rPr lang="fr-FR" sz="700" b="1" i="0" baseline="0">
                <a:effectLst/>
              </a:rPr>
              <a:t>Channel Separation 29.65  MHz;     </a:t>
            </a:r>
            <a:endParaRPr lang="ru-RU" sz="700">
              <a:effectLst/>
            </a:endParaRPr>
          </a:p>
          <a:p>
            <a:pPr algn="l">
              <a:defRPr sz="700"/>
            </a:pPr>
            <a:r>
              <a:rPr lang="en-GB" sz="700" b="1" i="0" baseline="0">
                <a:effectLst/>
              </a:rPr>
              <a:t>First adjacent channel</a:t>
            </a:r>
            <a:r>
              <a:rPr lang="ru-RU" sz="700" b="1" i="0" baseline="0">
                <a:effectLst/>
              </a:rPr>
              <a:t> </a:t>
            </a:r>
            <a:r>
              <a:rPr lang="en-GB" sz="700" b="1" i="0" baseline="0">
                <a:effectLst/>
              </a:rPr>
              <a:t> (</a:t>
            </a:r>
            <a:r>
              <a:rPr lang="en-US" sz="700" b="1" i="1" baseline="0">
                <a:effectLst/>
              </a:rPr>
              <a:t>MD</a:t>
            </a:r>
            <a:r>
              <a:rPr lang="en-US" sz="700" b="1" i="0" baseline="0">
                <a:effectLst/>
              </a:rPr>
              <a:t> +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a:t>
            </a:r>
            <a:r>
              <a:rPr lang="ru-RU" sz="700" b="1" i="0" baseline="0">
                <a:effectLst/>
              </a:rPr>
              <a:t>45</a:t>
            </a:r>
            <a:r>
              <a:rPr lang="en-US" sz="700" b="1" i="0" baseline="0">
                <a:effectLst/>
              </a:rPr>
              <a:t> dB);</a:t>
            </a:r>
            <a:endParaRPr lang="ru-RU" sz="700">
              <a:effectLst/>
            </a:endParaRPr>
          </a:p>
          <a:p>
            <a:pPr algn="l">
              <a:defRPr sz="700"/>
            </a:pPr>
            <a:r>
              <a:rPr lang="ru-RU" sz="700" b="1" i="0" baseline="0">
                <a:effectLst/>
              </a:rPr>
              <a:t> </a:t>
            </a:r>
            <a:r>
              <a:rPr lang="en-GB" sz="700" b="1" i="1" baseline="0">
                <a:effectLst/>
              </a:rPr>
              <a:t>a</a:t>
            </a:r>
            <a:r>
              <a:rPr lang="en-GB" sz="700" b="1" i="1" baseline="-25000">
                <a:effectLst/>
              </a:rPr>
              <a:t>indoor</a:t>
            </a:r>
            <a:r>
              <a:rPr lang="en-GB" sz="700" b="1" i="0" baseline="0">
                <a:effectLst/>
              </a:rPr>
              <a:t> = 25 dB;  </a:t>
            </a:r>
            <a:r>
              <a:rPr lang="en-GB" sz="700" b="1" i="1" baseline="0">
                <a:effectLst/>
              </a:rPr>
              <a:t>A</a:t>
            </a:r>
            <a:r>
              <a:rPr lang="en-GB" sz="700" b="1" i="1" baseline="-25000">
                <a:effectLst/>
              </a:rPr>
              <a:t>hTx</a:t>
            </a:r>
            <a:r>
              <a:rPr lang="en-GB" sz="700" b="1" i="0" baseline="0">
                <a:effectLst/>
              </a:rPr>
              <a:t> = 0 dB </a:t>
            </a:r>
            <a:endParaRPr lang="ru-RU" sz="700">
              <a:effectLst/>
            </a:endParaRPr>
          </a:p>
        </c:rich>
      </c:tx>
      <c:layout>
        <c:manualLayout>
          <c:xMode val="edge"/>
          <c:yMode val="edge"/>
          <c:x val="9.9541093948622733E-2"/>
          <c:y val="1.4184397163120564E-2"/>
        </c:manualLayout>
      </c:layout>
      <c:overlay val="0"/>
    </c:title>
    <c:autoTitleDeleted val="0"/>
    <c:plotArea>
      <c:layout>
        <c:manualLayout>
          <c:layoutTarget val="inner"/>
          <c:xMode val="edge"/>
          <c:yMode val="edge"/>
          <c:x val="9.9215524888657244E-2"/>
          <c:y val="0.15386215147927557"/>
          <c:w val="0.83507018939705657"/>
          <c:h val="0.71314152556706067"/>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Лист1!$A$2:$A$361</c:f>
              <c:numCache>
                <c:formatCode>General</c:formatCode>
                <c:ptCount val="360"/>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Лист1!$B$2:$B$361</c:f>
              <c:numCache>
                <c:formatCode>General</c:formatCode>
                <c:ptCount val="360"/>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pt idx="181">
                  <c:v>2.0000000000000011E-2</c:v>
                </c:pt>
                <c:pt idx="182">
                  <c:v>2.0000000000000011E-2</c:v>
                </c:pt>
                <c:pt idx="183">
                  <c:v>2.0000000000000011E-2</c:v>
                </c:pt>
                <c:pt idx="184">
                  <c:v>2.0000000000000011E-2</c:v>
                </c:pt>
                <c:pt idx="185">
                  <c:v>2.0000000000000011E-2</c:v>
                </c:pt>
                <c:pt idx="186">
                  <c:v>2.0000000000000011E-2</c:v>
                </c:pt>
                <c:pt idx="187">
                  <c:v>2.0000000000000011E-2</c:v>
                </c:pt>
                <c:pt idx="188">
                  <c:v>2.0000000000000011E-2</c:v>
                </c:pt>
                <c:pt idx="189">
                  <c:v>2.0000000000000011E-2</c:v>
                </c:pt>
                <c:pt idx="190">
                  <c:v>2.0000000000000011E-2</c:v>
                </c:pt>
                <c:pt idx="191">
                  <c:v>2.0000000000000011E-2</c:v>
                </c:pt>
                <c:pt idx="192">
                  <c:v>2.0000000000000011E-2</c:v>
                </c:pt>
                <c:pt idx="193">
                  <c:v>2.0000000000000011E-2</c:v>
                </c:pt>
                <c:pt idx="194">
                  <c:v>2.0000000000000011E-2</c:v>
                </c:pt>
                <c:pt idx="195">
                  <c:v>2.0000000000000011E-2</c:v>
                </c:pt>
                <c:pt idx="196">
                  <c:v>2.0000000000000011E-2</c:v>
                </c:pt>
                <c:pt idx="197">
                  <c:v>2.0000000000000011E-2</c:v>
                </c:pt>
                <c:pt idx="198">
                  <c:v>2.0000000000000011E-2</c:v>
                </c:pt>
                <c:pt idx="199">
                  <c:v>2.0000000000000011E-2</c:v>
                </c:pt>
                <c:pt idx="200">
                  <c:v>2.0000000000000011E-2</c:v>
                </c:pt>
                <c:pt idx="201">
                  <c:v>2.0000000000000011E-2</c:v>
                </c:pt>
                <c:pt idx="202">
                  <c:v>2.0000000000000011E-2</c:v>
                </c:pt>
                <c:pt idx="203">
                  <c:v>2.0000000000000011E-2</c:v>
                </c:pt>
                <c:pt idx="204">
                  <c:v>2.0000000000000011E-2</c:v>
                </c:pt>
                <c:pt idx="205">
                  <c:v>2.0000000000000011E-2</c:v>
                </c:pt>
                <c:pt idx="206">
                  <c:v>2.0000000000000011E-2</c:v>
                </c:pt>
                <c:pt idx="207">
                  <c:v>2.0000000000000011E-2</c:v>
                </c:pt>
                <c:pt idx="208">
                  <c:v>2.0000000000000011E-2</c:v>
                </c:pt>
                <c:pt idx="209">
                  <c:v>2.0000000000000011E-2</c:v>
                </c:pt>
                <c:pt idx="210">
                  <c:v>2.0000000000000011E-2</c:v>
                </c:pt>
                <c:pt idx="211">
                  <c:v>2.0000000000000011E-2</c:v>
                </c:pt>
                <c:pt idx="212">
                  <c:v>2.0000000000000011E-2</c:v>
                </c:pt>
                <c:pt idx="213">
                  <c:v>2.0000000000000011E-2</c:v>
                </c:pt>
                <c:pt idx="214">
                  <c:v>2.0000000000000011E-2</c:v>
                </c:pt>
                <c:pt idx="215">
                  <c:v>2.0000000000000011E-2</c:v>
                </c:pt>
                <c:pt idx="216">
                  <c:v>2.0000000000000011E-2</c:v>
                </c:pt>
                <c:pt idx="217">
                  <c:v>2.0000000000000011E-2</c:v>
                </c:pt>
                <c:pt idx="218">
                  <c:v>2.0000000000000011E-2</c:v>
                </c:pt>
                <c:pt idx="219">
                  <c:v>2.0000000000000011E-2</c:v>
                </c:pt>
                <c:pt idx="220">
                  <c:v>2.0000000000000011E-2</c:v>
                </c:pt>
                <c:pt idx="221">
                  <c:v>2.0000000000000011E-2</c:v>
                </c:pt>
                <c:pt idx="222">
                  <c:v>2.0000000000000011E-2</c:v>
                </c:pt>
                <c:pt idx="223">
                  <c:v>2.0000000000000011E-2</c:v>
                </c:pt>
                <c:pt idx="224">
                  <c:v>2.0000000000000011E-2</c:v>
                </c:pt>
                <c:pt idx="225">
                  <c:v>2.0000000000000011E-2</c:v>
                </c:pt>
                <c:pt idx="226">
                  <c:v>2.0000000000000011E-2</c:v>
                </c:pt>
                <c:pt idx="227">
                  <c:v>2.0000000000000011E-2</c:v>
                </c:pt>
                <c:pt idx="228">
                  <c:v>2.0000000000000011E-2</c:v>
                </c:pt>
                <c:pt idx="229">
                  <c:v>2.0000000000000011E-2</c:v>
                </c:pt>
                <c:pt idx="230">
                  <c:v>2.0000000000000011E-2</c:v>
                </c:pt>
                <c:pt idx="231">
                  <c:v>2.0000000000000011E-2</c:v>
                </c:pt>
                <c:pt idx="232">
                  <c:v>2.0000000000000011E-2</c:v>
                </c:pt>
                <c:pt idx="233">
                  <c:v>2.0000000000000011E-2</c:v>
                </c:pt>
                <c:pt idx="234">
                  <c:v>2.0000000000000011E-2</c:v>
                </c:pt>
                <c:pt idx="235">
                  <c:v>2.0000000000000011E-2</c:v>
                </c:pt>
                <c:pt idx="236">
                  <c:v>2.0000000000000011E-2</c:v>
                </c:pt>
                <c:pt idx="237">
                  <c:v>2.0000000000000011E-2</c:v>
                </c:pt>
                <c:pt idx="238">
                  <c:v>2.0000000000000011E-2</c:v>
                </c:pt>
                <c:pt idx="239">
                  <c:v>2.0000000000000011E-2</c:v>
                </c:pt>
                <c:pt idx="240">
                  <c:v>2.0000000000000011E-2</c:v>
                </c:pt>
                <c:pt idx="241">
                  <c:v>2.0000000000000011E-2</c:v>
                </c:pt>
                <c:pt idx="242">
                  <c:v>2.0000000000000011E-2</c:v>
                </c:pt>
                <c:pt idx="243">
                  <c:v>2.0000000000000011E-2</c:v>
                </c:pt>
                <c:pt idx="244">
                  <c:v>2.0000000000000011E-2</c:v>
                </c:pt>
                <c:pt idx="245">
                  <c:v>2.0000000000000011E-2</c:v>
                </c:pt>
                <c:pt idx="246">
                  <c:v>2.0000000000000011E-2</c:v>
                </c:pt>
                <c:pt idx="247">
                  <c:v>2.0000000000000011E-2</c:v>
                </c:pt>
                <c:pt idx="248">
                  <c:v>2.0000000000000011E-2</c:v>
                </c:pt>
                <c:pt idx="249">
                  <c:v>2.0000000000000011E-2</c:v>
                </c:pt>
                <c:pt idx="250">
                  <c:v>2.0000000000000011E-2</c:v>
                </c:pt>
                <c:pt idx="251">
                  <c:v>2.0000000000000011E-2</c:v>
                </c:pt>
                <c:pt idx="252">
                  <c:v>2.0000000000000011E-2</c:v>
                </c:pt>
                <c:pt idx="253">
                  <c:v>2.0000000000000011E-2</c:v>
                </c:pt>
                <c:pt idx="254">
                  <c:v>2.0000000000000011E-2</c:v>
                </c:pt>
                <c:pt idx="255">
                  <c:v>2.0000000000000011E-2</c:v>
                </c:pt>
                <c:pt idx="256">
                  <c:v>2.0000000000000011E-2</c:v>
                </c:pt>
                <c:pt idx="257">
                  <c:v>2.0000000000000011E-2</c:v>
                </c:pt>
                <c:pt idx="258">
                  <c:v>2.0000000000000011E-2</c:v>
                </c:pt>
                <c:pt idx="259">
                  <c:v>2.0000000000000011E-2</c:v>
                </c:pt>
                <c:pt idx="260">
                  <c:v>2.0000000000000011E-2</c:v>
                </c:pt>
                <c:pt idx="261">
                  <c:v>2.0000000000000011E-2</c:v>
                </c:pt>
                <c:pt idx="262">
                  <c:v>2.0000000000000011E-2</c:v>
                </c:pt>
                <c:pt idx="263">
                  <c:v>2.0000000000000011E-2</c:v>
                </c:pt>
                <c:pt idx="264">
                  <c:v>2.0000000000000011E-2</c:v>
                </c:pt>
                <c:pt idx="265">
                  <c:v>2.0000000000000011E-2</c:v>
                </c:pt>
                <c:pt idx="266">
                  <c:v>2.0000000000000011E-2</c:v>
                </c:pt>
                <c:pt idx="267">
                  <c:v>2.0000000000000011E-2</c:v>
                </c:pt>
                <c:pt idx="268">
                  <c:v>2.0000000000000011E-2</c:v>
                </c:pt>
                <c:pt idx="269">
                  <c:v>2.0000000000000011E-2</c:v>
                </c:pt>
                <c:pt idx="270">
                  <c:v>2.0000000000000011E-2</c:v>
                </c:pt>
                <c:pt idx="271">
                  <c:v>2.0000000000000011E-2</c:v>
                </c:pt>
                <c:pt idx="272">
                  <c:v>2.0000000000000011E-2</c:v>
                </c:pt>
                <c:pt idx="273">
                  <c:v>2.0000000000000011E-2</c:v>
                </c:pt>
                <c:pt idx="274">
                  <c:v>2.0000000000000011E-2</c:v>
                </c:pt>
                <c:pt idx="275">
                  <c:v>2.0000000000000011E-2</c:v>
                </c:pt>
                <c:pt idx="276">
                  <c:v>2.0000000000000011E-2</c:v>
                </c:pt>
                <c:pt idx="277">
                  <c:v>2.0000000000000011E-2</c:v>
                </c:pt>
                <c:pt idx="278">
                  <c:v>2.0000000000000011E-2</c:v>
                </c:pt>
                <c:pt idx="279">
                  <c:v>2.0000000000000011E-2</c:v>
                </c:pt>
                <c:pt idx="280">
                  <c:v>2.0000000000000011E-2</c:v>
                </c:pt>
                <c:pt idx="281">
                  <c:v>2.0000000000000011E-2</c:v>
                </c:pt>
                <c:pt idx="282">
                  <c:v>2.0000000000000011E-2</c:v>
                </c:pt>
                <c:pt idx="283">
                  <c:v>2.0000000000000011E-2</c:v>
                </c:pt>
                <c:pt idx="284">
                  <c:v>2.0000000000000011E-2</c:v>
                </c:pt>
                <c:pt idx="285">
                  <c:v>2.0000000000000011E-2</c:v>
                </c:pt>
                <c:pt idx="286">
                  <c:v>2.0000000000000011E-2</c:v>
                </c:pt>
                <c:pt idx="287">
                  <c:v>2.0000000000000011E-2</c:v>
                </c:pt>
                <c:pt idx="288">
                  <c:v>2.0000000000000011E-2</c:v>
                </c:pt>
                <c:pt idx="289">
                  <c:v>2.0000000000000011E-2</c:v>
                </c:pt>
                <c:pt idx="290">
                  <c:v>2.0000000000000011E-2</c:v>
                </c:pt>
                <c:pt idx="291">
                  <c:v>2.0000000000000011E-2</c:v>
                </c:pt>
                <c:pt idx="292">
                  <c:v>2.0000000000000011E-2</c:v>
                </c:pt>
                <c:pt idx="293">
                  <c:v>2.0000000000000011E-2</c:v>
                </c:pt>
                <c:pt idx="294">
                  <c:v>2.0000000000000011E-2</c:v>
                </c:pt>
                <c:pt idx="295">
                  <c:v>2.0000000000000011E-2</c:v>
                </c:pt>
                <c:pt idx="296">
                  <c:v>2.0000000000000011E-2</c:v>
                </c:pt>
                <c:pt idx="297">
                  <c:v>2.0000000000000011E-2</c:v>
                </c:pt>
                <c:pt idx="298">
                  <c:v>2.0000000000000011E-2</c:v>
                </c:pt>
                <c:pt idx="299">
                  <c:v>2.0000000000000011E-2</c:v>
                </c:pt>
                <c:pt idx="300">
                  <c:v>2.0000000000000011E-2</c:v>
                </c:pt>
                <c:pt idx="301">
                  <c:v>2.0000000000000011E-2</c:v>
                </c:pt>
                <c:pt idx="302">
                  <c:v>2.0000000000000011E-2</c:v>
                </c:pt>
                <c:pt idx="303">
                  <c:v>2.0000000000000011E-2</c:v>
                </c:pt>
                <c:pt idx="304">
                  <c:v>2.0000000000000011E-2</c:v>
                </c:pt>
                <c:pt idx="305">
                  <c:v>2.0000000000000011E-2</c:v>
                </c:pt>
                <c:pt idx="306">
                  <c:v>2.0000000000000011E-2</c:v>
                </c:pt>
                <c:pt idx="307">
                  <c:v>2.0000000000000011E-2</c:v>
                </c:pt>
                <c:pt idx="308">
                  <c:v>2.0000000000000011E-2</c:v>
                </c:pt>
                <c:pt idx="309">
                  <c:v>2.0000000000000011E-2</c:v>
                </c:pt>
                <c:pt idx="310">
                  <c:v>2.0000000000000011E-2</c:v>
                </c:pt>
                <c:pt idx="311">
                  <c:v>2.0000000000000011E-2</c:v>
                </c:pt>
                <c:pt idx="312">
                  <c:v>2.0000000000000011E-2</c:v>
                </c:pt>
                <c:pt idx="313">
                  <c:v>2.0000000000000011E-2</c:v>
                </c:pt>
                <c:pt idx="314">
                  <c:v>2.0000000000000011E-2</c:v>
                </c:pt>
                <c:pt idx="315">
                  <c:v>2.0000000000000011E-2</c:v>
                </c:pt>
                <c:pt idx="316">
                  <c:v>2.0000000000000011E-2</c:v>
                </c:pt>
                <c:pt idx="317">
                  <c:v>2.0000000000000011E-2</c:v>
                </c:pt>
                <c:pt idx="318">
                  <c:v>2.0000000000000011E-2</c:v>
                </c:pt>
                <c:pt idx="319">
                  <c:v>2.0000000000000011E-2</c:v>
                </c:pt>
                <c:pt idx="320">
                  <c:v>2.0000000000000011E-2</c:v>
                </c:pt>
                <c:pt idx="321">
                  <c:v>2.0000000000000011E-2</c:v>
                </c:pt>
                <c:pt idx="322">
                  <c:v>2.0000000000000011E-2</c:v>
                </c:pt>
                <c:pt idx="323">
                  <c:v>2.0000000000000011E-2</c:v>
                </c:pt>
                <c:pt idx="324">
                  <c:v>2.0000000000000011E-2</c:v>
                </c:pt>
                <c:pt idx="325">
                  <c:v>2.0000000000000011E-2</c:v>
                </c:pt>
                <c:pt idx="326">
                  <c:v>2.0000000000000011E-2</c:v>
                </c:pt>
                <c:pt idx="327">
                  <c:v>2.0000000000000011E-2</c:v>
                </c:pt>
                <c:pt idx="328">
                  <c:v>2.0000000000000011E-2</c:v>
                </c:pt>
                <c:pt idx="329">
                  <c:v>2.0000000000000011E-2</c:v>
                </c:pt>
                <c:pt idx="330">
                  <c:v>2.0000000000000011E-2</c:v>
                </c:pt>
                <c:pt idx="331">
                  <c:v>2.0000000000000011E-2</c:v>
                </c:pt>
                <c:pt idx="332">
                  <c:v>2.0000000000000011E-2</c:v>
                </c:pt>
                <c:pt idx="333">
                  <c:v>2.0000000000000011E-2</c:v>
                </c:pt>
                <c:pt idx="334">
                  <c:v>2.0000000000000011E-2</c:v>
                </c:pt>
                <c:pt idx="335">
                  <c:v>2.0000000000000011E-2</c:v>
                </c:pt>
                <c:pt idx="336">
                  <c:v>2.0000000000000011E-2</c:v>
                </c:pt>
                <c:pt idx="337">
                  <c:v>2.0000000000000011E-2</c:v>
                </c:pt>
                <c:pt idx="338">
                  <c:v>2.0000000000000011E-2</c:v>
                </c:pt>
                <c:pt idx="339">
                  <c:v>2.0000000000000011E-2</c:v>
                </c:pt>
                <c:pt idx="340">
                  <c:v>2.0000000000000011E-2</c:v>
                </c:pt>
                <c:pt idx="341">
                  <c:v>2.0000000000000011E-2</c:v>
                </c:pt>
                <c:pt idx="342">
                  <c:v>2.0000000000000011E-2</c:v>
                </c:pt>
                <c:pt idx="343">
                  <c:v>2.0000000000000011E-2</c:v>
                </c:pt>
                <c:pt idx="344">
                  <c:v>2.0000000000000011E-2</c:v>
                </c:pt>
                <c:pt idx="345">
                  <c:v>2.0000000000000011E-2</c:v>
                </c:pt>
                <c:pt idx="346">
                  <c:v>2.0000000000000011E-2</c:v>
                </c:pt>
                <c:pt idx="347">
                  <c:v>2.0000000000000011E-2</c:v>
                </c:pt>
                <c:pt idx="348">
                  <c:v>2.0000000000000011E-2</c:v>
                </c:pt>
                <c:pt idx="349">
                  <c:v>2.0000000000000011E-2</c:v>
                </c:pt>
                <c:pt idx="350">
                  <c:v>2.0000000000000011E-2</c:v>
                </c:pt>
                <c:pt idx="351">
                  <c:v>2.0000000000000011E-2</c:v>
                </c:pt>
                <c:pt idx="352">
                  <c:v>2.0000000000000011E-2</c:v>
                </c:pt>
                <c:pt idx="353">
                  <c:v>2.0000000000000011E-2</c:v>
                </c:pt>
                <c:pt idx="354">
                  <c:v>2.0000000000000011E-2</c:v>
                </c:pt>
                <c:pt idx="355">
                  <c:v>2.0000000000000011E-2</c:v>
                </c:pt>
                <c:pt idx="356">
                  <c:v>2.0000000000000011E-2</c:v>
                </c:pt>
                <c:pt idx="357">
                  <c:v>2.0000000000000011E-2</c:v>
                </c:pt>
                <c:pt idx="358">
                  <c:v>2.0000000000000011E-2</c:v>
                </c:pt>
                <c:pt idx="359">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Лист1!$A$2:$A$361</c:f>
              <c:numCache>
                <c:formatCode>General</c:formatCode>
                <c:ptCount val="360"/>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Лист1!$C$2:$C$361</c:f>
              <c:numCache>
                <c:formatCode>General</c:formatCode>
                <c:ptCount val="360"/>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pt idx="181">
                  <c:v>2.0000000000000011E-2</c:v>
                </c:pt>
                <c:pt idx="182">
                  <c:v>2.0000000000000011E-2</c:v>
                </c:pt>
                <c:pt idx="183">
                  <c:v>2.0000000000000011E-2</c:v>
                </c:pt>
                <c:pt idx="184">
                  <c:v>2.0000000000000011E-2</c:v>
                </c:pt>
                <c:pt idx="185">
                  <c:v>2.0000000000000011E-2</c:v>
                </c:pt>
                <c:pt idx="186">
                  <c:v>2.0000000000000011E-2</c:v>
                </c:pt>
                <c:pt idx="187">
                  <c:v>2.0000000000000011E-2</c:v>
                </c:pt>
                <c:pt idx="188">
                  <c:v>2.0000000000000011E-2</c:v>
                </c:pt>
                <c:pt idx="189">
                  <c:v>2.0000000000000011E-2</c:v>
                </c:pt>
                <c:pt idx="190">
                  <c:v>2.0000000000000011E-2</c:v>
                </c:pt>
                <c:pt idx="191">
                  <c:v>2.0000000000000011E-2</c:v>
                </c:pt>
                <c:pt idx="192">
                  <c:v>2.0000000000000011E-2</c:v>
                </c:pt>
                <c:pt idx="193">
                  <c:v>2.0000000000000011E-2</c:v>
                </c:pt>
                <c:pt idx="194">
                  <c:v>2.0000000000000011E-2</c:v>
                </c:pt>
                <c:pt idx="195">
                  <c:v>2.0000000000000011E-2</c:v>
                </c:pt>
                <c:pt idx="196">
                  <c:v>2.0000000000000011E-2</c:v>
                </c:pt>
                <c:pt idx="197">
                  <c:v>2.0000000000000011E-2</c:v>
                </c:pt>
                <c:pt idx="198">
                  <c:v>2.0000000000000011E-2</c:v>
                </c:pt>
                <c:pt idx="199">
                  <c:v>2.0000000000000011E-2</c:v>
                </c:pt>
                <c:pt idx="200">
                  <c:v>2.0000000000000011E-2</c:v>
                </c:pt>
                <c:pt idx="201">
                  <c:v>2.0000000000000011E-2</c:v>
                </c:pt>
                <c:pt idx="202">
                  <c:v>2.0000000000000011E-2</c:v>
                </c:pt>
                <c:pt idx="203">
                  <c:v>2.0000000000000011E-2</c:v>
                </c:pt>
                <c:pt idx="204">
                  <c:v>2.0000000000000011E-2</c:v>
                </c:pt>
                <c:pt idx="205">
                  <c:v>2.0000000000000011E-2</c:v>
                </c:pt>
                <c:pt idx="206">
                  <c:v>2.0000000000000011E-2</c:v>
                </c:pt>
                <c:pt idx="207">
                  <c:v>2.0000000000000011E-2</c:v>
                </c:pt>
                <c:pt idx="208">
                  <c:v>2.0000000000000011E-2</c:v>
                </c:pt>
                <c:pt idx="209">
                  <c:v>2.0000000000000011E-2</c:v>
                </c:pt>
                <c:pt idx="210">
                  <c:v>2.0000000000000011E-2</c:v>
                </c:pt>
                <c:pt idx="211">
                  <c:v>2.0000000000000011E-2</c:v>
                </c:pt>
                <c:pt idx="212">
                  <c:v>2.0000000000000011E-2</c:v>
                </c:pt>
                <c:pt idx="213">
                  <c:v>2.0000000000000011E-2</c:v>
                </c:pt>
                <c:pt idx="214">
                  <c:v>2.0000000000000011E-2</c:v>
                </c:pt>
                <c:pt idx="215">
                  <c:v>2.0000000000000011E-2</c:v>
                </c:pt>
                <c:pt idx="216">
                  <c:v>2.0000000000000011E-2</c:v>
                </c:pt>
                <c:pt idx="217">
                  <c:v>2.0000000000000011E-2</c:v>
                </c:pt>
                <c:pt idx="218">
                  <c:v>2.0000000000000011E-2</c:v>
                </c:pt>
                <c:pt idx="219">
                  <c:v>2.0000000000000011E-2</c:v>
                </c:pt>
                <c:pt idx="220">
                  <c:v>2.0000000000000011E-2</c:v>
                </c:pt>
                <c:pt idx="221">
                  <c:v>2.0000000000000011E-2</c:v>
                </c:pt>
                <c:pt idx="222">
                  <c:v>2.0000000000000011E-2</c:v>
                </c:pt>
                <c:pt idx="223">
                  <c:v>2.0000000000000011E-2</c:v>
                </c:pt>
                <c:pt idx="224">
                  <c:v>2.0000000000000011E-2</c:v>
                </c:pt>
                <c:pt idx="225">
                  <c:v>2.0000000000000011E-2</c:v>
                </c:pt>
                <c:pt idx="226">
                  <c:v>2.0000000000000011E-2</c:v>
                </c:pt>
                <c:pt idx="227">
                  <c:v>2.0000000000000011E-2</c:v>
                </c:pt>
                <c:pt idx="228">
                  <c:v>2.0000000000000011E-2</c:v>
                </c:pt>
                <c:pt idx="229">
                  <c:v>2.0000000000000011E-2</c:v>
                </c:pt>
                <c:pt idx="230">
                  <c:v>2.0000000000000011E-2</c:v>
                </c:pt>
                <c:pt idx="231">
                  <c:v>2.0000000000000011E-2</c:v>
                </c:pt>
                <c:pt idx="232">
                  <c:v>2.0000000000000011E-2</c:v>
                </c:pt>
                <c:pt idx="233">
                  <c:v>2.0000000000000011E-2</c:v>
                </c:pt>
                <c:pt idx="234">
                  <c:v>2.0000000000000011E-2</c:v>
                </c:pt>
                <c:pt idx="235">
                  <c:v>2.0000000000000011E-2</c:v>
                </c:pt>
                <c:pt idx="236">
                  <c:v>2.0000000000000011E-2</c:v>
                </c:pt>
                <c:pt idx="237">
                  <c:v>2.0000000000000011E-2</c:v>
                </c:pt>
                <c:pt idx="238">
                  <c:v>2.0000000000000011E-2</c:v>
                </c:pt>
                <c:pt idx="239">
                  <c:v>2.0000000000000011E-2</c:v>
                </c:pt>
                <c:pt idx="240">
                  <c:v>2.0000000000000011E-2</c:v>
                </c:pt>
                <c:pt idx="241">
                  <c:v>2.0000000000000011E-2</c:v>
                </c:pt>
                <c:pt idx="242">
                  <c:v>2.0000000000000011E-2</c:v>
                </c:pt>
                <c:pt idx="243">
                  <c:v>2.0000000000000011E-2</c:v>
                </c:pt>
                <c:pt idx="244">
                  <c:v>2.0000000000000011E-2</c:v>
                </c:pt>
                <c:pt idx="245">
                  <c:v>2.0000000000000011E-2</c:v>
                </c:pt>
                <c:pt idx="246">
                  <c:v>2.0000000000000011E-2</c:v>
                </c:pt>
                <c:pt idx="247">
                  <c:v>2.0000000000000011E-2</c:v>
                </c:pt>
                <c:pt idx="248">
                  <c:v>2.0000000000000011E-2</c:v>
                </c:pt>
                <c:pt idx="249">
                  <c:v>2.0000000000000011E-2</c:v>
                </c:pt>
                <c:pt idx="250">
                  <c:v>2.0000000000000011E-2</c:v>
                </c:pt>
                <c:pt idx="251">
                  <c:v>2.0000000000000011E-2</c:v>
                </c:pt>
                <c:pt idx="252">
                  <c:v>2.0000000000000011E-2</c:v>
                </c:pt>
                <c:pt idx="253">
                  <c:v>2.0000000000000011E-2</c:v>
                </c:pt>
                <c:pt idx="254">
                  <c:v>2.0000000000000011E-2</c:v>
                </c:pt>
                <c:pt idx="255">
                  <c:v>2.0000000000000011E-2</c:v>
                </c:pt>
                <c:pt idx="256">
                  <c:v>2.0000000000000011E-2</c:v>
                </c:pt>
                <c:pt idx="257">
                  <c:v>2.0000000000000011E-2</c:v>
                </c:pt>
                <c:pt idx="258">
                  <c:v>2.0000000000000011E-2</c:v>
                </c:pt>
                <c:pt idx="259">
                  <c:v>2.0000000000000011E-2</c:v>
                </c:pt>
                <c:pt idx="260">
                  <c:v>2.0000000000000011E-2</c:v>
                </c:pt>
                <c:pt idx="261">
                  <c:v>2.0000000000000011E-2</c:v>
                </c:pt>
                <c:pt idx="262">
                  <c:v>2.0000000000000011E-2</c:v>
                </c:pt>
                <c:pt idx="263">
                  <c:v>2.0000000000000011E-2</c:v>
                </c:pt>
                <c:pt idx="264">
                  <c:v>2.0000000000000011E-2</c:v>
                </c:pt>
                <c:pt idx="265">
                  <c:v>2.0000000000000011E-2</c:v>
                </c:pt>
                <c:pt idx="266">
                  <c:v>2.0000000000000011E-2</c:v>
                </c:pt>
                <c:pt idx="267">
                  <c:v>2.0000000000000011E-2</c:v>
                </c:pt>
                <c:pt idx="268">
                  <c:v>2.0000000000000011E-2</c:v>
                </c:pt>
                <c:pt idx="269">
                  <c:v>2.0000000000000011E-2</c:v>
                </c:pt>
                <c:pt idx="270">
                  <c:v>2.0000000000000011E-2</c:v>
                </c:pt>
                <c:pt idx="271">
                  <c:v>2.0000000000000011E-2</c:v>
                </c:pt>
                <c:pt idx="272">
                  <c:v>2.0000000000000011E-2</c:v>
                </c:pt>
                <c:pt idx="273">
                  <c:v>2.0000000000000011E-2</c:v>
                </c:pt>
                <c:pt idx="274">
                  <c:v>2.0000000000000011E-2</c:v>
                </c:pt>
                <c:pt idx="275">
                  <c:v>2.0000000000000011E-2</c:v>
                </c:pt>
                <c:pt idx="276">
                  <c:v>2.0000000000000011E-2</c:v>
                </c:pt>
                <c:pt idx="277">
                  <c:v>2.0000000000000011E-2</c:v>
                </c:pt>
                <c:pt idx="278">
                  <c:v>2.0000000000000011E-2</c:v>
                </c:pt>
                <c:pt idx="279">
                  <c:v>2.0000000000000011E-2</c:v>
                </c:pt>
                <c:pt idx="280">
                  <c:v>2.0000000000000011E-2</c:v>
                </c:pt>
                <c:pt idx="281">
                  <c:v>2.0000000000000011E-2</c:v>
                </c:pt>
                <c:pt idx="282">
                  <c:v>2.0000000000000011E-2</c:v>
                </c:pt>
                <c:pt idx="283">
                  <c:v>2.0000000000000011E-2</c:v>
                </c:pt>
                <c:pt idx="284">
                  <c:v>2.0000000000000011E-2</c:v>
                </c:pt>
                <c:pt idx="285">
                  <c:v>2.0000000000000011E-2</c:v>
                </c:pt>
                <c:pt idx="286">
                  <c:v>2.0000000000000011E-2</c:v>
                </c:pt>
                <c:pt idx="287">
                  <c:v>2.0000000000000011E-2</c:v>
                </c:pt>
                <c:pt idx="288">
                  <c:v>2.0000000000000011E-2</c:v>
                </c:pt>
                <c:pt idx="289">
                  <c:v>2.0000000000000011E-2</c:v>
                </c:pt>
                <c:pt idx="290">
                  <c:v>2.0000000000000011E-2</c:v>
                </c:pt>
                <c:pt idx="291">
                  <c:v>2.0000000000000011E-2</c:v>
                </c:pt>
                <c:pt idx="292">
                  <c:v>2.0000000000000011E-2</c:v>
                </c:pt>
                <c:pt idx="293">
                  <c:v>2.0000000000000011E-2</c:v>
                </c:pt>
                <c:pt idx="294">
                  <c:v>2.0000000000000011E-2</c:v>
                </c:pt>
                <c:pt idx="295">
                  <c:v>2.0000000000000011E-2</c:v>
                </c:pt>
                <c:pt idx="296">
                  <c:v>2.0000000000000011E-2</c:v>
                </c:pt>
                <c:pt idx="297">
                  <c:v>2.0000000000000011E-2</c:v>
                </c:pt>
                <c:pt idx="298">
                  <c:v>2.0000000000000011E-2</c:v>
                </c:pt>
                <c:pt idx="299">
                  <c:v>2.0000000000000011E-2</c:v>
                </c:pt>
                <c:pt idx="300">
                  <c:v>2.0000000000000011E-2</c:v>
                </c:pt>
                <c:pt idx="301">
                  <c:v>2.0000000000000011E-2</c:v>
                </c:pt>
                <c:pt idx="302">
                  <c:v>2.0000000000000011E-2</c:v>
                </c:pt>
                <c:pt idx="303">
                  <c:v>2.0000000000000011E-2</c:v>
                </c:pt>
                <c:pt idx="304">
                  <c:v>2.0000000000000011E-2</c:v>
                </c:pt>
                <c:pt idx="305">
                  <c:v>2.0000000000000011E-2</c:v>
                </c:pt>
                <c:pt idx="306">
                  <c:v>2.0000000000000011E-2</c:v>
                </c:pt>
                <c:pt idx="307">
                  <c:v>2.0000000000000011E-2</c:v>
                </c:pt>
                <c:pt idx="308">
                  <c:v>2.0000000000000011E-2</c:v>
                </c:pt>
                <c:pt idx="309">
                  <c:v>2.0000000000000011E-2</c:v>
                </c:pt>
                <c:pt idx="310">
                  <c:v>2.0000000000000011E-2</c:v>
                </c:pt>
                <c:pt idx="311">
                  <c:v>2.0000000000000011E-2</c:v>
                </c:pt>
                <c:pt idx="312">
                  <c:v>2.0000000000000011E-2</c:v>
                </c:pt>
                <c:pt idx="313">
                  <c:v>2.0000000000000011E-2</c:v>
                </c:pt>
                <c:pt idx="314">
                  <c:v>2.0000000000000011E-2</c:v>
                </c:pt>
                <c:pt idx="315">
                  <c:v>2.0000000000000011E-2</c:v>
                </c:pt>
                <c:pt idx="316">
                  <c:v>2.0000000000000011E-2</c:v>
                </c:pt>
                <c:pt idx="317">
                  <c:v>2.0000000000000011E-2</c:v>
                </c:pt>
                <c:pt idx="318">
                  <c:v>2.0000000000000011E-2</c:v>
                </c:pt>
                <c:pt idx="319">
                  <c:v>2.0000000000000011E-2</c:v>
                </c:pt>
                <c:pt idx="320">
                  <c:v>2.0000000000000011E-2</c:v>
                </c:pt>
                <c:pt idx="321">
                  <c:v>2.0000000000000011E-2</c:v>
                </c:pt>
                <c:pt idx="322">
                  <c:v>2.0000000000000011E-2</c:v>
                </c:pt>
                <c:pt idx="323">
                  <c:v>2.0000000000000011E-2</c:v>
                </c:pt>
                <c:pt idx="324">
                  <c:v>2.0000000000000011E-2</c:v>
                </c:pt>
                <c:pt idx="325">
                  <c:v>2.0000000000000011E-2</c:v>
                </c:pt>
                <c:pt idx="326">
                  <c:v>2.0000000000000011E-2</c:v>
                </c:pt>
                <c:pt idx="327">
                  <c:v>2.0000000000000011E-2</c:v>
                </c:pt>
                <c:pt idx="328">
                  <c:v>2.0000000000000011E-2</c:v>
                </c:pt>
                <c:pt idx="329">
                  <c:v>2.0000000000000011E-2</c:v>
                </c:pt>
                <c:pt idx="330">
                  <c:v>2.0000000000000011E-2</c:v>
                </c:pt>
                <c:pt idx="331">
                  <c:v>2.0000000000000011E-2</c:v>
                </c:pt>
                <c:pt idx="332">
                  <c:v>2.0000000000000011E-2</c:v>
                </c:pt>
                <c:pt idx="333">
                  <c:v>2.0000000000000011E-2</c:v>
                </c:pt>
                <c:pt idx="334">
                  <c:v>2.0000000000000011E-2</c:v>
                </c:pt>
                <c:pt idx="335">
                  <c:v>2.0000000000000011E-2</c:v>
                </c:pt>
                <c:pt idx="336">
                  <c:v>2.0000000000000011E-2</c:v>
                </c:pt>
                <c:pt idx="337">
                  <c:v>2.0000000000000011E-2</c:v>
                </c:pt>
                <c:pt idx="338">
                  <c:v>2.0000000000000011E-2</c:v>
                </c:pt>
                <c:pt idx="339">
                  <c:v>2.0000000000000011E-2</c:v>
                </c:pt>
                <c:pt idx="340">
                  <c:v>2.0000000000000011E-2</c:v>
                </c:pt>
                <c:pt idx="341">
                  <c:v>2.0000000000000011E-2</c:v>
                </c:pt>
                <c:pt idx="342">
                  <c:v>2.0000000000000011E-2</c:v>
                </c:pt>
                <c:pt idx="343">
                  <c:v>2.0000000000000011E-2</c:v>
                </c:pt>
                <c:pt idx="344">
                  <c:v>2.0000000000000011E-2</c:v>
                </c:pt>
                <c:pt idx="345">
                  <c:v>2.0000000000000011E-2</c:v>
                </c:pt>
                <c:pt idx="346">
                  <c:v>2.0000000000000011E-2</c:v>
                </c:pt>
                <c:pt idx="347">
                  <c:v>2.0000000000000011E-2</c:v>
                </c:pt>
                <c:pt idx="348">
                  <c:v>2.0000000000000011E-2</c:v>
                </c:pt>
                <c:pt idx="349">
                  <c:v>2.0000000000000011E-2</c:v>
                </c:pt>
                <c:pt idx="350">
                  <c:v>2.0000000000000011E-2</c:v>
                </c:pt>
                <c:pt idx="351">
                  <c:v>2.0000000000000011E-2</c:v>
                </c:pt>
                <c:pt idx="352">
                  <c:v>2.0000000000000011E-2</c:v>
                </c:pt>
                <c:pt idx="353">
                  <c:v>2.0000000000000011E-2</c:v>
                </c:pt>
                <c:pt idx="354">
                  <c:v>2.0000000000000011E-2</c:v>
                </c:pt>
                <c:pt idx="355">
                  <c:v>2.0000000000000011E-2</c:v>
                </c:pt>
                <c:pt idx="356">
                  <c:v>2.0000000000000011E-2</c:v>
                </c:pt>
                <c:pt idx="357">
                  <c:v>2.0000000000000011E-2</c:v>
                </c:pt>
                <c:pt idx="358">
                  <c:v>2.0000000000000011E-2</c:v>
                </c:pt>
                <c:pt idx="359">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Лист1!$A$2:$A$361</c:f>
              <c:numCache>
                <c:formatCode>General</c:formatCode>
                <c:ptCount val="360"/>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Лист1!$D$2:$D$361</c:f>
              <c:numCache>
                <c:formatCode>General</c:formatCode>
                <c:ptCount val="360"/>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pt idx="181">
                  <c:v>2.0000000000000011E-2</c:v>
                </c:pt>
                <c:pt idx="182">
                  <c:v>2.0000000000000011E-2</c:v>
                </c:pt>
                <c:pt idx="183">
                  <c:v>2.0000000000000011E-2</c:v>
                </c:pt>
                <c:pt idx="184">
                  <c:v>2.0000000000000011E-2</c:v>
                </c:pt>
                <c:pt idx="185">
                  <c:v>2.0000000000000011E-2</c:v>
                </c:pt>
                <c:pt idx="186">
                  <c:v>2.0000000000000011E-2</c:v>
                </c:pt>
                <c:pt idx="187">
                  <c:v>2.0000000000000011E-2</c:v>
                </c:pt>
                <c:pt idx="188">
                  <c:v>2.0000000000000011E-2</c:v>
                </c:pt>
                <c:pt idx="189">
                  <c:v>2.0000000000000011E-2</c:v>
                </c:pt>
                <c:pt idx="190">
                  <c:v>2.0000000000000011E-2</c:v>
                </c:pt>
                <c:pt idx="191">
                  <c:v>2.0000000000000011E-2</c:v>
                </c:pt>
                <c:pt idx="192">
                  <c:v>2.0000000000000011E-2</c:v>
                </c:pt>
                <c:pt idx="193">
                  <c:v>2.0000000000000011E-2</c:v>
                </c:pt>
                <c:pt idx="194">
                  <c:v>2.0000000000000011E-2</c:v>
                </c:pt>
                <c:pt idx="195">
                  <c:v>2.0000000000000011E-2</c:v>
                </c:pt>
                <c:pt idx="196">
                  <c:v>2.0000000000000011E-2</c:v>
                </c:pt>
                <c:pt idx="197">
                  <c:v>2.0000000000000011E-2</c:v>
                </c:pt>
                <c:pt idx="198">
                  <c:v>2.0000000000000011E-2</c:v>
                </c:pt>
                <c:pt idx="199">
                  <c:v>2.0000000000000011E-2</c:v>
                </c:pt>
                <c:pt idx="200">
                  <c:v>2.0000000000000011E-2</c:v>
                </c:pt>
                <c:pt idx="201">
                  <c:v>2.0000000000000011E-2</c:v>
                </c:pt>
                <c:pt idx="202">
                  <c:v>2.0000000000000011E-2</c:v>
                </c:pt>
                <c:pt idx="203">
                  <c:v>2.0000000000000011E-2</c:v>
                </c:pt>
                <c:pt idx="204">
                  <c:v>2.0000000000000011E-2</c:v>
                </c:pt>
                <c:pt idx="205">
                  <c:v>2.0000000000000011E-2</c:v>
                </c:pt>
                <c:pt idx="206">
                  <c:v>2.0000000000000011E-2</c:v>
                </c:pt>
                <c:pt idx="207">
                  <c:v>2.0000000000000011E-2</c:v>
                </c:pt>
                <c:pt idx="208">
                  <c:v>2.0000000000000011E-2</c:v>
                </c:pt>
                <c:pt idx="209">
                  <c:v>2.0000000000000011E-2</c:v>
                </c:pt>
                <c:pt idx="210">
                  <c:v>2.0000000000000011E-2</c:v>
                </c:pt>
                <c:pt idx="211">
                  <c:v>2.0000000000000011E-2</c:v>
                </c:pt>
                <c:pt idx="212">
                  <c:v>2.0000000000000011E-2</c:v>
                </c:pt>
                <c:pt idx="213">
                  <c:v>2.0000000000000011E-2</c:v>
                </c:pt>
                <c:pt idx="214">
                  <c:v>2.0000000000000011E-2</c:v>
                </c:pt>
                <c:pt idx="215">
                  <c:v>2.0000000000000011E-2</c:v>
                </c:pt>
                <c:pt idx="216">
                  <c:v>2.0000000000000011E-2</c:v>
                </c:pt>
                <c:pt idx="217">
                  <c:v>2.0000000000000011E-2</c:v>
                </c:pt>
                <c:pt idx="218">
                  <c:v>2.0000000000000011E-2</c:v>
                </c:pt>
                <c:pt idx="219">
                  <c:v>2.0000000000000011E-2</c:v>
                </c:pt>
                <c:pt idx="220">
                  <c:v>2.0000000000000011E-2</c:v>
                </c:pt>
                <c:pt idx="221">
                  <c:v>2.0000000000000011E-2</c:v>
                </c:pt>
                <c:pt idx="222">
                  <c:v>2.0000000000000011E-2</c:v>
                </c:pt>
                <c:pt idx="223">
                  <c:v>2.0000000000000011E-2</c:v>
                </c:pt>
                <c:pt idx="224">
                  <c:v>2.0000000000000011E-2</c:v>
                </c:pt>
                <c:pt idx="225">
                  <c:v>2.0000000000000011E-2</c:v>
                </c:pt>
                <c:pt idx="226">
                  <c:v>2.0000000000000011E-2</c:v>
                </c:pt>
                <c:pt idx="227">
                  <c:v>2.0000000000000011E-2</c:v>
                </c:pt>
                <c:pt idx="228">
                  <c:v>2.0000000000000011E-2</c:v>
                </c:pt>
                <c:pt idx="229">
                  <c:v>2.0000000000000011E-2</c:v>
                </c:pt>
                <c:pt idx="230">
                  <c:v>2.0000000000000011E-2</c:v>
                </c:pt>
                <c:pt idx="231">
                  <c:v>2.0000000000000011E-2</c:v>
                </c:pt>
                <c:pt idx="232">
                  <c:v>2.0000000000000011E-2</c:v>
                </c:pt>
                <c:pt idx="233">
                  <c:v>2.0000000000000011E-2</c:v>
                </c:pt>
                <c:pt idx="234">
                  <c:v>2.0000000000000011E-2</c:v>
                </c:pt>
                <c:pt idx="235">
                  <c:v>2.0000000000000011E-2</c:v>
                </c:pt>
                <c:pt idx="236">
                  <c:v>2.0000000000000011E-2</c:v>
                </c:pt>
                <c:pt idx="237">
                  <c:v>2.0000000000000011E-2</c:v>
                </c:pt>
                <c:pt idx="238">
                  <c:v>2.0000000000000011E-2</c:v>
                </c:pt>
                <c:pt idx="239">
                  <c:v>2.0000000000000011E-2</c:v>
                </c:pt>
                <c:pt idx="240">
                  <c:v>2.0000000000000011E-2</c:v>
                </c:pt>
                <c:pt idx="241">
                  <c:v>2.0000000000000011E-2</c:v>
                </c:pt>
                <c:pt idx="242">
                  <c:v>2.0000000000000011E-2</c:v>
                </c:pt>
                <c:pt idx="243">
                  <c:v>2.0000000000000011E-2</c:v>
                </c:pt>
                <c:pt idx="244">
                  <c:v>2.0000000000000011E-2</c:v>
                </c:pt>
                <c:pt idx="245">
                  <c:v>2.0000000000000011E-2</c:v>
                </c:pt>
                <c:pt idx="246">
                  <c:v>2.0000000000000011E-2</c:v>
                </c:pt>
                <c:pt idx="247">
                  <c:v>2.0000000000000011E-2</c:v>
                </c:pt>
                <c:pt idx="248">
                  <c:v>2.0000000000000011E-2</c:v>
                </c:pt>
                <c:pt idx="249">
                  <c:v>2.0000000000000011E-2</c:v>
                </c:pt>
                <c:pt idx="250">
                  <c:v>2.0000000000000011E-2</c:v>
                </c:pt>
                <c:pt idx="251">
                  <c:v>2.0000000000000011E-2</c:v>
                </c:pt>
                <c:pt idx="252">
                  <c:v>2.0000000000000011E-2</c:v>
                </c:pt>
                <c:pt idx="253">
                  <c:v>2.0000000000000011E-2</c:v>
                </c:pt>
                <c:pt idx="254">
                  <c:v>2.0000000000000011E-2</c:v>
                </c:pt>
                <c:pt idx="255">
                  <c:v>2.0000000000000011E-2</c:v>
                </c:pt>
                <c:pt idx="256">
                  <c:v>2.0000000000000011E-2</c:v>
                </c:pt>
                <c:pt idx="257">
                  <c:v>2.0000000000000011E-2</c:v>
                </c:pt>
                <c:pt idx="258">
                  <c:v>2.0000000000000011E-2</c:v>
                </c:pt>
                <c:pt idx="259">
                  <c:v>2.0000000000000011E-2</c:v>
                </c:pt>
                <c:pt idx="260">
                  <c:v>2.0000000000000011E-2</c:v>
                </c:pt>
                <c:pt idx="261">
                  <c:v>2.0000000000000011E-2</c:v>
                </c:pt>
                <c:pt idx="262">
                  <c:v>2.0000000000000011E-2</c:v>
                </c:pt>
                <c:pt idx="263">
                  <c:v>2.0000000000000011E-2</c:v>
                </c:pt>
                <c:pt idx="264">
                  <c:v>2.0000000000000011E-2</c:v>
                </c:pt>
                <c:pt idx="265">
                  <c:v>2.0000000000000011E-2</c:v>
                </c:pt>
                <c:pt idx="266">
                  <c:v>2.0000000000000011E-2</c:v>
                </c:pt>
                <c:pt idx="267">
                  <c:v>2.0000000000000011E-2</c:v>
                </c:pt>
                <c:pt idx="268">
                  <c:v>2.0000000000000011E-2</c:v>
                </c:pt>
                <c:pt idx="269">
                  <c:v>2.0000000000000011E-2</c:v>
                </c:pt>
                <c:pt idx="270">
                  <c:v>2.0000000000000011E-2</c:v>
                </c:pt>
                <c:pt idx="271">
                  <c:v>2.0000000000000011E-2</c:v>
                </c:pt>
                <c:pt idx="272">
                  <c:v>2.0000000000000011E-2</c:v>
                </c:pt>
                <c:pt idx="273">
                  <c:v>2.0000000000000011E-2</c:v>
                </c:pt>
                <c:pt idx="274">
                  <c:v>2.0000000000000011E-2</c:v>
                </c:pt>
                <c:pt idx="275">
                  <c:v>2.0000000000000011E-2</c:v>
                </c:pt>
                <c:pt idx="276">
                  <c:v>2.0000000000000011E-2</c:v>
                </c:pt>
                <c:pt idx="277">
                  <c:v>2.0000000000000011E-2</c:v>
                </c:pt>
                <c:pt idx="278">
                  <c:v>2.0000000000000011E-2</c:v>
                </c:pt>
                <c:pt idx="279">
                  <c:v>2.0000000000000011E-2</c:v>
                </c:pt>
                <c:pt idx="280">
                  <c:v>2.0000000000000011E-2</c:v>
                </c:pt>
                <c:pt idx="281">
                  <c:v>2.0000000000000011E-2</c:v>
                </c:pt>
                <c:pt idx="282">
                  <c:v>2.0000000000000011E-2</c:v>
                </c:pt>
                <c:pt idx="283">
                  <c:v>2.0000000000000011E-2</c:v>
                </c:pt>
                <c:pt idx="284">
                  <c:v>2.0000000000000011E-2</c:v>
                </c:pt>
                <c:pt idx="285">
                  <c:v>2.0000000000000011E-2</c:v>
                </c:pt>
                <c:pt idx="286">
                  <c:v>2.0000000000000011E-2</c:v>
                </c:pt>
                <c:pt idx="287">
                  <c:v>2.0000000000000011E-2</c:v>
                </c:pt>
                <c:pt idx="288">
                  <c:v>2.0000000000000011E-2</c:v>
                </c:pt>
                <c:pt idx="289">
                  <c:v>2.0000000000000011E-2</c:v>
                </c:pt>
                <c:pt idx="290">
                  <c:v>2.0000000000000011E-2</c:v>
                </c:pt>
                <c:pt idx="291">
                  <c:v>2.0000000000000011E-2</c:v>
                </c:pt>
                <c:pt idx="292">
                  <c:v>2.0000000000000011E-2</c:v>
                </c:pt>
                <c:pt idx="293">
                  <c:v>2.0000000000000011E-2</c:v>
                </c:pt>
                <c:pt idx="294">
                  <c:v>2.0000000000000011E-2</c:v>
                </c:pt>
                <c:pt idx="295">
                  <c:v>2.0000000000000011E-2</c:v>
                </c:pt>
                <c:pt idx="296">
                  <c:v>2.0000000000000011E-2</c:v>
                </c:pt>
                <c:pt idx="297">
                  <c:v>2.0000000000000011E-2</c:v>
                </c:pt>
                <c:pt idx="298">
                  <c:v>2.0000000000000011E-2</c:v>
                </c:pt>
                <c:pt idx="299">
                  <c:v>2.0000000000000011E-2</c:v>
                </c:pt>
                <c:pt idx="300">
                  <c:v>2.0000000000000011E-2</c:v>
                </c:pt>
                <c:pt idx="301">
                  <c:v>2.0000000000000011E-2</c:v>
                </c:pt>
                <c:pt idx="302">
                  <c:v>2.0000000000000011E-2</c:v>
                </c:pt>
                <c:pt idx="303">
                  <c:v>2.0000000000000011E-2</c:v>
                </c:pt>
                <c:pt idx="304">
                  <c:v>2.0000000000000011E-2</c:v>
                </c:pt>
                <c:pt idx="305">
                  <c:v>2.0000000000000011E-2</c:v>
                </c:pt>
                <c:pt idx="306">
                  <c:v>2.0000000000000011E-2</c:v>
                </c:pt>
                <c:pt idx="307">
                  <c:v>2.0000000000000011E-2</c:v>
                </c:pt>
                <c:pt idx="308">
                  <c:v>2.0000000000000011E-2</c:v>
                </c:pt>
                <c:pt idx="309">
                  <c:v>2.0000000000000011E-2</c:v>
                </c:pt>
                <c:pt idx="310">
                  <c:v>2.0000000000000011E-2</c:v>
                </c:pt>
                <c:pt idx="311">
                  <c:v>2.0000000000000011E-2</c:v>
                </c:pt>
                <c:pt idx="312">
                  <c:v>2.0000000000000011E-2</c:v>
                </c:pt>
                <c:pt idx="313">
                  <c:v>2.0000000000000011E-2</c:v>
                </c:pt>
                <c:pt idx="314">
                  <c:v>2.0000000000000011E-2</c:v>
                </c:pt>
                <c:pt idx="315">
                  <c:v>2.0000000000000011E-2</c:v>
                </c:pt>
                <c:pt idx="316">
                  <c:v>2.0000000000000011E-2</c:v>
                </c:pt>
                <c:pt idx="317">
                  <c:v>2.0000000000000011E-2</c:v>
                </c:pt>
                <c:pt idx="318">
                  <c:v>2.0000000000000011E-2</c:v>
                </c:pt>
                <c:pt idx="319">
                  <c:v>2.0000000000000011E-2</c:v>
                </c:pt>
                <c:pt idx="320">
                  <c:v>2.0000000000000011E-2</c:v>
                </c:pt>
                <c:pt idx="321">
                  <c:v>2.0000000000000011E-2</c:v>
                </c:pt>
                <c:pt idx="322">
                  <c:v>2.0000000000000011E-2</c:v>
                </c:pt>
                <c:pt idx="323">
                  <c:v>2.0000000000000011E-2</c:v>
                </c:pt>
                <c:pt idx="324">
                  <c:v>2.0000000000000011E-2</c:v>
                </c:pt>
                <c:pt idx="325">
                  <c:v>2.0000000000000011E-2</c:v>
                </c:pt>
                <c:pt idx="326">
                  <c:v>2.0000000000000011E-2</c:v>
                </c:pt>
                <c:pt idx="327">
                  <c:v>2.0000000000000011E-2</c:v>
                </c:pt>
                <c:pt idx="328">
                  <c:v>2.0000000000000011E-2</c:v>
                </c:pt>
                <c:pt idx="329">
                  <c:v>2.0000000000000011E-2</c:v>
                </c:pt>
                <c:pt idx="330">
                  <c:v>2.0000000000000011E-2</c:v>
                </c:pt>
                <c:pt idx="331">
                  <c:v>2.0000000000000011E-2</c:v>
                </c:pt>
                <c:pt idx="332">
                  <c:v>2.0000000000000011E-2</c:v>
                </c:pt>
                <c:pt idx="333">
                  <c:v>2.0000000000000011E-2</c:v>
                </c:pt>
                <c:pt idx="334">
                  <c:v>2.0000000000000011E-2</c:v>
                </c:pt>
                <c:pt idx="335">
                  <c:v>2.0000000000000011E-2</c:v>
                </c:pt>
                <c:pt idx="336">
                  <c:v>2.0000000000000011E-2</c:v>
                </c:pt>
                <c:pt idx="337">
                  <c:v>2.0000000000000011E-2</c:v>
                </c:pt>
                <c:pt idx="338">
                  <c:v>2.0000000000000011E-2</c:v>
                </c:pt>
                <c:pt idx="339">
                  <c:v>2.0000000000000011E-2</c:v>
                </c:pt>
                <c:pt idx="340">
                  <c:v>2.0000000000000011E-2</c:v>
                </c:pt>
                <c:pt idx="341">
                  <c:v>2.0000000000000011E-2</c:v>
                </c:pt>
                <c:pt idx="342">
                  <c:v>2.0000000000000011E-2</c:v>
                </c:pt>
                <c:pt idx="343">
                  <c:v>2.0000000000000011E-2</c:v>
                </c:pt>
                <c:pt idx="344">
                  <c:v>2.0000000000000011E-2</c:v>
                </c:pt>
                <c:pt idx="345">
                  <c:v>2.0000000000000011E-2</c:v>
                </c:pt>
                <c:pt idx="346">
                  <c:v>2.0000000000000011E-2</c:v>
                </c:pt>
                <c:pt idx="347">
                  <c:v>2.0000000000000011E-2</c:v>
                </c:pt>
                <c:pt idx="348">
                  <c:v>2.0000000000000011E-2</c:v>
                </c:pt>
                <c:pt idx="349">
                  <c:v>2.0000000000000011E-2</c:v>
                </c:pt>
                <c:pt idx="350">
                  <c:v>2.0000000000000011E-2</c:v>
                </c:pt>
                <c:pt idx="351">
                  <c:v>2.0000000000000011E-2</c:v>
                </c:pt>
                <c:pt idx="352">
                  <c:v>2.0000000000000011E-2</c:v>
                </c:pt>
                <c:pt idx="353">
                  <c:v>2.0000000000000011E-2</c:v>
                </c:pt>
                <c:pt idx="354">
                  <c:v>2.0000000000000011E-2</c:v>
                </c:pt>
                <c:pt idx="355">
                  <c:v>2.0000000000000011E-2</c:v>
                </c:pt>
                <c:pt idx="356">
                  <c:v>2.0000000000000011E-2</c:v>
                </c:pt>
                <c:pt idx="357">
                  <c:v>2.0000000000000011E-2</c:v>
                </c:pt>
                <c:pt idx="358">
                  <c:v>2.0000000000000011E-2</c:v>
                </c:pt>
                <c:pt idx="359">
                  <c:v>2.0000000000000011E-2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Лист1!$A$2:$A$361</c:f>
              <c:numCache>
                <c:formatCode>General</c:formatCode>
                <c:ptCount val="360"/>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Лист1!$E$2:$E$361</c:f>
              <c:numCache>
                <c:formatCode>General</c:formatCode>
                <c:ptCount val="360"/>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pt idx="181">
                  <c:v>2.0000000000000011E-2</c:v>
                </c:pt>
                <c:pt idx="182">
                  <c:v>2.0000000000000011E-2</c:v>
                </c:pt>
                <c:pt idx="183">
                  <c:v>2.0000000000000011E-2</c:v>
                </c:pt>
                <c:pt idx="184">
                  <c:v>2.0000000000000011E-2</c:v>
                </c:pt>
                <c:pt idx="185">
                  <c:v>2.0000000000000011E-2</c:v>
                </c:pt>
                <c:pt idx="186">
                  <c:v>2.0000000000000011E-2</c:v>
                </c:pt>
                <c:pt idx="187">
                  <c:v>2.0000000000000011E-2</c:v>
                </c:pt>
                <c:pt idx="188">
                  <c:v>2.0000000000000011E-2</c:v>
                </c:pt>
                <c:pt idx="189">
                  <c:v>2.0000000000000011E-2</c:v>
                </c:pt>
                <c:pt idx="190">
                  <c:v>2.0000000000000011E-2</c:v>
                </c:pt>
                <c:pt idx="191">
                  <c:v>2.0000000000000011E-2</c:v>
                </c:pt>
                <c:pt idx="192">
                  <c:v>2.0000000000000011E-2</c:v>
                </c:pt>
                <c:pt idx="193">
                  <c:v>2.0000000000000011E-2</c:v>
                </c:pt>
                <c:pt idx="194">
                  <c:v>2.0000000000000011E-2</c:v>
                </c:pt>
                <c:pt idx="195">
                  <c:v>2.0000000000000011E-2</c:v>
                </c:pt>
                <c:pt idx="196">
                  <c:v>2.0000000000000011E-2</c:v>
                </c:pt>
                <c:pt idx="197">
                  <c:v>2.0000000000000011E-2</c:v>
                </c:pt>
                <c:pt idx="198">
                  <c:v>2.0000000000000011E-2</c:v>
                </c:pt>
                <c:pt idx="199">
                  <c:v>2.0000000000000011E-2</c:v>
                </c:pt>
                <c:pt idx="200">
                  <c:v>2.0000000000000011E-2</c:v>
                </c:pt>
                <c:pt idx="201">
                  <c:v>2.0000000000000011E-2</c:v>
                </c:pt>
                <c:pt idx="202">
                  <c:v>2.0000000000000011E-2</c:v>
                </c:pt>
                <c:pt idx="203">
                  <c:v>2.0000000000000011E-2</c:v>
                </c:pt>
                <c:pt idx="204">
                  <c:v>2.0000000000000011E-2</c:v>
                </c:pt>
                <c:pt idx="205">
                  <c:v>2.0000000000000011E-2</c:v>
                </c:pt>
                <c:pt idx="206">
                  <c:v>2.0000000000000011E-2</c:v>
                </c:pt>
                <c:pt idx="207">
                  <c:v>2.0000000000000011E-2</c:v>
                </c:pt>
                <c:pt idx="208">
                  <c:v>2.0000000000000011E-2</c:v>
                </c:pt>
                <c:pt idx="209">
                  <c:v>2.0000000000000011E-2</c:v>
                </c:pt>
                <c:pt idx="210">
                  <c:v>2.0000000000000011E-2</c:v>
                </c:pt>
                <c:pt idx="211">
                  <c:v>2.0000000000000011E-2</c:v>
                </c:pt>
                <c:pt idx="212">
                  <c:v>2.0000000000000011E-2</c:v>
                </c:pt>
                <c:pt idx="213">
                  <c:v>2.0000000000000011E-2</c:v>
                </c:pt>
                <c:pt idx="214">
                  <c:v>2.0000000000000011E-2</c:v>
                </c:pt>
                <c:pt idx="215">
                  <c:v>2.0000000000000011E-2</c:v>
                </c:pt>
                <c:pt idx="216">
                  <c:v>2.0000000000000011E-2</c:v>
                </c:pt>
                <c:pt idx="217">
                  <c:v>2.0000000000000011E-2</c:v>
                </c:pt>
                <c:pt idx="218">
                  <c:v>2.0000000000000011E-2</c:v>
                </c:pt>
                <c:pt idx="219">
                  <c:v>2.0000000000000011E-2</c:v>
                </c:pt>
                <c:pt idx="220">
                  <c:v>2.0000000000000011E-2</c:v>
                </c:pt>
                <c:pt idx="221">
                  <c:v>2.0000000000000011E-2</c:v>
                </c:pt>
                <c:pt idx="222">
                  <c:v>2.0000000000000011E-2</c:v>
                </c:pt>
                <c:pt idx="223">
                  <c:v>2.0000000000000011E-2</c:v>
                </c:pt>
                <c:pt idx="224">
                  <c:v>2.0000000000000011E-2</c:v>
                </c:pt>
                <c:pt idx="225">
                  <c:v>2.0000000000000011E-2</c:v>
                </c:pt>
                <c:pt idx="226">
                  <c:v>2.0000000000000011E-2</c:v>
                </c:pt>
                <c:pt idx="227">
                  <c:v>2.0000000000000011E-2</c:v>
                </c:pt>
                <c:pt idx="228">
                  <c:v>2.0000000000000011E-2</c:v>
                </c:pt>
                <c:pt idx="229">
                  <c:v>2.0000000000000011E-2</c:v>
                </c:pt>
                <c:pt idx="230">
                  <c:v>2.0000000000000011E-2</c:v>
                </c:pt>
                <c:pt idx="231">
                  <c:v>2.0000000000000011E-2</c:v>
                </c:pt>
                <c:pt idx="232">
                  <c:v>2.0000000000000011E-2</c:v>
                </c:pt>
                <c:pt idx="233">
                  <c:v>2.0000000000000011E-2</c:v>
                </c:pt>
                <c:pt idx="234">
                  <c:v>2.0000000000000011E-2</c:v>
                </c:pt>
                <c:pt idx="235">
                  <c:v>2.0000000000000011E-2</c:v>
                </c:pt>
                <c:pt idx="236">
                  <c:v>2.0000000000000011E-2</c:v>
                </c:pt>
                <c:pt idx="237">
                  <c:v>2.0000000000000011E-2</c:v>
                </c:pt>
                <c:pt idx="238">
                  <c:v>2.0000000000000011E-2</c:v>
                </c:pt>
                <c:pt idx="239">
                  <c:v>2.0000000000000011E-2</c:v>
                </c:pt>
                <c:pt idx="240">
                  <c:v>2.0000000000000011E-2</c:v>
                </c:pt>
                <c:pt idx="241">
                  <c:v>2.0000000000000011E-2</c:v>
                </c:pt>
                <c:pt idx="242">
                  <c:v>2.0000000000000011E-2</c:v>
                </c:pt>
                <c:pt idx="243">
                  <c:v>2.0000000000000011E-2</c:v>
                </c:pt>
                <c:pt idx="244">
                  <c:v>2.0000000000000011E-2</c:v>
                </c:pt>
                <c:pt idx="245">
                  <c:v>2.0000000000000011E-2</c:v>
                </c:pt>
                <c:pt idx="246">
                  <c:v>2.0000000000000011E-2</c:v>
                </c:pt>
                <c:pt idx="247">
                  <c:v>2.0000000000000011E-2</c:v>
                </c:pt>
                <c:pt idx="248">
                  <c:v>2.0000000000000011E-2</c:v>
                </c:pt>
                <c:pt idx="249">
                  <c:v>2.0000000000000011E-2</c:v>
                </c:pt>
                <c:pt idx="250">
                  <c:v>2.0000000000000011E-2</c:v>
                </c:pt>
                <c:pt idx="251">
                  <c:v>2.0000000000000011E-2</c:v>
                </c:pt>
                <c:pt idx="252">
                  <c:v>2.0000000000000011E-2</c:v>
                </c:pt>
                <c:pt idx="253">
                  <c:v>2.0000000000000011E-2</c:v>
                </c:pt>
                <c:pt idx="254">
                  <c:v>2.0000000000000011E-2</c:v>
                </c:pt>
                <c:pt idx="255">
                  <c:v>2.0000000000000011E-2</c:v>
                </c:pt>
                <c:pt idx="256">
                  <c:v>2.0000000000000011E-2</c:v>
                </c:pt>
                <c:pt idx="257">
                  <c:v>2.0000000000000011E-2</c:v>
                </c:pt>
                <c:pt idx="258">
                  <c:v>2.0000000000000011E-2</c:v>
                </c:pt>
                <c:pt idx="259">
                  <c:v>2.0000000000000011E-2</c:v>
                </c:pt>
                <c:pt idx="260">
                  <c:v>2.0000000000000011E-2</c:v>
                </c:pt>
                <c:pt idx="261">
                  <c:v>2.0000000000000011E-2</c:v>
                </c:pt>
                <c:pt idx="262">
                  <c:v>2.0000000000000011E-2</c:v>
                </c:pt>
                <c:pt idx="263">
                  <c:v>2.0000000000000011E-2</c:v>
                </c:pt>
                <c:pt idx="264">
                  <c:v>2.0000000000000011E-2</c:v>
                </c:pt>
                <c:pt idx="265">
                  <c:v>2.0000000000000011E-2</c:v>
                </c:pt>
                <c:pt idx="266">
                  <c:v>2.0000000000000011E-2</c:v>
                </c:pt>
                <c:pt idx="267">
                  <c:v>2.0000000000000011E-2</c:v>
                </c:pt>
                <c:pt idx="268">
                  <c:v>2.0000000000000011E-2</c:v>
                </c:pt>
                <c:pt idx="269">
                  <c:v>2.0000000000000011E-2</c:v>
                </c:pt>
                <c:pt idx="270">
                  <c:v>2.0000000000000011E-2</c:v>
                </c:pt>
                <c:pt idx="271">
                  <c:v>2.0000000000000011E-2</c:v>
                </c:pt>
                <c:pt idx="272">
                  <c:v>2.0000000000000011E-2</c:v>
                </c:pt>
                <c:pt idx="273">
                  <c:v>2.0000000000000011E-2</c:v>
                </c:pt>
                <c:pt idx="274">
                  <c:v>2.0000000000000011E-2</c:v>
                </c:pt>
                <c:pt idx="275">
                  <c:v>2.0000000000000011E-2</c:v>
                </c:pt>
                <c:pt idx="276">
                  <c:v>2.0000000000000011E-2</c:v>
                </c:pt>
                <c:pt idx="277">
                  <c:v>2.0000000000000011E-2</c:v>
                </c:pt>
                <c:pt idx="278">
                  <c:v>2.0000000000000011E-2</c:v>
                </c:pt>
                <c:pt idx="279">
                  <c:v>2.0000000000000011E-2</c:v>
                </c:pt>
                <c:pt idx="280">
                  <c:v>2.0000000000000011E-2</c:v>
                </c:pt>
                <c:pt idx="281">
                  <c:v>2.0000000000000011E-2</c:v>
                </c:pt>
                <c:pt idx="282">
                  <c:v>2.0000000000000011E-2</c:v>
                </c:pt>
                <c:pt idx="283">
                  <c:v>2.0000000000000011E-2</c:v>
                </c:pt>
                <c:pt idx="284">
                  <c:v>2.0000000000000011E-2</c:v>
                </c:pt>
                <c:pt idx="285">
                  <c:v>2.0000000000000011E-2</c:v>
                </c:pt>
                <c:pt idx="286">
                  <c:v>2.0000000000000011E-2</c:v>
                </c:pt>
                <c:pt idx="287">
                  <c:v>2.0000000000000011E-2</c:v>
                </c:pt>
                <c:pt idx="288">
                  <c:v>2.0000000000000011E-2</c:v>
                </c:pt>
                <c:pt idx="289">
                  <c:v>2.0000000000000011E-2</c:v>
                </c:pt>
                <c:pt idx="290">
                  <c:v>2.0000000000000011E-2</c:v>
                </c:pt>
                <c:pt idx="291">
                  <c:v>2.0000000000000011E-2</c:v>
                </c:pt>
                <c:pt idx="292">
                  <c:v>2.0000000000000011E-2</c:v>
                </c:pt>
                <c:pt idx="293">
                  <c:v>2.0000000000000011E-2</c:v>
                </c:pt>
                <c:pt idx="294">
                  <c:v>2.0000000000000011E-2</c:v>
                </c:pt>
                <c:pt idx="295">
                  <c:v>2.0000000000000011E-2</c:v>
                </c:pt>
                <c:pt idx="296">
                  <c:v>2.0000000000000011E-2</c:v>
                </c:pt>
                <c:pt idx="297">
                  <c:v>2.0000000000000011E-2</c:v>
                </c:pt>
                <c:pt idx="298">
                  <c:v>2.0000000000000011E-2</c:v>
                </c:pt>
                <c:pt idx="299">
                  <c:v>2.0000000000000011E-2</c:v>
                </c:pt>
                <c:pt idx="300">
                  <c:v>2.0000000000000011E-2</c:v>
                </c:pt>
                <c:pt idx="301">
                  <c:v>2.0000000000000011E-2</c:v>
                </c:pt>
                <c:pt idx="302">
                  <c:v>2.0000000000000011E-2</c:v>
                </c:pt>
                <c:pt idx="303">
                  <c:v>2.0000000000000011E-2</c:v>
                </c:pt>
                <c:pt idx="304">
                  <c:v>2.0000000000000011E-2</c:v>
                </c:pt>
                <c:pt idx="305">
                  <c:v>2.0000000000000011E-2</c:v>
                </c:pt>
                <c:pt idx="306">
                  <c:v>2.0000000000000011E-2</c:v>
                </c:pt>
                <c:pt idx="307">
                  <c:v>2.0000000000000011E-2</c:v>
                </c:pt>
                <c:pt idx="308">
                  <c:v>2.0000000000000011E-2</c:v>
                </c:pt>
                <c:pt idx="309">
                  <c:v>2.0000000000000011E-2</c:v>
                </c:pt>
                <c:pt idx="310">
                  <c:v>2.0000000000000011E-2</c:v>
                </c:pt>
                <c:pt idx="311">
                  <c:v>2.0000000000000011E-2</c:v>
                </c:pt>
                <c:pt idx="312">
                  <c:v>2.0000000000000011E-2</c:v>
                </c:pt>
                <c:pt idx="313">
                  <c:v>2.0000000000000011E-2</c:v>
                </c:pt>
                <c:pt idx="314">
                  <c:v>2.0000000000000011E-2</c:v>
                </c:pt>
                <c:pt idx="315">
                  <c:v>2.0000000000000011E-2</c:v>
                </c:pt>
                <c:pt idx="316">
                  <c:v>2.0000000000000011E-2</c:v>
                </c:pt>
                <c:pt idx="317">
                  <c:v>2.0000000000000011E-2</c:v>
                </c:pt>
                <c:pt idx="318">
                  <c:v>2.0000000000000011E-2</c:v>
                </c:pt>
                <c:pt idx="319">
                  <c:v>2.0000000000000011E-2</c:v>
                </c:pt>
                <c:pt idx="320">
                  <c:v>2.0000000000000011E-2</c:v>
                </c:pt>
                <c:pt idx="321">
                  <c:v>2.0000000000000011E-2</c:v>
                </c:pt>
                <c:pt idx="322">
                  <c:v>2.0000000000000011E-2</c:v>
                </c:pt>
                <c:pt idx="323">
                  <c:v>2.0000000000000011E-2</c:v>
                </c:pt>
                <c:pt idx="324">
                  <c:v>2.0000000000000011E-2</c:v>
                </c:pt>
                <c:pt idx="325">
                  <c:v>2.0000000000000011E-2</c:v>
                </c:pt>
                <c:pt idx="326">
                  <c:v>2.0000000000000011E-2</c:v>
                </c:pt>
                <c:pt idx="327">
                  <c:v>2.0000000000000011E-2</c:v>
                </c:pt>
                <c:pt idx="328">
                  <c:v>2.0000000000000011E-2</c:v>
                </c:pt>
                <c:pt idx="329">
                  <c:v>2.0000000000000011E-2</c:v>
                </c:pt>
                <c:pt idx="330">
                  <c:v>2.0000000000000011E-2</c:v>
                </c:pt>
                <c:pt idx="331">
                  <c:v>2.0000000000000011E-2</c:v>
                </c:pt>
                <c:pt idx="332">
                  <c:v>2.0000000000000011E-2</c:v>
                </c:pt>
                <c:pt idx="333">
                  <c:v>2.0000000000000011E-2</c:v>
                </c:pt>
                <c:pt idx="334">
                  <c:v>2.0000000000000011E-2</c:v>
                </c:pt>
                <c:pt idx="335">
                  <c:v>2.0000000000000011E-2</c:v>
                </c:pt>
                <c:pt idx="336">
                  <c:v>2.0000000000000011E-2</c:v>
                </c:pt>
                <c:pt idx="337">
                  <c:v>2.0000000000000011E-2</c:v>
                </c:pt>
                <c:pt idx="338">
                  <c:v>2.0000000000000011E-2</c:v>
                </c:pt>
                <c:pt idx="339">
                  <c:v>2.0000000000000011E-2</c:v>
                </c:pt>
                <c:pt idx="340">
                  <c:v>2.0000000000000011E-2</c:v>
                </c:pt>
                <c:pt idx="341">
                  <c:v>2.0000000000000011E-2</c:v>
                </c:pt>
                <c:pt idx="342">
                  <c:v>2.0000000000000011E-2</c:v>
                </c:pt>
                <c:pt idx="343">
                  <c:v>2.0000000000000011E-2</c:v>
                </c:pt>
                <c:pt idx="344">
                  <c:v>2.0000000000000011E-2</c:v>
                </c:pt>
                <c:pt idx="345">
                  <c:v>2.0000000000000011E-2</c:v>
                </c:pt>
                <c:pt idx="346">
                  <c:v>2.0000000000000011E-2</c:v>
                </c:pt>
                <c:pt idx="347">
                  <c:v>2.0000000000000011E-2</c:v>
                </c:pt>
                <c:pt idx="348">
                  <c:v>2.0000000000000011E-2</c:v>
                </c:pt>
                <c:pt idx="349">
                  <c:v>2.0000000000000011E-2</c:v>
                </c:pt>
                <c:pt idx="350">
                  <c:v>2.0000000000000011E-2</c:v>
                </c:pt>
                <c:pt idx="351">
                  <c:v>2.0000000000000011E-2</c:v>
                </c:pt>
                <c:pt idx="352">
                  <c:v>2.0000000000000011E-2</c:v>
                </c:pt>
                <c:pt idx="353">
                  <c:v>2.0000000000000011E-2</c:v>
                </c:pt>
                <c:pt idx="354">
                  <c:v>2.0000000000000011E-2</c:v>
                </c:pt>
                <c:pt idx="355">
                  <c:v>2.0000000000000011E-2</c:v>
                </c:pt>
                <c:pt idx="356">
                  <c:v>2.0000000000000011E-2</c:v>
                </c:pt>
                <c:pt idx="357">
                  <c:v>2.0000000000000011E-2</c:v>
                </c:pt>
                <c:pt idx="358">
                  <c:v>2.0000000000000011E-2</c:v>
                </c:pt>
                <c:pt idx="359">
                  <c:v>2.0000000000000011E-2</c:v>
                </c:pt>
              </c:numCache>
            </c:numRef>
          </c:yVal>
          <c:smooth val="0"/>
        </c:ser>
        <c:dLbls>
          <c:showLegendKey val="0"/>
          <c:showVal val="0"/>
          <c:showCatName val="0"/>
          <c:showSerName val="0"/>
          <c:showPercent val="0"/>
          <c:showBubbleSize val="0"/>
        </c:dLbls>
        <c:axId val="621850680"/>
        <c:axId val="621851072"/>
      </c:scatterChart>
      <c:valAx>
        <c:axId val="621850680"/>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manualLayout>
              <c:xMode val="edge"/>
              <c:yMode val="edge"/>
              <c:x val="0.38374941834472315"/>
              <c:y val="0.935912685172828"/>
            </c:manualLayout>
          </c:layout>
          <c:overlay val="0"/>
        </c:title>
        <c:numFmt formatCode="General" sourceLinked="1"/>
        <c:majorTickMark val="none"/>
        <c:minorTickMark val="none"/>
        <c:tickLblPos val="low"/>
        <c:crossAx val="621851072"/>
        <c:crosses val="autoZero"/>
        <c:crossBetween val="midCat"/>
        <c:majorUnit val="10"/>
        <c:minorUnit val="1"/>
      </c:valAx>
      <c:valAx>
        <c:axId val="621851072"/>
        <c:scaling>
          <c:logBase val="10"/>
          <c:orientation val="minMax"/>
          <c:max val="0.2"/>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FS-IMT</a:t>
                </a:r>
                <a:r>
                  <a:rPr lang="en-US" sz="1200" b="1" i="0" baseline="0">
                    <a:effectLst/>
                  </a:rPr>
                  <a:t> (km)</a:t>
                </a:r>
                <a:endParaRPr lang="ru-RU" sz="1200">
                  <a:effectLst/>
                </a:endParaRPr>
              </a:p>
            </c:rich>
          </c:tx>
          <c:layout>
            <c:manualLayout>
              <c:xMode val="edge"/>
              <c:yMode val="edge"/>
              <c:x val="7.3012107553763186E-3"/>
              <c:y val="0.39681647315272034"/>
            </c:manualLayout>
          </c:layout>
          <c:overlay val="0"/>
        </c:title>
        <c:numFmt formatCode="General" sourceLinked="1"/>
        <c:majorTickMark val="none"/>
        <c:minorTickMark val="none"/>
        <c:tickLblPos val="low"/>
        <c:spPr>
          <a:ln>
            <a:solidFill>
              <a:schemeClr val="tx1"/>
            </a:solidFill>
          </a:ln>
        </c:spPr>
        <c:crossAx val="621850680"/>
        <c:crosses val="autoZero"/>
        <c:crossBetween val="midCat"/>
        <c:majorUnit val="2.0000000000000011E-2"/>
        <c:minorUnit val="1.0000000000000005E-2"/>
      </c:valAx>
      <c:spPr>
        <a:noFill/>
        <a:ln>
          <a:solidFill>
            <a:schemeClr val="tx1"/>
          </a:solidFill>
        </a:ln>
      </c:spPr>
    </c:plotArea>
    <c:legend>
      <c:legendPos val="l"/>
      <c:layout>
        <c:manualLayout>
          <c:xMode val="edge"/>
          <c:yMode val="edge"/>
          <c:x val="0.51385735319670411"/>
          <c:y val="0.31396588552922666"/>
          <c:w val="0.301251794745169"/>
          <c:h val="0.14614298511015494"/>
        </c:manualLayout>
      </c:layout>
      <c:overlay val="1"/>
      <c:spPr>
        <a:solidFill>
          <a:schemeClr val="bg1"/>
        </a:solidFill>
      </c:spPr>
      <c:txPr>
        <a:bodyPr/>
        <a:lstStyle/>
        <a:p>
          <a:pPr>
            <a:defRPr sz="700"/>
          </a:pPr>
          <a:endParaRPr lang="en-US"/>
        </a:p>
      </c:txPr>
    </c:legend>
    <c:plotVisOnly val="1"/>
    <c:dispBlanksAs val="gap"/>
    <c:showDLblsOverMax val="0"/>
  </c:chart>
  <c:spPr>
    <a:ln w="15875">
      <a:solidFill>
        <a:sysClr val="windowText" lastClr="000000"/>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93770941171053E-2"/>
          <c:y val="7.3030700707866061E-2"/>
          <c:w val="0.91192641167532074"/>
          <c:h val="0.75745884037222633"/>
        </c:manualLayout>
      </c:layout>
      <c:lineChart>
        <c:grouping val="standard"/>
        <c:varyColors val="0"/>
        <c:ser>
          <c:idx val="0"/>
          <c:order val="0"/>
          <c:tx>
            <c:strRef>
              <c:f>Лист1!$B$1</c:f>
              <c:strCache>
                <c:ptCount val="1"/>
                <c:pt idx="0">
                  <c:v> Band 5925-6425 MHz,  Netto-Bitrate 155 Mbit/s,      Channel
Separation 29,65 MHz
</c:v>
                </c:pt>
              </c:strCache>
            </c:strRef>
          </c:tx>
          <c:spPr>
            <a:ln w="38100">
              <a:solidFill>
                <a:schemeClr val="tx1"/>
              </a:solidFill>
            </a:ln>
          </c:spPr>
          <c:marker>
            <c:symbol val="none"/>
          </c:marker>
          <c:cat>
            <c:numRef>
              <c:f>Лист1!$A$2:$A$13</c:f>
              <c:numCache>
                <c:formatCode>0.0000</c:formatCode>
                <c:ptCount val="12"/>
                <c:pt idx="0">
                  <c:v>-26.458299999999941</c:v>
                </c:pt>
                <c:pt idx="1">
                  <c:v>14.762600000000004</c:v>
                </c:pt>
                <c:pt idx="2">
                  <c:v>-14.632</c:v>
                </c:pt>
                <c:pt idx="3">
                  <c:v>-14.109400000000004</c:v>
                </c:pt>
                <c:pt idx="4">
                  <c:v>-13.064300000000001</c:v>
                </c:pt>
                <c:pt idx="5">
                  <c:v>-11.365900000000027</c:v>
                </c:pt>
                <c:pt idx="6">
                  <c:v>11.365900000000027</c:v>
                </c:pt>
                <c:pt idx="7">
                  <c:v>13.064300000000001</c:v>
                </c:pt>
                <c:pt idx="8">
                  <c:v>14.109400000000004</c:v>
                </c:pt>
                <c:pt idx="9">
                  <c:v>14.632</c:v>
                </c:pt>
                <c:pt idx="10">
                  <c:v>14.762600000000004</c:v>
                </c:pt>
                <c:pt idx="11">
                  <c:v>26.458299999999941</c:v>
                </c:pt>
              </c:numCache>
            </c:numRef>
          </c:cat>
          <c:val>
            <c:numRef>
              <c:f>Лист1!$B$2:$B$13</c:f>
              <c:numCache>
                <c:formatCode>0.0</c:formatCode>
                <c:ptCount val="12"/>
                <c:pt idx="0">
                  <c:v>67</c:v>
                </c:pt>
                <c:pt idx="1">
                  <c:v>47</c:v>
                </c:pt>
                <c:pt idx="2">
                  <c:v>23</c:v>
                </c:pt>
                <c:pt idx="3">
                  <c:v>10.5</c:v>
                </c:pt>
                <c:pt idx="4">
                  <c:v>2</c:v>
                </c:pt>
                <c:pt idx="5">
                  <c:v>0</c:v>
                </c:pt>
                <c:pt idx="6">
                  <c:v>0</c:v>
                </c:pt>
                <c:pt idx="7">
                  <c:v>2</c:v>
                </c:pt>
                <c:pt idx="8">
                  <c:v>10.5</c:v>
                </c:pt>
                <c:pt idx="9">
                  <c:v>23</c:v>
                </c:pt>
                <c:pt idx="10">
                  <c:v>47</c:v>
                </c:pt>
                <c:pt idx="11">
                  <c:v>67</c:v>
                </c:pt>
              </c:numCache>
            </c:numRef>
          </c:val>
          <c:smooth val="0"/>
        </c:ser>
        <c:dLbls>
          <c:showLegendKey val="0"/>
          <c:showVal val="0"/>
          <c:showCatName val="0"/>
          <c:showSerName val="0"/>
          <c:showPercent val="0"/>
          <c:showBubbleSize val="0"/>
        </c:dLbls>
        <c:smooth val="0"/>
        <c:axId val="612436136"/>
        <c:axId val="612435352"/>
      </c:lineChart>
      <c:catAx>
        <c:axId val="612436136"/>
        <c:scaling>
          <c:orientation val="minMax"/>
        </c:scaling>
        <c:delete val="0"/>
        <c:axPos val="t"/>
        <c:majorGridlines/>
        <c:minorGridlines/>
        <c:title>
          <c:tx>
            <c:rich>
              <a:bodyPr/>
              <a:lstStyle/>
              <a:p>
                <a:pPr>
                  <a:defRPr/>
                </a:pPr>
                <a:r>
                  <a:rPr lang="en-US">
                    <a:latin typeface="Symbol" panose="05050102010706020507" pitchFamily="18" charset="2"/>
                  </a:rPr>
                  <a:t>D </a:t>
                </a:r>
                <a:r>
                  <a:rPr lang="en-US" i="1">
                    <a:latin typeface="+mn-lt"/>
                  </a:rPr>
                  <a:t>f</a:t>
                </a:r>
                <a:r>
                  <a:rPr lang="en-US">
                    <a:latin typeface="+mn-lt"/>
                  </a:rPr>
                  <a:t> (MHz)</a:t>
                </a:r>
                <a:endParaRPr lang="ru-RU"/>
              </a:p>
            </c:rich>
          </c:tx>
          <c:layout>
            <c:manualLayout>
              <c:xMode val="edge"/>
              <c:yMode val="edge"/>
              <c:x val="0.4913226558754481"/>
              <c:y val="0.92408477842003867"/>
            </c:manualLayout>
          </c:layout>
          <c:overlay val="0"/>
        </c:title>
        <c:numFmt formatCode="0.0000" sourceLinked="1"/>
        <c:majorTickMark val="none"/>
        <c:minorTickMark val="none"/>
        <c:tickLblPos val="high"/>
        <c:txPr>
          <a:bodyPr/>
          <a:lstStyle/>
          <a:p>
            <a:pPr>
              <a:defRPr sz="700" baseline="0">
                <a:latin typeface="Arial" panose="020B0604020202020204" pitchFamily="34" charset="0"/>
                <a:cs typeface="Arial" panose="020B0604020202020204" pitchFamily="34" charset="0"/>
              </a:defRPr>
            </a:pPr>
            <a:endParaRPr lang="en-US"/>
          </a:p>
        </c:txPr>
        <c:crossAx val="612435352"/>
        <c:crosses val="autoZero"/>
        <c:auto val="1"/>
        <c:lblAlgn val="ctr"/>
        <c:lblOffset val="100"/>
        <c:tickLblSkip val="1"/>
        <c:tickMarkSkip val="1"/>
        <c:noMultiLvlLbl val="0"/>
      </c:catAx>
      <c:valAx>
        <c:axId val="612435352"/>
        <c:scaling>
          <c:orientation val="maxMin"/>
          <c:max val="70"/>
        </c:scaling>
        <c:delete val="0"/>
        <c:axPos val="l"/>
        <c:majorGridlines/>
        <c:minorGridlines/>
        <c:title>
          <c:tx>
            <c:rich>
              <a:bodyPr rot="-5400000" vert="horz"/>
              <a:lstStyle/>
              <a:p>
                <a:pPr>
                  <a:defRPr/>
                </a:pPr>
                <a:r>
                  <a:rPr lang="en-US" i="1"/>
                  <a:t>a </a:t>
                </a:r>
                <a:r>
                  <a:rPr lang="en-US"/>
                  <a:t>(dB)</a:t>
                </a:r>
                <a:endParaRPr lang="ru-RU"/>
              </a:p>
            </c:rich>
          </c:tx>
          <c:layout/>
          <c:overlay val="0"/>
        </c:title>
        <c:numFmt formatCode="0" sourceLinked="0"/>
        <c:majorTickMark val="out"/>
        <c:minorTickMark val="none"/>
        <c:tickLblPos val="nextTo"/>
        <c:txPr>
          <a:bodyPr/>
          <a:lstStyle/>
          <a:p>
            <a:pPr>
              <a:defRPr sz="700" baseline="0">
                <a:latin typeface="Arial" panose="020B0604020202020204" pitchFamily="34" charset="0"/>
                <a:cs typeface="Arial" panose="020B0604020202020204" pitchFamily="34" charset="0"/>
              </a:defRPr>
            </a:pPr>
            <a:endParaRPr lang="en-US"/>
          </a:p>
        </c:txPr>
        <c:crossAx val="612436136"/>
        <c:crosses val="autoZero"/>
        <c:crossBetween val="between"/>
      </c:valAx>
    </c:plotArea>
    <c:legend>
      <c:legendPos val="tr"/>
      <c:layout>
        <c:manualLayout>
          <c:xMode val="edge"/>
          <c:yMode val="edge"/>
          <c:x val="0.40067784699603315"/>
          <c:y val="0.33626972554356632"/>
          <c:w val="0.24903280664214203"/>
          <c:h val="0.29572826544830116"/>
        </c:manualLayout>
      </c:layout>
      <c:overlay val="1"/>
      <c:spPr>
        <a:solidFill>
          <a:schemeClr val="bg1"/>
        </a:solidFill>
      </c:spPr>
      <c:txPr>
        <a:bodyPr/>
        <a:lstStyle/>
        <a:p>
          <a:pPr>
            <a:defRPr sz="800"/>
          </a:pPr>
          <a:endParaRPr lang="en-US"/>
        </a:p>
      </c:txPr>
    </c:legend>
    <c:plotVisOnly val="1"/>
    <c:dispBlanksAs val="gap"/>
    <c:showDLblsOverMax val="0"/>
  </c:chart>
  <c:spPr>
    <a:ln w="15875">
      <a:solidFill>
        <a:sysClr val="windowText" lastClr="000000"/>
      </a:solid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fr-FR" sz="700" b="1" i="1" baseline="0">
                <a:effectLst/>
              </a:rPr>
              <a:t>C</a:t>
            </a:r>
            <a:r>
              <a:rPr lang="fr-FR" sz="700" b="1" i="0" baseline="0">
                <a:effectLst/>
              </a:rPr>
              <a:t>/</a:t>
            </a:r>
            <a:r>
              <a:rPr lang="fr-FR" sz="700" b="1" i="1" baseline="0">
                <a:effectLst/>
              </a:rPr>
              <a:t>I</a:t>
            </a:r>
            <a:r>
              <a:rPr lang="fr-FR" sz="700" b="1" i="0" baseline="0">
                <a:effectLst/>
              </a:rPr>
              <a:t>) </a:t>
            </a:r>
            <a:r>
              <a:rPr lang="en-GB" sz="700" b="1" i="1" baseline="-25000">
                <a:effectLst/>
              </a:rPr>
              <a:t>required</a:t>
            </a:r>
            <a:r>
              <a:rPr lang="fr-FR" sz="700" b="1" i="0" baseline="0">
                <a:effectLst/>
              </a:rPr>
              <a:t>  = 40 dB; </a:t>
            </a:r>
            <a:endParaRPr lang="ru-RU" sz="700">
              <a:effectLst/>
            </a:endParaRPr>
          </a:p>
          <a:p>
            <a:pPr algn="l">
              <a:defRPr sz="700"/>
            </a:pPr>
            <a:r>
              <a:rPr lang="fr-FR" sz="700" b="1" i="0" baseline="0">
                <a:effectLst/>
              </a:rPr>
              <a:t>Channel Separation 29.65 MHz;     </a:t>
            </a:r>
            <a:endParaRPr lang="ru-RU" sz="700">
              <a:effectLst/>
            </a:endParaRPr>
          </a:p>
          <a:p>
            <a:pPr algn="l">
              <a:defRPr sz="700"/>
            </a:pPr>
            <a:r>
              <a:rPr lang="en-GB" sz="700" b="1" i="0" baseline="0">
                <a:effectLst/>
              </a:rPr>
              <a:t>Co‑channel (</a:t>
            </a:r>
            <a:r>
              <a:rPr lang="en-US" sz="700" b="1" i="1" baseline="0">
                <a:effectLst/>
              </a:rPr>
              <a:t>MD</a:t>
            </a:r>
            <a:r>
              <a:rPr lang="en-US" sz="700" b="1" i="0" baseline="0">
                <a:effectLst/>
              </a:rPr>
              <a:t> +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0 dB); </a:t>
            </a:r>
            <a:r>
              <a:rPr lang="ru-RU" sz="700" b="1" i="0" baseline="0">
                <a:effectLst/>
              </a:rPr>
              <a:t> </a:t>
            </a:r>
            <a:endParaRPr lang="ru-RU" sz="700">
              <a:effectLst/>
            </a:endParaRPr>
          </a:p>
          <a:p>
            <a:pPr algn="l">
              <a:defRPr sz="700"/>
            </a:pPr>
            <a:r>
              <a:rPr lang="ru-RU" sz="700" b="1" i="0" baseline="0">
                <a:effectLst/>
              </a:rPr>
              <a:t> </a:t>
            </a:r>
            <a:r>
              <a:rPr lang="en-GB" sz="700" b="1" i="1" baseline="0">
                <a:effectLst/>
              </a:rPr>
              <a:t>a</a:t>
            </a:r>
            <a:r>
              <a:rPr lang="en-GB" sz="700" b="1" i="1" baseline="-25000">
                <a:effectLst/>
              </a:rPr>
              <a:t>indoor</a:t>
            </a:r>
            <a:r>
              <a:rPr lang="en-GB" sz="700" b="1" i="0" baseline="0">
                <a:effectLst/>
              </a:rPr>
              <a:t> = 25 dB;  </a:t>
            </a:r>
            <a:r>
              <a:rPr lang="en-GB" sz="700" b="1" i="1" baseline="0">
                <a:effectLst/>
              </a:rPr>
              <a:t>A</a:t>
            </a:r>
            <a:r>
              <a:rPr lang="en-GB" sz="700" b="1" i="1" baseline="-25000">
                <a:effectLst/>
              </a:rPr>
              <a:t>hTx</a:t>
            </a:r>
            <a:r>
              <a:rPr lang="en-GB" sz="700" b="1" i="0" baseline="0">
                <a:effectLst/>
              </a:rPr>
              <a:t> = 10 dB </a:t>
            </a:r>
            <a:endParaRPr lang="ru-RU" sz="700">
              <a:effectLst/>
            </a:endParaRPr>
          </a:p>
        </c:rich>
      </c:tx>
      <c:layout>
        <c:manualLayout>
          <c:xMode val="edge"/>
          <c:yMode val="edge"/>
          <c:x val="9.3187980812743251E-2"/>
          <c:y val="2.069009666474619E-2"/>
        </c:manualLayout>
      </c:layout>
      <c:overlay val="0"/>
    </c:title>
    <c:autoTitleDeleted val="0"/>
    <c:plotArea>
      <c:layout>
        <c:manualLayout>
          <c:layoutTarget val="inner"/>
          <c:xMode val="edge"/>
          <c:yMode val="edge"/>
          <c:x val="9.9115395058376729E-2"/>
          <c:y val="0.18515652006913769"/>
          <c:w val="0.86095411349443585"/>
          <c:h val="0.64429774022149799"/>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8.0000000000000043E-2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0.26</c:v>
                </c:pt>
                <c:pt idx="1">
                  <c:v>4.0000000000000022E-2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0.42000000000000032</c:v>
                </c:pt>
                <c:pt idx="1">
                  <c:v>8.0000000000000043E-2</c:v>
                </c:pt>
                <c:pt idx="2">
                  <c:v>4.0000000000000022E-2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0.58000000000000007</c:v>
                </c:pt>
                <c:pt idx="1">
                  <c:v>0.14000000000000001</c:v>
                </c:pt>
                <c:pt idx="2">
                  <c:v>4.0000000000000022E-2</c:v>
                </c:pt>
                <c:pt idx="3">
                  <c:v>4.0000000000000022E-2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621851856"/>
        <c:axId val="621852248"/>
      </c:scatterChart>
      <c:valAx>
        <c:axId val="621851856"/>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overlay val="0"/>
        </c:title>
        <c:numFmt formatCode="General" sourceLinked="1"/>
        <c:majorTickMark val="none"/>
        <c:minorTickMark val="none"/>
        <c:tickLblPos val="low"/>
        <c:crossAx val="621852248"/>
        <c:crosses val="autoZero"/>
        <c:crossBetween val="midCat"/>
        <c:majorUnit val="10"/>
        <c:minorUnit val="10"/>
      </c:valAx>
      <c:valAx>
        <c:axId val="621852248"/>
        <c:scaling>
          <c:logBase val="10"/>
          <c:orientation val="minMax"/>
          <c:max val="1"/>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FS-IMT</a:t>
                </a:r>
                <a:r>
                  <a:rPr lang="en-US" sz="1200" b="1" i="0" baseline="0">
                    <a:effectLst/>
                  </a:rPr>
                  <a:t> (km)</a:t>
                </a:r>
                <a:endParaRPr lang="ru-RU" sz="1200">
                  <a:effectLst/>
                </a:endParaRPr>
              </a:p>
            </c:rich>
          </c:tx>
          <c:layout>
            <c:manualLayout>
              <c:xMode val="edge"/>
              <c:yMode val="edge"/>
              <c:x val="2.2605986995150695E-3"/>
              <c:y val="0.3836075860663048"/>
            </c:manualLayout>
          </c:layout>
          <c:overlay val="0"/>
        </c:title>
        <c:numFmt formatCode="General" sourceLinked="1"/>
        <c:majorTickMark val="none"/>
        <c:minorTickMark val="none"/>
        <c:tickLblPos val="low"/>
        <c:crossAx val="621851856"/>
        <c:crosses val="autoZero"/>
        <c:crossBetween val="midCat"/>
        <c:majorUnit val="1"/>
        <c:minorUnit val="1.0000000000000005E-2"/>
      </c:valAx>
    </c:plotArea>
    <c:legend>
      <c:legendPos val="l"/>
      <c:layout>
        <c:manualLayout>
          <c:xMode val="edge"/>
          <c:yMode val="edge"/>
          <c:x val="0.62237831477961802"/>
          <c:y val="0.2669297740221504"/>
          <c:w val="0.27272748665037561"/>
          <c:h val="0.17356580427446591"/>
        </c:manualLayout>
      </c:layout>
      <c:overlay val="1"/>
      <c:spPr>
        <a:solidFill>
          <a:schemeClr val="bg1"/>
        </a:solidFill>
      </c:spPr>
      <c:txPr>
        <a:bodyPr/>
        <a:lstStyle/>
        <a:p>
          <a:pPr>
            <a:defRPr sz="700"/>
          </a:pPr>
          <a:endParaRPr lang="en-US"/>
        </a:p>
      </c:txPr>
    </c:legend>
    <c:plotVisOnly val="1"/>
    <c:dispBlanksAs val="gap"/>
    <c:showDLblsOverMax val="0"/>
  </c:chart>
  <c:spPr>
    <a:ln w="15875">
      <a:solidFill>
        <a:sysClr val="windowText" lastClr="000000"/>
      </a:solid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fr-FR" sz="700" b="1" i="1" baseline="0">
                <a:effectLst/>
              </a:rPr>
              <a:t>C</a:t>
            </a:r>
            <a:r>
              <a:rPr lang="fr-FR" sz="700" b="1" i="0" baseline="0">
                <a:effectLst/>
              </a:rPr>
              <a:t>/</a:t>
            </a:r>
            <a:r>
              <a:rPr lang="fr-FR" sz="700" b="1" i="1" baseline="0">
                <a:effectLst/>
              </a:rPr>
              <a:t>I</a:t>
            </a:r>
            <a:r>
              <a:rPr lang="fr-FR" sz="700" b="1" i="0" baseline="0">
                <a:effectLst/>
              </a:rPr>
              <a:t>) </a:t>
            </a:r>
            <a:r>
              <a:rPr lang="en-GB" sz="700" b="1" i="1" baseline="-25000">
                <a:effectLst/>
              </a:rPr>
              <a:t>required</a:t>
            </a:r>
            <a:r>
              <a:rPr lang="fr-FR" sz="700" b="1" i="0" baseline="0">
                <a:effectLst/>
              </a:rPr>
              <a:t>  = 40 dB; </a:t>
            </a:r>
            <a:endParaRPr lang="ru-RU" sz="700">
              <a:effectLst/>
            </a:endParaRPr>
          </a:p>
          <a:p>
            <a:pPr algn="l">
              <a:defRPr sz="700"/>
            </a:pPr>
            <a:r>
              <a:rPr lang="fr-FR" sz="700" b="1" i="0" baseline="0">
                <a:effectLst/>
              </a:rPr>
              <a:t>Channel Separation 29.65  MHz;     </a:t>
            </a:r>
            <a:endParaRPr lang="ru-RU" sz="700">
              <a:effectLst/>
            </a:endParaRPr>
          </a:p>
          <a:p>
            <a:pPr algn="l">
              <a:defRPr sz="700"/>
            </a:pPr>
            <a:r>
              <a:rPr lang="en-GB" sz="700" b="1" i="0" baseline="0">
                <a:effectLst/>
              </a:rPr>
              <a:t>First adjacent channel</a:t>
            </a:r>
            <a:r>
              <a:rPr lang="ru-RU" sz="700" b="1" i="0" baseline="0">
                <a:effectLst/>
              </a:rPr>
              <a:t> </a:t>
            </a:r>
            <a:r>
              <a:rPr lang="en-GB" sz="700" b="1" i="0" baseline="0">
                <a:effectLst/>
              </a:rPr>
              <a:t> (</a:t>
            </a:r>
            <a:r>
              <a:rPr lang="en-US" sz="700" b="1" i="1" baseline="0">
                <a:effectLst/>
              </a:rPr>
              <a:t>MD</a:t>
            </a:r>
            <a:r>
              <a:rPr lang="en-US" sz="700" b="1" i="0" baseline="0">
                <a:effectLst/>
              </a:rPr>
              <a:t> +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a:t>
            </a:r>
            <a:r>
              <a:rPr lang="ru-RU" sz="700" b="1" i="0" baseline="0">
                <a:effectLst/>
              </a:rPr>
              <a:t>45</a:t>
            </a:r>
            <a:r>
              <a:rPr lang="en-US" sz="700" b="1" i="0" baseline="0">
                <a:effectLst/>
              </a:rPr>
              <a:t> dB);</a:t>
            </a:r>
            <a:endParaRPr lang="ru-RU" sz="700">
              <a:effectLst/>
            </a:endParaRPr>
          </a:p>
          <a:p>
            <a:pPr algn="l">
              <a:defRPr sz="700"/>
            </a:pPr>
            <a:r>
              <a:rPr lang="ru-RU" sz="700" b="1" i="0" baseline="0">
                <a:effectLst/>
              </a:rPr>
              <a:t> </a:t>
            </a:r>
            <a:r>
              <a:rPr lang="en-GB" sz="700" b="1" i="1" baseline="0">
                <a:effectLst/>
              </a:rPr>
              <a:t>a</a:t>
            </a:r>
            <a:r>
              <a:rPr lang="en-GB" sz="700" b="1" i="1" baseline="-25000">
                <a:effectLst/>
              </a:rPr>
              <a:t>indoor</a:t>
            </a:r>
            <a:r>
              <a:rPr lang="en-GB" sz="700" b="1" i="0" baseline="0">
                <a:effectLst/>
              </a:rPr>
              <a:t> = 25 dB;  </a:t>
            </a:r>
            <a:r>
              <a:rPr lang="en-GB" sz="700" b="1" i="1" baseline="0">
                <a:effectLst/>
              </a:rPr>
              <a:t>A</a:t>
            </a:r>
            <a:r>
              <a:rPr lang="en-GB" sz="700" b="1" i="1" baseline="-25000">
                <a:effectLst/>
              </a:rPr>
              <a:t>hTx</a:t>
            </a:r>
            <a:r>
              <a:rPr lang="en-GB" sz="700" b="1" i="0" baseline="0">
                <a:effectLst/>
              </a:rPr>
              <a:t> = 10 dB </a:t>
            </a:r>
            <a:endParaRPr lang="ru-RU" sz="700">
              <a:effectLst/>
            </a:endParaRPr>
          </a:p>
        </c:rich>
      </c:tx>
      <c:layout>
        <c:manualLayout>
          <c:xMode val="edge"/>
          <c:yMode val="edge"/>
          <c:x val="0.11953921390376825"/>
          <c:y val="3.2786885245901641E-2"/>
        </c:manualLayout>
      </c:layout>
      <c:overlay val="0"/>
    </c:title>
    <c:autoTitleDeleted val="0"/>
    <c:plotArea>
      <c:layout>
        <c:manualLayout>
          <c:layoutTarget val="inner"/>
          <c:xMode val="edge"/>
          <c:yMode val="edge"/>
          <c:x val="0.11930443863255992"/>
          <c:y val="0.17936319435480436"/>
          <c:w val="0.81498123569367575"/>
          <c:h val="0.68764052034479495"/>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621853032"/>
        <c:axId val="621853424"/>
      </c:scatterChart>
      <c:valAx>
        <c:axId val="621853032"/>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overlay val="0"/>
        </c:title>
        <c:numFmt formatCode="0.0" sourceLinked="1"/>
        <c:majorTickMark val="none"/>
        <c:minorTickMark val="none"/>
        <c:tickLblPos val="low"/>
        <c:crossAx val="621853424"/>
        <c:crosses val="autoZero"/>
        <c:crossBetween val="midCat"/>
        <c:majorUnit val="10"/>
        <c:minorUnit val="1"/>
      </c:valAx>
      <c:valAx>
        <c:axId val="621853424"/>
        <c:scaling>
          <c:logBase val="10"/>
          <c:orientation val="minMax"/>
          <c:max val="0.2"/>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FS-IMT </a:t>
                </a:r>
                <a:r>
                  <a:rPr lang="en-US" sz="1200" b="1" i="0" baseline="0">
                    <a:effectLst/>
                  </a:rPr>
                  <a:t> (km)</a:t>
                </a:r>
                <a:endParaRPr lang="ru-RU" sz="1200">
                  <a:effectLst/>
                </a:endParaRPr>
              </a:p>
            </c:rich>
          </c:tx>
          <c:layout>
            <c:manualLayout>
              <c:xMode val="edge"/>
              <c:yMode val="edge"/>
              <c:x val="3.0476190476190577E-2"/>
              <c:y val="0.40740971817663607"/>
            </c:manualLayout>
          </c:layout>
          <c:overlay val="0"/>
        </c:title>
        <c:numFmt formatCode="General" sourceLinked="1"/>
        <c:majorTickMark val="none"/>
        <c:minorTickMark val="none"/>
        <c:tickLblPos val="low"/>
        <c:spPr>
          <a:ln>
            <a:solidFill>
              <a:schemeClr val="tx1"/>
            </a:solidFill>
          </a:ln>
        </c:spPr>
        <c:crossAx val="621853032"/>
        <c:crosses val="autoZero"/>
        <c:crossBetween val="midCat"/>
        <c:majorUnit val="2.0000000000000011E-2"/>
        <c:minorUnit val="1.0000000000000005E-2"/>
      </c:valAx>
      <c:spPr>
        <a:noFill/>
        <a:ln>
          <a:solidFill>
            <a:schemeClr val="tx1"/>
          </a:solidFill>
        </a:ln>
      </c:spPr>
    </c:plotArea>
    <c:legend>
      <c:legendPos val="l"/>
      <c:layout>
        <c:manualLayout>
          <c:xMode val="edge"/>
          <c:yMode val="edge"/>
          <c:x val="0.5292491014111691"/>
          <c:y val="0.23759357049342594"/>
          <c:w val="0.32776473988708893"/>
          <c:h val="0.14614298511015494"/>
        </c:manualLayout>
      </c:layout>
      <c:overlay val="1"/>
      <c:spPr>
        <a:solidFill>
          <a:schemeClr val="bg1"/>
        </a:solidFill>
      </c:spPr>
      <c:txPr>
        <a:bodyPr/>
        <a:lstStyle/>
        <a:p>
          <a:pPr>
            <a:defRPr sz="700"/>
          </a:pPr>
          <a:endParaRPr lang="en-US"/>
        </a:p>
      </c:txPr>
    </c:legend>
    <c:plotVisOnly val="1"/>
    <c:dispBlanksAs val="gap"/>
    <c:showDLblsOverMax val="0"/>
  </c:chart>
  <c:spPr>
    <a:ln w="15875">
      <a:solidFill>
        <a:sysClr val="windowText" lastClr="000000"/>
      </a:solid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fr-FR" sz="700" b="1" i="1" baseline="0">
                <a:effectLst/>
              </a:rPr>
              <a:t>C</a:t>
            </a:r>
            <a:r>
              <a:rPr lang="fr-FR" sz="700" b="1" i="0" baseline="0">
                <a:effectLst/>
              </a:rPr>
              <a:t>/</a:t>
            </a:r>
            <a:r>
              <a:rPr lang="fr-FR" sz="700" b="1" i="1" baseline="0">
                <a:effectLst/>
              </a:rPr>
              <a:t>I</a:t>
            </a:r>
            <a:r>
              <a:rPr lang="fr-FR" sz="700" b="1" i="0" baseline="0">
                <a:effectLst/>
              </a:rPr>
              <a:t>) </a:t>
            </a:r>
            <a:r>
              <a:rPr lang="en-GB" sz="700" b="1" i="1" baseline="-25000">
                <a:effectLst/>
              </a:rPr>
              <a:t>required</a:t>
            </a:r>
            <a:r>
              <a:rPr lang="fr-FR" sz="700" b="1" i="0" baseline="0">
                <a:effectLst/>
              </a:rPr>
              <a:t>  = 40 dB; </a:t>
            </a:r>
            <a:endParaRPr lang="ru-RU" sz="700">
              <a:effectLst/>
            </a:endParaRPr>
          </a:p>
          <a:p>
            <a:pPr algn="l">
              <a:defRPr sz="700"/>
            </a:pPr>
            <a:r>
              <a:rPr lang="fr-FR" sz="700" b="1" i="0" baseline="0">
                <a:effectLst/>
              </a:rPr>
              <a:t>Channel Separation 29.65 MHz;     </a:t>
            </a:r>
            <a:endParaRPr lang="ru-RU" sz="700">
              <a:effectLst/>
            </a:endParaRPr>
          </a:p>
          <a:p>
            <a:pPr algn="l">
              <a:defRPr sz="700"/>
            </a:pPr>
            <a:r>
              <a:rPr lang="en-GB" sz="700" b="1" i="0" baseline="0">
                <a:effectLst/>
              </a:rPr>
              <a:t>Co‑channel (</a:t>
            </a:r>
            <a:r>
              <a:rPr lang="en-US" sz="700" b="1" i="1" baseline="0">
                <a:effectLst/>
              </a:rPr>
              <a:t>MD</a:t>
            </a:r>
            <a:r>
              <a:rPr lang="en-US" sz="700" b="1" i="0" baseline="0">
                <a:effectLst/>
              </a:rPr>
              <a:t> +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0 dB); </a:t>
            </a:r>
            <a:r>
              <a:rPr lang="ru-RU" sz="700" b="1" i="0" baseline="0">
                <a:effectLst/>
              </a:rPr>
              <a:t> </a:t>
            </a:r>
            <a:endParaRPr lang="ru-RU" sz="700">
              <a:effectLst/>
            </a:endParaRPr>
          </a:p>
          <a:p>
            <a:pPr algn="l">
              <a:defRPr sz="700"/>
            </a:pPr>
            <a:r>
              <a:rPr lang="ru-RU" sz="700" b="1" i="0" baseline="0">
                <a:effectLst/>
              </a:rPr>
              <a:t> </a:t>
            </a:r>
            <a:r>
              <a:rPr lang="en-GB" sz="700" b="1" i="1" baseline="0">
                <a:effectLst/>
              </a:rPr>
              <a:t>a</a:t>
            </a:r>
            <a:r>
              <a:rPr lang="en-GB" sz="700" b="1" i="1" baseline="-25000">
                <a:effectLst/>
              </a:rPr>
              <a:t>indoor</a:t>
            </a:r>
            <a:r>
              <a:rPr lang="en-GB" sz="700" b="1" i="0" baseline="0">
                <a:effectLst/>
              </a:rPr>
              <a:t> = 25 dB;</a:t>
            </a:r>
            <a:r>
              <a:rPr lang="en-GB" sz="700" b="1" i="1" baseline="0">
                <a:effectLst/>
              </a:rPr>
              <a:t>  A</a:t>
            </a:r>
            <a:r>
              <a:rPr lang="en-GB" sz="700" b="1" i="1" baseline="-25000">
                <a:effectLst/>
              </a:rPr>
              <a:t>hTx</a:t>
            </a:r>
            <a:r>
              <a:rPr lang="en-GB" sz="700" b="1" i="1" baseline="0">
                <a:effectLst/>
              </a:rPr>
              <a:t> </a:t>
            </a:r>
            <a:r>
              <a:rPr lang="en-GB" sz="700" b="1" i="0" baseline="0">
                <a:effectLst/>
              </a:rPr>
              <a:t>= 19 dB </a:t>
            </a:r>
            <a:endParaRPr lang="ru-RU" sz="700">
              <a:effectLst/>
            </a:endParaRPr>
          </a:p>
        </c:rich>
      </c:tx>
      <c:layout>
        <c:manualLayout>
          <c:xMode val="edge"/>
          <c:yMode val="edge"/>
          <c:x val="0.10515460396217616"/>
          <c:y val="2.7892795090754575E-2"/>
        </c:manualLayout>
      </c:layout>
      <c:overlay val="0"/>
    </c:title>
    <c:autoTitleDeleted val="0"/>
    <c:plotArea>
      <c:layout>
        <c:manualLayout>
          <c:layoutTarget val="inner"/>
          <c:xMode val="edge"/>
          <c:yMode val="edge"/>
          <c:x val="0.1135224535289255"/>
          <c:y val="0.18736638201914949"/>
          <c:w val="0.85339625355050031"/>
          <c:h val="0.65335521792170514"/>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4.0000000000000022E-2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8.0000000000000043E-2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0.16</c:v>
                </c:pt>
                <c:pt idx="1">
                  <c:v>4.0000000000000022E-2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0.22</c:v>
                </c:pt>
                <c:pt idx="1">
                  <c:v>4.0000000000000022E-2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618962488"/>
        <c:axId val="618962880"/>
      </c:scatterChart>
      <c:valAx>
        <c:axId val="618962488"/>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overlay val="0"/>
        </c:title>
        <c:numFmt formatCode="General" sourceLinked="1"/>
        <c:majorTickMark val="none"/>
        <c:minorTickMark val="none"/>
        <c:tickLblPos val="low"/>
        <c:crossAx val="618962880"/>
        <c:crosses val="autoZero"/>
        <c:crossBetween val="midCat"/>
        <c:majorUnit val="10"/>
        <c:minorUnit val="10"/>
      </c:valAx>
      <c:valAx>
        <c:axId val="618962880"/>
        <c:scaling>
          <c:logBase val="10"/>
          <c:orientation val="minMax"/>
          <c:max val="1"/>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a:t>
                </a:r>
                <a:r>
                  <a:rPr lang="en-US" sz="1200" b="1" i="0" baseline="-25000">
                    <a:effectLst/>
                  </a:rPr>
                  <a:t>  </a:t>
                </a:r>
                <a:r>
                  <a:rPr lang="en-US" sz="1200" b="1" i="0" baseline="0">
                    <a:effectLst/>
                  </a:rPr>
                  <a:t>(km)</a:t>
                </a:r>
                <a:endParaRPr lang="ru-RU" sz="1200">
                  <a:effectLst/>
                </a:endParaRPr>
              </a:p>
            </c:rich>
          </c:tx>
          <c:layout>
            <c:manualLayout>
              <c:xMode val="edge"/>
              <c:yMode val="edge"/>
              <c:x val="1.1428571428571465E-2"/>
              <c:y val="0.40383424640498489"/>
            </c:manualLayout>
          </c:layout>
          <c:overlay val="0"/>
        </c:title>
        <c:numFmt formatCode="General" sourceLinked="1"/>
        <c:majorTickMark val="none"/>
        <c:minorTickMark val="none"/>
        <c:tickLblPos val="low"/>
        <c:crossAx val="618962488"/>
        <c:crosses val="autoZero"/>
        <c:crossBetween val="midCat"/>
        <c:majorUnit val="1"/>
        <c:minorUnit val="1.0000000000000005E-2"/>
      </c:valAx>
    </c:plotArea>
    <c:legend>
      <c:legendPos val="l"/>
      <c:layout>
        <c:manualLayout>
          <c:xMode val="edge"/>
          <c:yMode val="edge"/>
          <c:x val="0.57108793090435239"/>
          <c:y val="0.23893772208715164"/>
          <c:w val="0.33996098946535941"/>
          <c:h val="0.17308284351780012"/>
        </c:manualLayout>
      </c:layout>
      <c:overlay val="1"/>
      <c:spPr>
        <a:solidFill>
          <a:schemeClr val="bg1"/>
        </a:solidFill>
      </c:spPr>
      <c:txPr>
        <a:bodyPr/>
        <a:lstStyle/>
        <a:p>
          <a:pPr>
            <a:defRPr sz="700"/>
          </a:pPr>
          <a:endParaRPr lang="en-US"/>
        </a:p>
      </c:txPr>
    </c:legend>
    <c:plotVisOnly val="1"/>
    <c:dispBlanksAs val="gap"/>
    <c:showDLblsOverMax val="0"/>
  </c:chart>
  <c:spPr>
    <a:ln w="15875">
      <a:solidFill>
        <a:sysClr val="windowText" lastClr="000000"/>
      </a:solid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fr-FR" sz="700" b="1" i="1" baseline="0">
                <a:effectLst/>
              </a:rPr>
              <a:t>C</a:t>
            </a:r>
            <a:r>
              <a:rPr lang="fr-FR" sz="700" b="1" i="0" baseline="0">
                <a:effectLst/>
              </a:rPr>
              <a:t>/</a:t>
            </a:r>
            <a:r>
              <a:rPr lang="fr-FR" sz="700" b="1" i="1" baseline="0">
                <a:effectLst/>
              </a:rPr>
              <a:t>I</a:t>
            </a:r>
            <a:r>
              <a:rPr lang="fr-FR" sz="700" b="1" i="0" baseline="0">
                <a:effectLst/>
              </a:rPr>
              <a:t>) </a:t>
            </a:r>
            <a:r>
              <a:rPr lang="en-GB" sz="700" b="1" i="1" baseline="-25000">
                <a:effectLst/>
              </a:rPr>
              <a:t>required</a:t>
            </a:r>
            <a:r>
              <a:rPr lang="fr-FR" sz="700" b="1" i="0" baseline="0">
                <a:effectLst/>
              </a:rPr>
              <a:t>  = 40 dB; </a:t>
            </a:r>
            <a:endParaRPr lang="ru-RU" sz="700">
              <a:effectLst/>
            </a:endParaRPr>
          </a:p>
          <a:p>
            <a:pPr algn="l">
              <a:defRPr sz="700"/>
            </a:pPr>
            <a:r>
              <a:rPr lang="fr-FR" sz="700" b="1" i="0" baseline="0">
                <a:effectLst/>
              </a:rPr>
              <a:t>Channel Separation 29.65  MHz;     </a:t>
            </a:r>
            <a:endParaRPr lang="ru-RU" sz="700">
              <a:effectLst/>
            </a:endParaRPr>
          </a:p>
          <a:p>
            <a:pPr algn="l">
              <a:defRPr sz="700"/>
            </a:pPr>
            <a:r>
              <a:rPr lang="en-GB" sz="700" b="1" i="0" baseline="0">
                <a:effectLst/>
              </a:rPr>
              <a:t>First adjacent channel</a:t>
            </a:r>
            <a:r>
              <a:rPr lang="ru-RU" sz="700" b="1" i="0" baseline="0">
                <a:effectLst/>
              </a:rPr>
              <a:t> </a:t>
            </a:r>
            <a:r>
              <a:rPr lang="en-GB" sz="700" b="1" i="0" baseline="0">
                <a:effectLst/>
              </a:rPr>
              <a:t> (</a:t>
            </a:r>
            <a:r>
              <a:rPr lang="en-US" sz="700" b="1" i="1" baseline="0">
                <a:effectLst/>
              </a:rPr>
              <a:t>MD</a:t>
            </a:r>
            <a:r>
              <a:rPr lang="en-US" sz="700" b="1" i="0" baseline="0">
                <a:effectLst/>
              </a:rPr>
              <a:t> +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a:t>
            </a:r>
            <a:r>
              <a:rPr lang="ru-RU" sz="700" b="1" i="0" baseline="0">
                <a:effectLst/>
              </a:rPr>
              <a:t>45</a:t>
            </a:r>
            <a:r>
              <a:rPr lang="en-US" sz="700" b="1" i="0" baseline="0">
                <a:effectLst/>
              </a:rPr>
              <a:t> dB);</a:t>
            </a:r>
            <a:endParaRPr lang="ru-RU" sz="700">
              <a:effectLst/>
            </a:endParaRPr>
          </a:p>
          <a:p>
            <a:pPr algn="l">
              <a:defRPr sz="700"/>
            </a:pPr>
            <a:r>
              <a:rPr lang="ru-RU" sz="700" b="1" i="0" baseline="0">
                <a:effectLst/>
              </a:rPr>
              <a:t> </a:t>
            </a:r>
            <a:r>
              <a:rPr lang="en-GB" sz="700" b="1" i="1" baseline="0">
                <a:effectLst/>
              </a:rPr>
              <a:t>a</a:t>
            </a:r>
            <a:r>
              <a:rPr lang="en-GB" sz="700" b="1" i="1" baseline="-25000">
                <a:effectLst/>
              </a:rPr>
              <a:t>indoor</a:t>
            </a:r>
            <a:r>
              <a:rPr lang="en-GB" sz="700" b="1" i="0" baseline="0">
                <a:effectLst/>
              </a:rPr>
              <a:t> = 25 dB;  </a:t>
            </a:r>
            <a:r>
              <a:rPr lang="en-GB" sz="700" b="1" i="1" baseline="0">
                <a:effectLst/>
              </a:rPr>
              <a:t>A</a:t>
            </a:r>
            <a:r>
              <a:rPr lang="en-GB" sz="700" b="1" i="1" baseline="-25000">
                <a:effectLst/>
              </a:rPr>
              <a:t>hTx</a:t>
            </a:r>
            <a:r>
              <a:rPr lang="en-GB" sz="700" b="1" i="0" baseline="0">
                <a:effectLst/>
              </a:rPr>
              <a:t> = 19 dB </a:t>
            </a:r>
            <a:endParaRPr lang="ru-RU" sz="700">
              <a:effectLst/>
            </a:endParaRPr>
          </a:p>
        </c:rich>
      </c:tx>
      <c:layout>
        <c:manualLayout>
          <c:xMode val="edge"/>
          <c:yMode val="edge"/>
          <c:x val="8.690450966356475E-2"/>
          <c:y val="2.2222222222222251E-2"/>
        </c:manualLayout>
      </c:layout>
      <c:overlay val="0"/>
    </c:title>
    <c:autoTitleDeleted val="0"/>
    <c:plotArea>
      <c:layout>
        <c:manualLayout>
          <c:layoutTarget val="inner"/>
          <c:xMode val="edge"/>
          <c:yMode val="edge"/>
          <c:x val="8.1933285612025619E-2"/>
          <c:y val="0.17608428113152583"/>
          <c:w val="0.85235237413505127"/>
          <c:h val="0.69091921843103077"/>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Лист1!$A$2:$A$183</c:f>
              <c:numCache>
                <c:formatCode>0.0</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Лист1!$B$2:$B$183</c:f>
              <c:numCache>
                <c:formatCode>General</c:formatCode>
                <c:ptCount val="182"/>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Лист1!$A$2:$A$183</c:f>
              <c:numCache>
                <c:formatCode>0.0</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Лист1!$C$2:$C$183</c:f>
              <c:numCache>
                <c:formatCode>General</c:formatCode>
                <c:ptCount val="182"/>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Лист1!$A$2:$A$183</c:f>
              <c:numCache>
                <c:formatCode>0.0</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Лист1!$D$2:$D$183</c:f>
              <c:numCache>
                <c:formatCode>General</c:formatCode>
                <c:ptCount val="182"/>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Лист1!$A$2:$A$183</c:f>
              <c:numCache>
                <c:formatCode>0.0</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Лист1!$E$2:$E$183</c:f>
              <c:numCache>
                <c:formatCode>General</c:formatCode>
                <c:ptCount val="182"/>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618963664"/>
        <c:axId val="618964056"/>
      </c:scatterChart>
      <c:valAx>
        <c:axId val="618963664"/>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manualLayout>
              <c:xMode val="edge"/>
              <c:yMode val="edge"/>
              <c:x val="0.36932956015433699"/>
              <c:y val="0.93473451327433632"/>
            </c:manualLayout>
          </c:layout>
          <c:overlay val="0"/>
        </c:title>
        <c:numFmt formatCode="0.0" sourceLinked="1"/>
        <c:majorTickMark val="none"/>
        <c:minorTickMark val="none"/>
        <c:tickLblPos val="low"/>
        <c:crossAx val="618964056"/>
        <c:crosses val="autoZero"/>
        <c:crossBetween val="midCat"/>
        <c:majorUnit val="10"/>
        <c:minorUnit val="1"/>
      </c:valAx>
      <c:valAx>
        <c:axId val="618964056"/>
        <c:scaling>
          <c:logBase val="10"/>
          <c:orientation val="minMax"/>
          <c:max val="0.2"/>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FS-IMT</a:t>
                </a:r>
                <a:r>
                  <a:rPr lang="en-US" sz="1200" b="1" i="0" baseline="0">
                    <a:effectLst/>
                  </a:rPr>
                  <a:t>  (km)</a:t>
                </a:r>
                <a:endParaRPr lang="ru-RU" sz="1200">
                  <a:effectLst/>
                </a:endParaRPr>
              </a:p>
            </c:rich>
          </c:tx>
          <c:layout>
            <c:manualLayout>
              <c:xMode val="edge"/>
              <c:yMode val="edge"/>
              <c:x val="9.2172575510853158E-3"/>
              <c:y val="0.40740976238589643"/>
            </c:manualLayout>
          </c:layout>
          <c:overlay val="0"/>
        </c:title>
        <c:numFmt formatCode="General" sourceLinked="1"/>
        <c:majorTickMark val="none"/>
        <c:minorTickMark val="none"/>
        <c:tickLblPos val="low"/>
        <c:spPr>
          <a:ln>
            <a:solidFill>
              <a:schemeClr val="tx1"/>
            </a:solidFill>
          </a:ln>
        </c:spPr>
        <c:crossAx val="618963664"/>
        <c:crosses val="autoZero"/>
        <c:crossBetween val="midCat"/>
        <c:majorUnit val="2.0000000000000011E-2"/>
        <c:minorUnit val="1.0000000000000005E-2"/>
      </c:valAx>
      <c:spPr>
        <a:noFill/>
        <a:ln>
          <a:solidFill>
            <a:schemeClr val="tx1"/>
          </a:solidFill>
        </a:ln>
      </c:spPr>
    </c:plotArea>
    <c:legend>
      <c:legendPos val="l"/>
      <c:layout>
        <c:manualLayout>
          <c:xMode val="edge"/>
          <c:yMode val="edge"/>
          <c:x val="0.51134808692199174"/>
          <c:y val="0.20809496434627087"/>
          <c:w val="0.35275208780720674"/>
          <c:h val="0.16466141732283471"/>
        </c:manualLayout>
      </c:layout>
      <c:overlay val="1"/>
      <c:spPr>
        <a:solidFill>
          <a:schemeClr val="bg1"/>
        </a:solidFill>
      </c:spPr>
      <c:txPr>
        <a:bodyPr/>
        <a:lstStyle/>
        <a:p>
          <a:pPr>
            <a:defRPr sz="700"/>
          </a:pPr>
          <a:endParaRPr lang="en-US"/>
        </a:p>
      </c:txPr>
    </c:legend>
    <c:plotVisOnly val="1"/>
    <c:dispBlanksAs val="gap"/>
    <c:showDLblsOverMax val="0"/>
  </c:chart>
  <c:spPr>
    <a:ln w="15875">
      <a:solidFill>
        <a:sysClr val="windowText" lastClr="00000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092531492689674E-2"/>
          <c:y val="4.9521264115151883E-2"/>
          <c:w val="0.8697386798372565"/>
          <c:h val="0.75717198140930064"/>
        </c:manualLayout>
      </c:layout>
      <c:lineChart>
        <c:grouping val="standard"/>
        <c:varyColors val="0"/>
        <c:ser>
          <c:idx val="0"/>
          <c:order val="0"/>
          <c:tx>
            <c:strRef>
              <c:f>Лист1!$B$1</c:f>
              <c:strCache>
                <c:ptCount val="1"/>
                <c:pt idx="0">
                  <c:v>Band 5925-6425 MHz,    Netto-Bitrate 155 Mbit/s,            Channel
Separation 40 MHz</c:v>
                </c:pt>
              </c:strCache>
            </c:strRef>
          </c:tx>
          <c:spPr>
            <a:ln w="38100">
              <a:solidFill>
                <a:schemeClr val="tx1"/>
              </a:solidFill>
            </a:ln>
          </c:spPr>
          <c:marker>
            <c:symbol val="none"/>
          </c:marker>
          <c:cat>
            <c:numRef>
              <c:f>Лист1!$A$2:$A$13</c:f>
              <c:numCache>
                <c:formatCode>General</c:formatCode>
                <c:ptCount val="12"/>
                <c:pt idx="0">
                  <c:v>-31.318200000000001</c:v>
                </c:pt>
                <c:pt idx="1">
                  <c:v>-21.855</c:v>
                </c:pt>
                <c:pt idx="2">
                  <c:v>-20.924999999999986</c:v>
                </c:pt>
                <c:pt idx="3">
                  <c:v>-19.22</c:v>
                </c:pt>
                <c:pt idx="4">
                  <c:v>-15.5</c:v>
                </c:pt>
                <c:pt idx="5">
                  <c:v>-9.1449999999999996</c:v>
                </c:pt>
                <c:pt idx="6">
                  <c:v>9.1449999999999996</c:v>
                </c:pt>
                <c:pt idx="7">
                  <c:v>15.5</c:v>
                </c:pt>
                <c:pt idx="8">
                  <c:v>19.22</c:v>
                </c:pt>
                <c:pt idx="9">
                  <c:v>20.924999999999986</c:v>
                </c:pt>
                <c:pt idx="10">
                  <c:v>21.855</c:v>
                </c:pt>
                <c:pt idx="11">
                  <c:v>31.318200000000001</c:v>
                </c:pt>
              </c:numCache>
            </c:numRef>
          </c:cat>
          <c:val>
            <c:numRef>
              <c:f>Лист1!$B$2:$B$13</c:f>
              <c:numCache>
                <c:formatCode>General</c:formatCode>
                <c:ptCount val="12"/>
                <c:pt idx="0">
                  <c:v>63</c:v>
                </c:pt>
                <c:pt idx="1">
                  <c:v>46</c:v>
                </c:pt>
                <c:pt idx="2">
                  <c:v>17.8</c:v>
                </c:pt>
                <c:pt idx="3">
                  <c:v>9.9</c:v>
                </c:pt>
                <c:pt idx="4">
                  <c:v>2</c:v>
                </c:pt>
                <c:pt idx="5">
                  <c:v>0</c:v>
                </c:pt>
                <c:pt idx="6">
                  <c:v>0</c:v>
                </c:pt>
                <c:pt idx="7">
                  <c:v>2</c:v>
                </c:pt>
                <c:pt idx="8">
                  <c:v>9.9</c:v>
                </c:pt>
                <c:pt idx="9">
                  <c:v>17.8</c:v>
                </c:pt>
                <c:pt idx="10">
                  <c:v>46</c:v>
                </c:pt>
                <c:pt idx="11">
                  <c:v>63</c:v>
                </c:pt>
              </c:numCache>
            </c:numRef>
          </c:val>
          <c:smooth val="0"/>
        </c:ser>
        <c:dLbls>
          <c:showLegendKey val="0"/>
          <c:showVal val="0"/>
          <c:showCatName val="0"/>
          <c:showSerName val="0"/>
          <c:showPercent val="0"/>
          <c:showBubbleSize val="0"/>
        </c:dLbls>
        <c:smooth val="0"/>
        <c:axId val="623223288"/>
        <c:axId val="623223680"/>
      </c:lineChart>
      <c:catAx>
        <c:axId val="623223288"/>
        <c:scaling>
          <c:orientation val="minMax"/>
        </c:scaling>
        <c:delete val="0"/>
        <c:axPos val="t"/>
        <c:majorGridlines/>
        <c:minorGridlines/>
        <c:title>
          <c:tx>
            <c:rich>
              <a:bodyPr/>
              <a:lstStyle/>
              <a:p>
                <a:pPr>
                  <a:defRPr/>
                </a:pPr>
                <a:r>
                  <a:rPr lang="en-US">
                    <a:latin typeface="Symbol" panose="05050102010706020507" pitchFamily="18" charset="2"/>
                  </a:rPr>
                  <a:t>D</a:t>
                </a:r>
                <a:r>
                  <a:rPr lang="en-US"/>
                  <a:t> </a:t>
                </a:r>
                <a:r>
                  <a:rPr lang="en-US" i="1"/>
                  <a:t>f</a:t>
                </a:r>
                <a:r>
                  <a:rPr lang="en-US"/>
                  <a:t> (MHz)</a:t>
                </a:r>
                <a:endParaRPr lang="ru-RU"/>
              </a:p>
            </c:rich>
          </c:tx>
          <c:layout>
            <c:manualLayout>
              <c:xMode val="edge"/>
              <c:yMode val="edge"/>
              <c:x val="0.49902620461212432"/>
              <c:y val="0.89832877273319722"/>
            </c:manualLayout>
          </c:layout>
          <c:overlay val="0"/>
        </c:title>
        <c:numFmt formatCode="General" sourceLinked="1"/>
        <c:majorTickMark val="none"/>
        <c:minorTickMark val="none"/>
        <c:tickLblPos val="high"/>
        <c:txPr>
          <a:bodyPr/>
          <a:lstStyle/>
          <a:p>
            <a:pPr>
              <a:defRPr sz="700" baseline="0">
                <a:latin typeface="Arial" panose="020B0604020202020204" pitchFamily="34" charset="0"/>
                <a:cs typeface="Arial" panose="020B0604020202020204" pitchFamily="34" charset="0"/>
              </a:defRPr>
            </a:pPr>
            <a:endParaRPr lang="en-US"/>
          </a:p>
        </c:txPr>
        <c:crossAx val="623223680"/>
        <c:crosses val="autoZero"/>
        <c:auto val="0"/>
        <c:lblAlgn val="ctr"/>
        <c:lblOffset val="100"/>
        <c:noMultiLvlLbl val="0"/>
      </c:catAx>
      <c:valAx>
        <c:axId val="623223680"/>
        <c:scaling>
          <c:orientation val="maxMin"/>
        </c:scaling>
        <c:delete val="0"/>
        <c:axPos val="l"/>
        <c:majorGridlines/>
        <c:minorGridlines/>
        <c:title>
          <c:tx>
            <c:rich>
              <a:bodyPr rot="-5400000" vert="horz"/>
              <a:lstStyle/>
              <a:p>
                <a:pPr>
                  <a:defRPr/>
                </a:pPr>
                <a:r>
                  <a:rPr lang="en-US" i="1"/>
                  <a:t>a</a:t>
                </a:r>
                <a:r>
                  <a:rPr lang="en-US"/>
                  <a:t> (dB)</a:t>
                </a:r>
                <a:endParaRPr lang="ru-RU"/>
              </a:p>
            </c:rich>
          </c:tx>
          <c:layout/>
          <c:overlay val="0"/>
        </c:title>
        <c:numFmt formatCode="General" sourceLinked="1"/>
        <c:majorTickMark val="out"/>
        <c:minorTickMark val="none"/>
        <c:tickLblPos val="low"/>
        <c:txPr>
          <a:bodyPr/>
          <a:lstStyle/>
          <a:p>
            <a:pPr>
              <a:defRPr sz="700" baseline="0">
                <a:latin typeface="Arial" panose="020B0604020202020204" pitchFamily="34" charset="0"/>
                <a:cs typeface="Arial" panose="020B0604020202020204" pitchFamily="34" charset="0"/>
              </a:defRPr>
            </a:pPr>
            <a:endParaRPr lang="en-US"/>
          </a:p>
        </c:txPr>
        <c:crossAx val="623223288"/>
        <c:crosses val="autoZero"/>
        <c:crossBetween val="between"/>
      </c:valAx>
    </c:plotArea>
    <c:legend>
      <c:legendPos val="l"/>
      <c:layout>
        <c:manualLayout>
          <c:xMode val="edge"/>
          <c:yMode val="edge"/>
          <c:x val="0.40858557847364291"/>
          <c:y val="0.35590642872697681"/>
          <c:w val="0.25444338737863431"/>
          <c:h val="0.27544540996120531"/>
        </c:manualLayout>
      </c:layout>
      <c:overlay val="1"/>
      <c:spPr>
        <a:solidFill>
          <a:schemeClr val="bg1"/>
        </a:solidFill>
      </c:spPr>
      <c:txPr>
        <a:bodyPr/>
        <a:lstStyle/>
        <a:p>
          <a:pPr>
            <a:defRPr sz="800"/>
          </a:pPr>
          <a:endParaRPr lang="en-US"/>
        </a:p>
      </c:txPr>
    </c:legend>
    <c:plotVisOnly val="1"/>
    <c:dispBlanksAs val="gap"/>
    <c:showDLblsOverMax val="0"/>
  </c:chart>
  <c:spPr>
    <a:ln w="15875">
      <a:solidFill>
        <a:sysClr val="windowText" lastClr="000000"/>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063684747739924"/>
          <c:y val="4.3650793650793704E-2"/>
          <c:w val="0.82232611548556434"/>
          <c:h val="0.77970222472190953"/>
        </c:manualLayout>
      </c:layout>
      <c:scatterChart>
        <c:scatterStyle val="lineMarker"/>
        <c:varyColors val="0"/>
        <c:ser>
          <c:idx val="0"/>
          <c:order val="0"/>
          <c:tx>
            <c:strRef>
              <c:f>Лист1!$B$1</c:f>
              <c:strCache>
                <c:ptCount val="1"/>
                <c:pt idx="0">
                  <c:v>P-P   FS Systems 
Channel Separation 40 MHz</c:v>
                </c:pt>
              </c:strCache>
            </c:strRef>
          </c:tx>
          <c:spPr>
            <a:ln>
              <a:solidFill>
                <a:srgbClr val="0070C0"/>
              </a:solidFill>
              <a:prstDash val="solid"/>
            </a:ln>
          </c:spPr>
          <c:marker>
            <c:symbol val="none"/>
          </c:marker>
          <c:xVal>
            <c:numRef>
              <c:f>Лист1!$A$2:$A$6</c:f>
              <c:numCache>
                <c:formatCode>0</c:formatCode>
                <c:ptCount val="5"/>
                <c:pt idx="0">
                  <c:v>0</c:v>
                </c:pt>
                <c:pt idx="1">
                  <c:v>10</c:v>
                </c:pt>
                <c:pt idx="2">
                  <c:v>20</c:v>
                </c:pt>
                <c:pt idx="3">
                  <c:v>30</c:v>
                </c:pt>
                <c:pt idx="4">
                  <c:v>40</c:v>
                </c:pt>
              </c:numCache>
            </c:numRef>
          </c:xVal>
          <c:yVal>
            <c:numRef>
              <c:f>Лист1!$B$2:$B$6</c:f>
              <c:numCache>
                <c:formatCode>0.0</c:formatCode>
                <c:ptCount val="5"/>
                <c:pt idx="0">
                  <c:v>1.0000000000000005E-2</c:v>
                </c:pt>
                <c:pt idx="1">
                  <c:v>1.1000000000000001</c:v>
                </c:pt>
                <c:pt idx="2">
                  <c:v>5.6599999999999975</c:v>
                </c:pt>
                <c:pt idx="3">
                  <c:v>28.34</c:v>
                </c:pt>
                <c:pt idx="4">
                  <c:v>46</c:v>
                </c:pt>
              </c:numCache>
            </c:numRef>
          </c:yVal>
          <c:smooth val="0"/>
        </c:ser>
        <c:ser>
          <c:idx val="1"/>
          <c:order val="1"/>
          <c:tx>
            <c:strRef>
              <c:f>Лист1!$C$1</c:f>
              <c:strCache>
                <c:ptCount val="1"/>
                <c:pt idx="0">
                  <c:v>P-P   FS Systems Channel
Separation 29.65 MHz</c:v>
                </c:pt>
              </c:strCache>
            </c:strRef>
          </c:tx>
          <c:spPr>
            <a:ln>
              <a:solidFill>
                <a:srgbClr val="FF0000"/>
              </a:solidFill>
            </a:ln>
          </c:spPr>
          <c:marker>
            <c:symbol val="none"/>
          </c:marker>
          <c:xVal>
            <c:numRef>
              <c:f>Лист1!$A$2:$A$6</c:f>
              <c:numCache>
                <c:formatCode>0</c:formatCode>
                <c:ptCount val="5"/>
                <c:pt idx="0">
                  <c:v>0</c:v>
                </c:pt>
                <c:pt idx="1">
                  <c:v>10</c:v>
                </c:pt>
                <c:pt idx="2">
                  <c:v>20</c:v>
                </c:pt>
                <c:pt idx="3">
                  <c:v>30</c:v>
                </c:pt>
                <c:pt idx="4">
                  <c:v>40</c:v>
                </c:pt>
              </c:numCache>
            </c:numRef>
          </c:xVal>
          <c:yVal>
            <c:numRef>
              <c:f>Лист1!$C$2:$C$6</c:f>
              <c:numCache>
                <c:formatCode>0.0</c:formatCode>
                <c:ptCount val="5"/>
                <c:pt idx="0">
                  <c:v>1.0000000000000005E-2</c:v>
                </c:pt>
                <c:pt idx="1">
                  <c:v>1.86</c:v>
                </c:pt>
                <c:pt idx="2">
                  <c:v>8.2000000000000011</c:v>
                </c:pt>
                <c:pt idx="3">
                  <c:v>46.8</c:v>
                </c:pt>
              </c:numCache>
            </c:numRef>
          </c:yVal>
          <c:smooth val="0"/>
        </c:ser>
        <c:dLbls>
          <c:showLegendKey val="0"/>
          <c:showVal val="0"/>
          <c:showCatName val="0"/>
          <c:showSerName val="0"/>
          <c:showPercent val="0"/>
          <c:showBubbleSize val="0"/>
        </c:dLbls>
        <c:axId val="623224856"/>
        <c:axId val="614443040"/>
      </c:scatterChart>
      <c:valAx>
        <c:axId val="623224856"/>
        <c:scaling>
          <c:orientation val="minMax"/>
          <c:max val="45"/>
          <c:min val="0"/>
        </c:scaling>
        <c:delete val="0"/>
        <c:axPos val="b"/>
        <c:majorGridlines/>
        <c:minorGridlines/>
        <c:title>
          <c:tx>
            <c:rich>
              <a:bodyPr/>
              <a:lstStyle/>
              <a:p>
                <a:pPr>
                  <a:defRPr b="0"/>
                </a:pPr>
                <a:r>
                  <a:rPr lang="en-US" b="0">
                    <a:latin typeface="Symbol" panose="05050102010706020507" pitchFamily="18" charset="2"/>
                  </a:rPr>
                  <a:t>D</a:t>
                </a:r>
                <a:r>
                  <a:rPr lang="en-US" b="0" i="1"/>
                  <a:t>f</a:t>
                </a:r>
                <a:r>
                  <a:rPr lang="en-US" b="0"/>
                  <a:t>, MHz</a:t>
                </a:r>
                <a:endParaRPr lang="ru-RU" b="0"/>
              </a:p>
            </c:rich>
          </c:tx>
          <c:layout>
            <c:manualLayout>
              <c:xMode val="edge"/>
              <c:yMode val="edge"/>
              <c:x val="0.49611111111111111"/>
              <c:y val="0.89073397075365557"/>
            </c:manualLayout>
          </c:layout>
          <c:overlay val="0"/>
        </c:title>
        <c:numFmt formatCode="0" sourceLinked="1"/>
        <c:majorTickMark val="none"/>
        <c:minorTickMark val="none"/>
        <c:tickLblPos val="nextTo"/>
        <c:txPr>
          <a:bodyPr/>
          <a:lstStyle/>
          <a:p>
            <a:pPr>
              <a:defRPr sz="800" b="0">
                <a:latin typeface="+mn-lt"/>
                <a:cs typeface="Arial" panose="020B0604020202020204" pitchFamily="34" charset="0"/>
              </a:defRPr>
            </a:pPr>
            <a:endParaRPr lang="en-US"/>
          </a:p>
        </c:txPr>
        <c:crossAx val="614443040"/>
        <c:crosses val="autoZero"/>
        <c:crossBetween val="midCat"/>
        <c:majorUnit val="5"/>
        <c:minorUnit val="1"/>
      </c:valAx>
      <c:valAx>
        <c:axId val="614443040"/>
        <c:scaling>
          <c:orientation val="minMax"/>
          <c:max val="50"/>
          <c:min val="0"/>
        </c:scaling>
        <c:delete val="0"/>
        <c:axPos val="l"/>
        <c:majorGridlines/>
        <c:minorGridlines/>
        <c:title>
          <c:tx>
            <c:rich>
              <a:bodyPr rot="-5400000" vert="horz" anchor="ctr" anchorCtr="0"/>
              <a:lstStyle/>
              <a:p>
                <a:pPr>
                  <a:defRPr b="0"/>
                </a:pPr>
                <a:r>
                  <a:rPr lang="en-US" sz="1000" b="0" i="1">
                    <a:latin typeface="+mn-lt"/>
                    <a:cs typeface="Arial" panose="020B0604020202020204" pitchFamily="34" charset="0"/>
                  </a:rPr>
                  <a:t>MD</a:t>
                </a:r>
                <a:r>
                  <a:rPr lang="en-US" sz="1000" b="0">
                    <a:latin typeface="+mn-lt"/>
                    <a:cs typeface="Arial" panose="020B0604020202020204" pitchFamily="34" charset="0"/>
                  </a:rPr>
                  <a:t>+</a:t>
                </a:r>
                <a:r>
                  <a:rPr lang="en-US" sz="1000" b="0" i="1">
                    <a:latin typeface="+mn-lt"/>
                    <a:cs typeface="Arial" panose="020B0604020202020204" pitchFamily="34" charset="0"/>
                  </a:rPr>
                  <a:t>NFD</a:t>
                </a:r>
                <a:r>
                  <a:rPr lang="en-US" sz="1000" b="0">
                    <a:latin typeface="+mn-lt"/>
                    <a:cs typeface="Arial" panose="020B0604020202020204" pitchFamily="34" charset="0"/>
                  </a:rPr>
                  <a:t>(</a:t>
                </a:r>
                <a:r>
                  <a:rPr lang="en-US" sz="1000" b="0">
                    <a:latin typeface="Symbol" panose="05050102010706020507" pitchFamily="18" charset="2"/>
                    <a:cs typeface="Arial" panose="020B0604020202020204" pitchFamily="34" charset="0"/>
                  </a:rPr>
                  <a:t>D</a:t>
                </a:r>
                <a:r>
                  <a:rPr lang="en-US" sz="1000" b="0" i="1">
                    <a:latin typeface="+mn-lt"/>
                    <a:cs typeface="Arial" panose="020B0604020202020204" pitchFamily="34" charset="0"/>
                  </a:rPr>
                  <a:t>f</a:t>
                </a:r>
                <a:r>
                  <a:rPr lang="en-US" sz="900" b="0">
                    <a:latin typeface="Arial" panose="020B0604020202020204" pitchFamily="34" charset="0"/>
                    <a:cs typeface="Arial" panose="020B0604020202020204" pitchFamily="34" charset="0"/>
                  </a:rPr>
                  <a:t>), dB</a:t>
                </a:r>
                <a:endParaRPr lang="ru-RU" sz="900" b="0">
                  <a:latin typeface="Arial" panose="020B0604020202020204" pitchFamily="34" charset="0"/>
                  <a:cs typeface="Arial" panose="020B0604020202020204" pitchFamily="34" charset="0"/>
                </a:endParaRPr>
              </a:p>
            </c:rich>
          </c:tx>
          <c:layout>
            <c:manualLayout>
              <c:xMode val="edge"/>
              <c:yMode val="edge"/>
              <c:x val="2.4305555555555556E-2"/>
              <c:y val="0.31274778152730931"/>
            </c:manualLayout>
          </c:layout>
          <c:overlay val="0"/>
        </c:title>
        <c:numFmt formatCode="0.0" sourceLinked="1"/>
        <c:majorTickMark val="none"/>
        <c:minorTickMark val="none"/>
        <c:tickLblPos val="nextTo"/>
        <c:txPr>
          <a:bodyPr/>
          <a:lstStyle/>
          <a:p>
            <a:pPr>
              <a:defRPr sz="800" b="0">
                <a:latin typeface="+mn-lt"/>
                <a:cs typeface="Arial" panose="020B0604020202020204" pitchFamily="34" charset="0"/>
              </a:defRPr>
            </a:pPr>
            <a:endParaRPr lang="en-US"/>
          </a:p>
        </c:txPr>
        <c:crossAx val="623224856"/>
        <c:crosses val="autoZero"/>
        <c:crossBetween val="midCat"/>
        <c:majorUnit val="5"/>
        <c:minorUnit val="1"/>
      </c:valAx>
      <c:spPr>
        <a:solidFill>
          <a:schemeClr val="bg1"/>
        </a:solidFill>
      </c:spPr>
    </c:plotArea>
    <c:legend>
      <c:legendPos val="l"/>
      <c:layout>
        <c:manualLayout>
          <c:xMode val="edge"/>
          <c:yMode val="edge"/>
          <c:x val="0.18027847870367555"/>
          <c:y val="0.15901449818772764"/>
          <c:w val="0.3375532788131213"/>
          <c:h val="0.27943139107611525"/>
        </c:manualLayout>
      </c:layout>
      <c:overlay val="1"/>
      <c:spPr>
        <a:solidFill>
          <a:schemeClr val="bg1"/>
        </a:solidFill>
      </c:spPr>
      <c:txPr>
        <a:bodyPr/>
        <a:lstStyle/>
        <a:p>
          <a:pPr>
            <a:defRPr sz="800" b="0"/>
          </a:pPr>
          <a:endParaRPr lang="en-US"/>
        </a:p>
      </c:txPr>
    </c:legend>
    <c:plotVisOnly val="1"/>
    <c:dispBlanksAs val="gap"/>
    <c:showDLblsOverMax val="0"/>
  </c:chart>
  <c:spPr>
    <a:ln w="15875">
      <a:solidFill>
        <a:schemeClr val="tx1"/>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a:effectLst/>
              </a:rPr>
              <a:t>(</a:t>
            </a:r>
            <a:r>
              <a:rPr lang="fr-FR" sz="700" b="1" i="1">
                <a:effectLst/>
              </a:rPr>
              <a:t>I</a:t>
            </a:r>
            <a:r>
              <a:rPr lang="fr-FR" sz="700" b="1">
                <a:effectLst/>
              </a:rPr>
              <a:t>/</a:t>
            </a:r>
            <a:r>
              <a:rPr lang="fr-FR" sz="700" b="1" i="1">
                <a:effectLst/>
              </a:rPr>
              <a:t>N</a:t>
            </a:r>
            <a:r>
              <a:rPr lang="fr-FR" sz="700" b="1">
                <a:effectLst/>
              </a:rPr>
              <a:t>) </a:t>
            </a:r>
            <a:r>
              <a:rPr lang="en-GB" sz="700" b="1" i="1" u="none" strike="noStrike" baseline="-25000">
                <a:effectLst/>
              </a:rPr>
              <a:t>required</a:t>
            </a:r>
            <a:r>
              <a:rPr lang="fr-FR" sz="700" b="1" baseline="0">
                <a:effectLst/>
              </a:rPr>
              <a:t>  = -10 dB</a:t>
            </a:r>
            <a:endParaRPr lang="fr-FR" sz="700" b="1">
              <a:effectLst/>
            </a:endParaRPr>
          </a:p>
          <a:p>
            <a:pPr algn="l">
              <a:defRPr sz="700"/>
            </a:pPr>
            <a:r>
              <a:rPr lang="fr-FR" sz="700" b="1">
                <a:effectLst/>
              </a:rPr>
              <a:t>Channel Separation 40 MHz;           </a:t>
            </a:r>
            <a:endParaRPr lang="en-US" sz="700" b="1"/>
          </a:p>
          <a:p>
            <a:pPr algn="l">
              <a:defRPr sz="700"/>
            </a:pPr>
            <a:r>
              <a:rPr lang="en-GB" sz="700" b="1" i="0" u="none" strike="noStrike" baseline="0">
                <a:effectLst/>
              </a:rPr>
              <a:t>Co‑channel (</a:t>
            </a:r>
            <a:r>
              <a:rPr lang="en-US" sz="700" b="1" i="1"/>
              <a:t>MD </a:t>
            </a:r>
            <a:r>
              <a:rPr lang="en-US" sz="700" b="1"/>
              <a:t>+ </a:t>
            </a:r>
            <a:r>
              <a:rPr lang="en-US" sz="700" b="1" i="1"/>
              <a:t>NFD</a:t>
            </a:r>
            <a:r>
              <a:rPr lang="en-US" sz="700" b="1"/>
              <a:t>(</a:t>
            </a:r>
            <a:r>
              <a:rPr lang="en-US" sz="700" b="1">
                <a:latin typeface="Symbol" panose="05050102010706020507" pitchFamily="18" charset="2"/>
                <a:ea typeface="SimSun" panose="02010600030101010101" pitchFamily="2" charset="-122"/>
              </a:rPr>
              <a:t>D</a:t>
            </a:r>
            <a:r>
              <a:rPr lang="en-US" sz="700" b="1" i="1"/>
              <a:t>f</a:t>
            </a:r>
            <a:r>
              <a:rPr lang="en-US" sz="700" b="1"/>
              <a:t>)</a:t>
            </a:r>
            <a:r>
              <a:rPr lang="en-US" sz="700" b="1" baseline="0"/>
              <a:t> = 0 dB);</a:t>
            </a:r>
          </a:p>
          <a:p>
            <a:pPr algn="l">
              <a:defRPr sz="700"/>
            </a:pPr>
            <a:r>
              <a:rPr lang="ru-RU" sz="700" b="1" i="1" u="none" strike="noStrike" baseline="0">
                <a:effectLst/>
              </a:rPr>
              <a:t> </a:t>
            </a:r>
            <a:r>
              <a:rPr lang="en-GB" sz="700" b="1" i="1" u="none" strike="noStrike" baseline="0">
                <a:effectLst/>
              </a:rPr>
              <a:t>a</a:t>
            </a:r>
            <a:r>
              <a:rPr lang="en-GB" sz="700" b="1" i="1" u="none" strike="noStrike" baseline="-25000">
                <a:effectLst/>
              </a:rPr>
              <a:t>indoor</a:t>
            </a:r>
            <a:r>
              <a:rPr lang="en-GB" sz="700" b="1" i="1" u="none" strike="noStrike" baseline="0">
                <a:effectLst/>
              </a:rPr>
              <a:t> </a:t>
            </a:r>
            <a:r>
              <a:rPr lang="en-GB" sz="700" b="1" i="0" u="none" strike="noStrike" baseline="0">
                <a:effectLst/>
              </a:rPr>
              <a:t>= 25 dB</a:t>
            </a:r>
            <a:endParaRPr lang="ru-RU" sz="700"/>
          </a:p>
        </c:rich>
      </c:tx>
      <c:layout>
        <c:manualLayout>
          <c:xMode val="edge"/>
          <c:yMode val="edge"/>
          <c:x val="0.16623742606336891"/>
          <c:y val="1.3748568212015958E-2"/>
        </c:manualLayout>
      </c:layout>
      <c:overlay val="0"/>
    </c:title>
    <c:autoTitleDeleted val="0"/>
    <c:plotArea>
      <c:layout>
        <c:manualLayout>
          <c:layoutTarget val="inner"/>
          <c:xMode val="edge"/>
          <c:yMode val="edge"/>
          <c:x val="0.12351436169981241"/>
          <c:y val="0.16426770977952079"/>
          <c:w val="0.82787445101700663"/>
          <c:h val="0.73681908386728823"/>
        </c:manualLayout>
      </c:layout>
      <c:scatterChart>
        <c:scatterStyle val="lineMarker"/>
        <c:varyColors val="0"/>
        <c:ser>
          <c:idx val="0"/>
          <c:order val="0"/>
          <c:tx>
            <c:strRef>
              <c:f>Лист1!$B$1</c:f>
              <c:strCache>
                <c:ptCount val="1"/>
                <c:pt idx="0">
                  <c:v>additional losses to account for clutter shielding the transmitter BS IMT system AhTx = 0 dB</c:v>
                </c:pt>
              </c:strCache>
            </c:strRef>
          </c:tx>
          <c:spPr>
            <a:ln>
              <a:solidFill>
                <a:srgbClr val="FF0000"/>
              </a:solidFill>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49.7</c:v>
                </c:pt>
                <c:pt idx="1">
                  <c:v>14.860000000000021</c:v>
                </c:pt>
                <c:pt idx="2">
                  <c:v>4.8599999999999985</c:v>
                </c:pt>
                <c:pt idx="3">
                  <c:v>2.88</c:v>
                </c:pt>
                <c:pt idx="4">
                  <c:v>2</c:v>
                </c:pt>
                <c:pt idx="5">
                  <c:v>1.52</c:v>
                </c:pt>
                <c:pt idx="6">
                  <c:v>1.2</c:v>
                </c:pt>
                <c:pt idx="7">
                  <c:v>1</c:v>
                </c:pt>
                <c:pt idx="8">
                  <c:v>0.84000000000000064</c:v>
                </c:pt>
                <c:pt idx="9">
                  <c:v>0.72000000000000064</c:v>
                </c:pt>
                <c:pt idx="10">
                  <c:v>0.64000000000000146</c:v>
                </c:pt>
                <c:pt idx="11">
                  <c:v>0.56000000000000005</c:v>
                </c:pt>
                <c:pt idx="12">
                  <c:v>0.5</c:v>
                </c:pt>
                <c:pt idx="13">
                  <c:v>0.46</c:v>
                </c:pt>
                <c:pt idx="14">
                  <c:v>0.42000000000000032</c:v>
                </c:pt>
                <c:pt idx="15">
                  <c:v>0.38000000000000073</c:v>
                </c:pt>
                <c:pt idx="16">
                  <c:v>0.36000000000000032</c:v>
                </c:pt>
                <c:pt idx="17">
                  <c:v>0.34</c:v>
                </c:pt>
                <c:pt idx="18">
                  <c:v>0.30000000000000032</c:v>
                </c:pt>
                <c:pt idx="19">
                  <c:v>0.28000000000000008</c:v>
                </c:pt>
                <c:pt idx="20">
                  <c:v>0.28000000000000008</c:v>
                </c:pt>
                <c:pt idx="21">
                  <c:v>0.26</c:v>
                </c:pt>
                <c:pt idx="22">
                  <c:v>0.24000000000000021</c:v>
                </c:pt>
                <c:pt idx="23">
                  <c:v>0.24000000000000021</c:v>
                </c:pt>
                <c:pt idx="24">
                  <c:v>0.22</c:v>
                </c:pt>
                <c:pt idx="25">
                  <c:v>0.2</c:v>
                </c:pt>
                <c:pt idx="26">
                  <c:v>0.2</c:v>
                </c:pt>
                <c:pt idx="27">
                  <c:v>0.2</c:v>
                </c:pt>
                <c:pt idx="28">
                  <c:v>0.18000000000000024</c:v>
                </c:pt>
                <c:pt idx="29">
                  <c:v>0.18000000000000024</c:v>
                </c:pt>
                <c:pt idx="30">
                  <c:v>0.16</c:v>
                </c:pt>
                <c:pt idx="31">
                  <c:v>0.16</c:v>
                </c:pt>
                <c:pt idx="32">
                  <c:v>0.16</c:v>
                </c:pt>
                <c:pt idx="33">
                  <c:v>0.16</c:v>
                </c:pt>
                <c:pt idx="34">
                  <c:v>0.14000000000000001</c:v>
                </c:pt>
                <c:pt idx="35">
                  <c:v>0.14000000000000001</c:v>
                </c:pt>
                <c:pt idx="36">
                  <c:v>0.14000000000000001</c:v>
                </c:pt>
                <c:pt idx="37">
                  <c:v>0.14000000000000001</c:v>
                </c:pt>
                <c:pt idx="38">
                  <c:v>0.12000000000000002</c:v>
                </c:pt>
                <c:pt idx="39">
                  <c:v>0.12000000000000002</c:v>
                </c:pt>
                <c:pt idx="40">
                  <c:v>0.12000000000000002</c:v>
                </c:pt>
                <c:pt idx="41">
                  <c:v>0.12000000000000002</c:v>
                </c:pt>
                <c:pt idx="42">
                  <c:v>0.12000000000000002</c:v>
                </c:pt>
                <c:pt idx="43">
                  <c:v>0.12000000000000002</c:v>
                </c:pt>
                <c:pt idx="44">
                  <c:v>8.0000000000000043E-2</c:v>
                </c:pt>
                <c:pt idx="45">
                  <c:v>8.0000000000000043E-2</c:v>
                </c:pt>
                <c:pt idx="46">
                  <c:v>8.0000000000000043E-2</c:v>
                </c:pt>
                <c:pt idx="47">
                  <c:v>8.0000000000000043E-2</c:v>
                </c:pt>
                <c:pt idx="48">
                  <c:v>8.0000000000000043E-2</c:v>
                </c:pt>
                <c:pt idx="49">
                  <c:v>8.0000000000000043E-2</c:v>
                </c:pt>
                <c:pt idx="50">
                  <c:v>8.0000000000000043E-2</c:v>
                </c:pt>
                <c:pt idx="51">
                  <c:v>8.0000000000000043E-2</c:v>
                </c:pt>
                <c:pt idx="52">
                  <c:v>8.0000000000000043E-2</c:v>
                </c:pt>
                <c:pt idx="53">
                  <c:v>8.0000000000000043E-2</c:v>
                </c:pt>
                <c:pt idx="54">
                  <c:v>8.0000000000000043E-2</c:v>
                </c:pt>
                <c:pt idx="55">
                  <c:v>8.0000000000000043E-2</c:v>
                </c:pt>
                <c:pt idx="56">
                  <c:v>8.0000000000000043E-2</c:v>
                </c:pt>
                <c:pt idx="57">
                  <c:v>8.0000000000000043E-2</c:v>
                </c:pt>
                <c:pt idx="58">
                  <c:v>8.0000000000000043E-2</c:v>
                </c:pt>
                <c:pt idx="59">
                  <c:v>8.0000000000000043E-2</c:v>
                </c:pt>
                <c:pt idx="60">
                  <c:v>8.0000000000000043E-2</c:v>
                </c:pt>
                <c:pt idx="61">
                  <c:v>8.0000000000000043E-2</c:v>
                </c:pt>
                <c:pt idx="62">
                  <c:v>8.0000000000000043E-2</c:v>
                </c:pt>
                <c:pt idx="63">
                  <c:v>8.0000000000000043E-2</c:v>
                </c:pt>
                <c:pt idx="64">
                  <c:v>8.0000000000000043E-2</c:v>
                </c:pt>
                <c:pt idx="65">
                  <c:v>8.0000000000000043E-2</c:v>
                </c:pt>
                <c:pt idx="66">
                  <c:v>8.0000000000000043E-2</c:v>
                </c:pt>
                <c:pt idx="67">
                  <c:v>8.0000000000000043E-2</c:v>
                </c:pt>
                <c:pt idx="68">
                  <c:v>8.0000000000000043E-2</c:v>
                </c:pt>
                <c:pt idx="69">
                  <c:v>8.0000000000000043E-2</c:v>
                </c:pt>
                <c:pt idx="70">
                  <c:v>8.0000000000000043E-2</c:v>
                </c:pt>
                <c:pt idx="71">
                  <c:v>8.0000000000000043E-2</c:v>
                </c:pt>
                <c:pt idx="72">
                  <c:v>8.0000000000000043E-2</c:v>
                </c:pt>
                <c:pt idx="73">
                  <c:v>8.0000000000000043E-2</c:v>
                </c:pt>
                <c:pt idx="74">
                  <c:v>8.0000000000000043E-2</c:v>
                </c:pt>
                <c:pt idx="75">
                  <c:v>8.0000000000000043E-2</c:v>
                </c:pt>
                <c:pt idx="76">
                  <c:v>8.0000000000000043E-2</c:v>
                </c:pt>
                <c:pt idx="77">
                  <c:v>8.0000000000000043E-2</c:v>
                </c:pt>
                <c:pt idx="78">
                  <c:v>8.0000000000000043E-2</c:v>
                </c:pt>
                <c:pt idx="79">
                  <c:v>8.0000000000000043E-2</c:v>
                </c:pt>
                <c:pt idx="80">
                  <c:v>8.0000000000000043E-2</c:v>
                </c:pt>
                <c:pt idx="81">
                  <c:v>8.0000000000000043E-2</c:v>
                </c:pt>
                <c:pt idx="82">
                  <c:v>8.0000000000000043E-2</c:v>
                </c:pt>
                <c:pt idx="83">
                  <c:v>8.0000000000000043E-2</c:v>
                </c:pt>
                <c:pt idx="84">
                  <c:v>8.0000000000000043E-2</c:v>
                </c:pt>
                <c:pt idx="85">
                  <c:v>8.0000000000000043E-2</c:v>
                </c:pt>
                <c:pt idx="86">
                  <c:v>8.0000000000000043E-2</c:v>
                </c:pt>
                <c:pt idx="87">
                  <c:v>8.0000000000000043E-2</c:v>
                </c:pt>
                <c:pt idx="88">
                  <c:v>8.0000000000000043E-2</c:v>
                </c:pt>
                <c:pt idx="89">
                  <c:v>8.0000000000000043E-2</c:v>
                </c:pt>
                <c:pt idx="90">
                  <c:v>8.0000000000000043E-2</c:v>
                </c:pt>
                <c:pt idx="91">
                  <c:v>8.0000000000000043E-2</c:v>
                </c:pt>
                <c:pt idx="92">
                  <c:v>8.0000000000000043E-2</c:v>
                </c:pt>
                <c:pt idx="93">
                  <c:v>8.0000000000000043E-2</c:v>
                </c:pt>
                <c:pt idx="94">
                  <c:v>8.0000000000000043E-2</c:v>
                </c:pt>
                <c:pt idx="95">
                  <c:v>8.0000000000000043E-2</c:v>
                </c:pt>
                <c:pt idx="96">
                  <c:v>8.0000000000000043E-2</c:v>
                </c:pt>
                <c:pt idx="97">
                  <c:v>8.0000000000000043E-2</c:v>
                </c:pt>
                <c:pt idx="98">
                  <c:v>8.0000000000000043E-2</c:v>
                </c:pt>
                <c:pt idx="99">
                  <c:v>8.0000000000000043E-2</c:v>
                </c:pt>
                <c:pt idx="100">
                  <c:v>8.0000000000000043E-2</c:v>
                </c:pt>
                <c:pt idx="101">
                  <c:v>8.0000000000000043E-2</c:v>
                </c:pt>
                <c:pt idx="102">
                  <c:v>8.0000000000000043E-2</c:v>
                </c:pt>
                <c:pt idx="103">
                  <c:v>8.0000000000000043E-2</c:v>
                </c:pt>
                <c:pt idx="104">
                  <c:v>8.0000000000000043E-2</c:v>
                </c:pt>
                <c:pt idx="105">
                  <c:v>8.0000000000000043E-2</c:v>
                </c:pt>
                <c:pt idx="106">
                  <c:v>8.0000000000000043E-2</c:v>
                </c:pt>
                <c:pt idx="107">
                  <c:v>8.0000000000000043E-2</c:v>
                </c:pt>
                <c:pt idx="108">
                  <c:v>8.0000000000000043E-2</c:v>
                </c:pt>
                <c:pt idx="109">
                  <c:v>8.0000000000000043E-2</c:v>
                </c:pt>
                <c:pt idx="110">
                  <c:v>8.0000000000000043E-2</c:v>
                </c:pt>
                <c:pt idx="111">
                  <c:v>8.0000000000000043E-2</c:v>
                </c:pt>
                <c:pt idx="112">
                  <c:v>8.0000000000000043E-2</c:v>
                </c:pt>
                <c:pt idx="113">
                  <c:v>8.0000000000000043E-2</c:v>
                </c:pt>
                <c:pt idx="114">
                  <c:v>8.0000000000000043E-2</c:v>
                </c:pt>
                <c:pt idx="115">
                  <c:v>8.0000000000000043E-2</c:v>
                </c:pt>
                <c:pt idx="116">
                  <c:v>8.0000000000000043E-2</c:v>
                </c:pt>
                <c:pt idx="117">
                  <c:v>8.0000000000000043E-2</c:v>
                </c:pt>
                <c:pt idx="118">
                  <c:v>8.0000000000000043E-2</c:v>
                </c:pt>
                <c:pt idx="119">
                  <c:v>8.0000000000000043E-2</c:v>
                </c:pt>
                <c:pt idx="120">
                  <c:v>8.0000000000000043E-2</c:v>
                </c:pt>
                <c:pt idx="121">
                  <c:v>8.0000000000000043E-2</c:v>
                </c:pt>
                <c:pt idx="122">
                  <c:v>8.0000000000000043E-2</c:v>
                </c:pt>
                <c:pt idx="123">
                  <c:v>8.0000000000000043E-2</c:v>
                </c:pt>
                <c:pt idx="124">
                  <c:v>8.0000000000000043E-2</c:v>
                </c:pt>
                <c:pt idx="125">
                  <c:v>8.0000000000000043E-2</c:v>
                </c:pt>
                <c:pt idx="126">
                  <c:v>8.0000000000000043E-2</c:v>
                </c:pt>
                <c:pt idx="127">
                  <c:v>8.0000000000000043E-2</c:v>
                </c:pt>
                <c:pt idx="128">
                  <c:v>8.0000000000000043E-2</c:v>
                </c:pt>
                <c:pt idx="129">
                  <c:v>8.0000000000000043E-2</c:v>
                </c:pt>
                <c:pt idx="130">
                  <c:v>8.0000000000000043E-2</c:v>
                </c:pt>
                <c:pt idx="131">
                  <c:v>8.0000000000000043E-2</c:v>
                </c:pt>
                <c:pt idx="132">
                  <c:v>8.0000000000000043E-2</c:v>
                </c:pt>
                <c:pt idx="133">
                  <c:v>8.0000000000000043E-2</c:v>
                </c:pt>
                <c:pt idx="134">
                  <c:v>8.0000000000000043E-2</c:v>
                </c:pt>
                <c:pt idx="135">
                  <c:v>8.0000000000000043E-2</c:v>
                </c:pt>
                <c:pt idx="136">
                  <c:v>8.0000000000000043E-2</c:v>
                </c:pt>
                <c:pt idx="137">
                  <c:v>8.0000000000000043E-2</c:v>
                </c:pt>
                <c:pt idx="138">
                  <c:v>8.0000000000000043E-2</c:v>
                </c:pt>
                <c:pt idx="139">
                  <c:v>8.0000000000000043E-2</c:v>
                </c:pt>
                <c:pt idx="140">
                  <c:v>8.0000000000000043E-2</c:v>
                </c:pt>
                <c:pt idx="141">
                  <c:v>8.0000000000000043E-2</c:v>
                </c:pt>
                <c:pt idx="142">
                  <c:v>8.0000000000000043E-2</c:v>
                </c:pt>
                <c:pt idx="143">
                  <c:v>8.0000000000000043E-2</c:v>
                </c:pt>
                <c:pt idx="144">
                  <c:v>8.0000000000000043E-2</c:v>
                </c:pt>
                <c:pt idx="145">
                  <c:v>8.0000000000000043E-2</c:v>
                </c:pt>
                <c:pt idx="146">
                  <c:v>8.0000000000000043E-2</c:v>
                </c:pt>
                <c:pt idx="147">
                  <c:v>8.0000000000000043E-2</c:v>
                </c:pt>
                <c:pt idx="148">
                  <c:v>8.0000000000000043E-2</c:v>
                </c:pt>
                <c:pt idx="149">
                  <c:v>8.0000000000000043E-2</c:v>
                </c:pt>
                <c:pt idx="150">
                  <c:v>8.0000000000000043E-2</c:v>
                </c:pt>
                <c:pt idx="151">
                  <c:v>8.0000000000000043E-2</c:v>
                </c:pt>
                <c:pt idx="152">
                  <c:v>8.0000000000000043E-2</c:v>
                </c:pt>
                <c:pt idx="153">
                  <c:v>8.0000000000000043E-2</c:v>
                </c:pt>
                <c:pt idx="154">
                  <c:v>8.0000000000000043E-2</c:v>
                </c:pt>
                <c:pt idx="155">
                  <c:v>8.0000000000000043E-2</c:v>
                </c:pt>
                <c:pt idx="156">
                  <c:v>8.0000000000000043E-2</c:v>
                </c:pt>
                <c:pt idx="157">
                  <c:v>8.0000000000000043E-2</c:v>
                </c:pt>
                <c:pt idx="158">
                  <c:v>8.0000000000000043E-2</c:v>
                </c:pt>
                <c:pt idx="159">
                  <c:v>8.0000000000000043E-2</c:v>
                </c:pt>
                <c:pt idx="160">
                  <c:v>8.0000000000000043E-2</c:v>
                </c:pt>
                <c:pt idx="161">
                  <c:v>8.0000000000000043E-2</c:v>
                </c:pt>
                <c:pt idx="162">
                  <c:v>8.0000000000000043E-2</c:v>
                </c:pt>
                <c:pt idx="163">
                  <c:v>8.0000000000000043E-2</c:v>
                </c:pt>
                <c:pt idx="164">
                  <c:v>8.0000000000000043E-2</c:v>
                </c:pt>
                <c:pt idx="165">
                  <c:v>8.0000000000000043E-2</c:v>
                </c:pt>
                <c:pt idx="166">
                  <c:v>8.0000000000000043E-2</c:v>
                </c:pt>
                <c:pt idx="167">
                  <c:v>8.0000000000000043E-2</c:v>
                </c:pt>
                <c:pt idx="168">
                  <c:v>8.0000000000000043E-2</c:v>
                </c:pt>
                <c:pt idx="169">
                  <c:v>8.0000000000000043E-2</c:v>
                </c:pt>
                <c:pt idx="170">
                  <c:v>8.0000000000000043E-2</c:v>
                </c:pt>
                <c:pt idx="171">
                  <c:v>8.0000000000000043E-2</c:v>
                </c:pt>
                <c:pt idx="172">
                  <c:v>8.0000000000000043E-2</c:v>
                </c:pt>
                <c:pt idx="173">
                  <c:v>8.0000000000000043E-2</c:v>
                </c:pt>
                <c:pt idx="174">
                  <c:v>8.0000000000000043E-2</c:v>
                </c:pt>
                <c:pt idx="175">
                  <c:v>8.0000000000000043E-2</c:v>
                </c:pt>
                <c:pt idx="176">
                  <c:v>8.0000000000000043E-2</c:v>
                </c:pt>
                <c:pt idx="177">
                  <c:v>8.0000000000000043E-2</c:v>
                </c:pt>
                <c:pt idx="178">
                  <c:v>8.0000000000000043E-2</c:v>
                </c:pt>
                <c:pt idx="179">
                  <c:v>8.0000000000000043E-2</c:v>
                </c:pt>
                <c:pt idx="180">
                  <c:v>8.0000000000000043E-2</c:v>
                </c:pt>
              </c:numCache>
            </c:numRef>
          </c:yVal>
          <c:smooth val="0"/>
        </c:ser>
        <c:ser>
          <c:idx val="1"/>
          <c:order val="1"/>
          <c:tx>
            <c:strRef>
              <c:f>Лист1!$C$1</c:f>
              <c:strCache>
                <c:ptCount val="1"/>
                <c:pt idx="0">
                  <c:v>additional losses to account for clutter shielding the transmitter BS IMT systemAhTx = 10 dB</c:v>
                </c:pt>
              </c:strCache>
            </c:strRef>
          </c:tx>
          <c:spPr>
            <a:ln>
              <a:solidFill>
                <a:srgbClr val="0070C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22.16</c:v>
                </c:pt>
                <c:pt idx="1">
                  <c:v>4.54</c:v>
                </c:pt>
                <c:pt idx="2">
                  <c:v>1.5</c:v>
                </c:pt>
                <c:pt idx="3">
                  <c:v>0.9</c:v>
                </c:pt>
                <c:pt idx="4">
                  <c:v>0.64000000000000146</c:v>
                </c:pt>
                <c:pt idx="5">
                  <c:v>0.48000000000000032</c:v>
                </c:pt>
                <c:pt idx="6">
                  <c:v>0.38000000000000073</c:v>
                </c:pt>
                <c:pt idx="7">
                  <c:v>0.32000000000000073</c:v>
                </c:pt>
                <c:pt idx="8">
                  <c:v>0.28000000000000008</c:v>
                </c:pt>
                <c:pt idx="9">
                  <c:v>0.24000000000000021</c:v>
                </c:pt>
                <c:pt idx="10">
                  <c:v>0.2</c:v>
                </c:pt>
                <c:pt idx="11">
                  <c:v>0.18000000000000024</c:v>
                </c:pt>
                <c:pt idx="12">
                  <c:v>0.16</c:v>
                </c:pt>
                <c:pt idx="13">
                  <c:v>0.16</c:v>
                </c:pt>
                <c:pt idx="14">
                  <c:v>0.14000000000000001</c:v>
                </c:pt>
                <c:pt idx="15">
                  <c:v>0.12000000000000002</c:v>
                </c:pt>
                <c:pt idx="16">
                  <c:v>0.12000000000000002</c:v>
                </c:pt>
                <c:pt idx="17">
                  <c:v>0.12000000000000002</c:v>
                </c:pt>
                <c:pt idx="18">
                  <c:v>8.0000000000000043E-2</c:v>
                </c:pt>
                <c:pt idx="19">
                  <c:v>8.0000000000000043E-2</c:v>
                </c:pt>
                <c:pt idx="20">
                  <c:v>8.0000000000000043E-2</c:v>
                </c:pt>
                <c:pt idx="21">
                  <c:v>8.0000000000000043E-2</c:v>
                </c:pt>
                <c:pt idx="22">
                  <c:v>8.0000000000000043E-2</c:v>
                </c:pt>
                <c:pt idx="23">
                  <c:v>8.0000000000000043E-2</c:v>
                </c:pt>
                <c:pt idx="24">
                  <c:v>8.0000000000000043E-2</c:v>
                </c:pt>
                <c:pt idx="25">
                  <c:v>8.0000000000000043E-2</c:v>
                </c:pt>
                <c:pt idx="26">
                  <c:v>4.0000000000000022E-2</c:v>
                </c:pt>
                <c:pt idx="27">
                  <c:v>4.0000000000000022E-2</c:v>
                </c:pt>
                <c:pt idx="28">
                  <c:v>4.0000000000000022E-2</c:v>
                </c:pt>
                <c:pt idx="29">
                  <c:v>4.0000000000000022E-2</c:v>
                </c:pt>
                <c:pt idx="30">
                  <c:v>4.0000000000000022E-2</c:v>
                </c:pt>
                <c:pt idx="31">
                  <c:v>4.0000000000000022E-2</c:v>
                </c:pt>
                <c:pt idx="32">
                  <c:v>4.0000000000000022E-2</c:v>
                </c:pt>
                <c:pt idx="33">
                  <c:v>4.0000000000000022E-2</c:v>
                </c:pt>
                <c:pt idx="34">
                  <c:v>4.0000000000000022E-2</c:v>
                </c:pt>
                <c:pt idx="35">
                  <c:v>4.0000000000000022E-2</c:v>
                </c:pt>
                <c:pt idx="36">
                  <c:v>4.0000000000000022E-2</c:v>
                </c:pt>
                <c:pt idx="37">
                  <c:v>4.0000000000000022E-2</c:v>
                </c:pt>
                <c:pt idx="38">
                  <c:v>4.0000000000000022E-2</c:v>
                </c:pt>
                <c:pt idx="39">
                  <c:v>4.0000000000000022E-2</c:v>
                </c:pt>
                <c:pt idx="40">
                  <c:v>4.0000000000000022E-2</c:v>
                </c:pt>
                <c:pt idx="41">
                  <c:v>4.0000000000000022E-2</c:v>
                </c:pt>
                <c:pt idx="42">
                  <c:v>4.0000000000000022E-2</c:v>
                </c:pt>
                <c:pt idx="43">
                  <c:v>4.0000000000000022E-2</c:v>
                </c:pt>
                <c:pt idx="44">
                  <c:v>4.0000000000000022E-2</c:v>
                </c:pt>
                <c:pt idx="45">
                  <c:v>4.0000000000000022E-2</c:v>
                </c:pt>
                <c:pt idx="46">
                  <c:v>4.0000000000000022E-2</c:v>
                </c:pt>
                <c:pt idx="47">
                  <c:v>4.0000000000000022E-2</c:v>
                </c:pt>
                <c:pt idx="48">
                  <c:v>4.0000000000000022E-2</c:v>
                </c:pt>
                <c:pt idx="49">
                  <c:v>4.0000000000000022E-2</c:v>
                </c:pt>
                <c:pt idx="50">
                  <c:v>4.0000000000000022E-2</c:v>
                </c:pt>
                <c:pt idx="51">
                  <c:v>4.0000000000000022E-2</c:v>
                </c:pt>
                <c:pt idx="52">
                  <c:v>4.0000000000000022E-2</c:v>
                </c:pt>
                <c:pt idx="53">
                  <c:v>4.0000000000000022E-2</c:v>
                </c:pt>
                <c:pt idx="54">
                  <c:v>4.0000000000000022E-2</c:v>
                </c:pt>
                <c:pt idx="55">
                  <c:v>4.0000000000000022E-2</c:v>
                </c:pt>
                <c:pt idx="56">
                  <c:v>4.0000000000000022E-2</c:v>
                </c:pt>
                <c:pt idx="57">
                  <c:v>4.0000000000000022E-2</c:v>
                </c:pt>
                <c:pt idx="58">
                  <c:v>4.0000000000000022E-2</c:v>
                </c:pt>
                <c:pt idx="59">
                  <c:v>4.0000000000000022E-2</c:v>
                </c:pt>
                <c:pt idx="60">
                  <c:v>4.0000000000000022E-2</c:v>
                </c:pt>
                <c:pt idx="61">
                  <c:v>4.0000000000000022E-2</c:v>
                </c:pt>
                <c:pt idx="62">
                  <c:v>4.0000000000000022E-2</c:v>
                </c:pt>
                <c:pt idx="63">
                  <c:v>4.0000000000000022E-2</c:v>
                </c:pt>
                <c:pt idx="64">
                  <c:v>4.0000000000000022E-2</c:v>
                </c:pt>
                <c:pt idx="65">
                  <c:v>4.0000000000000022E-2</c:v>
                </c:pt>
                <c:pt idx="66">
                  <c:v>4.0000000000000022E-2</c:v>
                </c:pt>
                <c:pt idx="67">
                  <c:v>4.0000000000000022E-2</c:v>
                </c:pt>
                <c:pt idx="68">
                  <c:v>4.0000000000000022E-2</c:v>
                </c:pt>
                <c:pt idx="69">
                  <c:v>4.0000000000000022E-2</c:v>
                </c:pt>
                <c:pt idx="70">
                  <c:v>4.0000000000000022E-2</c:v>
                </c:pt>
                <c:pt idx="71">
                  <c:v>4.0000000000000022E-2</c:v>
                </c:pt>
                <c:pt idx="72">
                  <c:v>4.0000000000000022E-2</c:v>
                </c:pt>
                <c:pt idx="73">
                  <c:v>4.0000000000000022E-2</c:v>
                </c:pt>
                <c:pt idx="74">
                  <c:v>4.0000000000000022E-2</c:v>
                </c:pt>
                <c:pt idx="75">
                  <c:v>4.0000000000000022E-2</c:v>
                </c:pt>
                <c:pt idx="76">
                  <c:v>4.0000000000000022E-2</c:v>
                </c:pt>
                <c:pt idx="77">
                  <c:v>4.0000000000000022E-2</c:v>
                </c:pt>
                <c:pt idx="78">
                  <c:v>4.0000000000000022E-2</c:v>
                </c:pt>
                <c:pt idx="79">
                  <c:v>4.0000000000000022E-2</c:v>
                </c:pt>
                <c:pt idx="80">
                  <c:v>4.0000000000000022E-2</c:v>
                </c:pt>
                <c:pt idx="81">
                  <c:v>4.0000000000000022E-2</c:v>
                </c:pt>
                <c:pt idx="82">
                  <c:v>4.0000000000000022E-2</c:v>
                </c:pt>
                <c:pt idx="83">
                  <c:v>4.0000000000000022E-2</c:v>
                </c:pt>
                <c:pt idx="84">
                  <c:v>4.0000000000000022E-2</c:v>
                </c:pt>
                <c:pt idx="85">
                  <c:v>4.0000000000000022E-2</c:v>
                </c:pt>
                <c:pt idx="86">
                  <c:v>4.0000000000000022E-2</c:v>
                </c:pt>
                <c:pt idx="87">
                  <c:v>4.0000000000000022E-2</c:v>
                </c:pt>
                <c:pt idx="88">
                  <c:v>4.0000000000000022E-2</c:v>
                </c:pt>
                <c:pt idx="89">
                  <c:v>4.0000000000000022E-2</c:v>
                </c:pt>
                <c:pt idx="90">
                  <c:v>4.0000000000000022E-2</c:v>
                </c:pt>
                <c:pt idx="91">
                  <c:v>4.0000000000000022E-2</c:v>
                </c:pt>
                <c:pt idx="92">
                  <c:v>4.0000000000000022E-2</c:v>
                </c:pt>
                <c:pt idx="93">
                  <c:v>4.0000000000000022E-2</c:v>
                </c:pt>
                <c:pt idx="94">
                  <c:v>4.0000000000000022E-2</c:v>
                </c:pt>
                <c:pt idx="95">
                  <c:v>4.0000000000000022E-2</c:v>
                </c:pt>
                <c:pt idx="96">
                  <c:v>4.0000000000000022E-2</c:v>
                </c:pt>
                <c:pt idx="97">
                  <c:v>4.0000000000000022E-2</c:v>
                </c:pt>
                <c:pt idx="98">
                  <c:v>4.0000000000000022E-2</c:v>
                </c:pt>
                <c:pt idx="99">
                  <c:v>4.0000000000000022E-2</c:v>
                </c:pt>
                <c:pt idx="100">
                  <c:v>4.0000000000000022E-2</c:v>
                </c:pt>
                <c:pt idx="101">
                  <c:v>4.0000000000000022E-2</c:v>
                </c:pt>
                <c:pt idx="102">
                  <c:v>4.0000000000000022E-2</c:v>
                </c:pt>
                <c:pt idx="103">
                  <c:v>4.0000000000000022E-2</c:v>
                </c:pt>
                <c:pt idx="104">
                  <c:v>4.0000000000000022E-2</c:v>
                </c:pt>
                <c:pt idx="105">
                  <c:v>4.0000000000000022E-2</c:v>
                </c:pt>
                <c:pt idx="106">
                  <c:v>4.0000000000000022E-2</c:v>
                </c:pt>
                <c:pt idx="107">
                  <c:v>4.0000000000000022E-2</c:v>
                </c:pt>
                <c:pt idx="108">
                  <c:v>4.0000000000000022E-2</c:v>
                </c:pt>
                <c:pt idx="109">
                  <c:v>4.0000000000000022E-2</c:v>
                </c:pt>
                <c:pt idx="110">
                  <c:v>4.0000000000000022E-2</c:v>
                </c:pt>
                <c:pt idx="111">
                  <c:v>4.0000000000000022E-2</c:v>
                </c:pt>
                <c:pt idx="112">
                  <c:v>4.0000000000000022E-2</c:v>
                </c:pt>
                <c:pt idx="113">
                  <c:v>4.0000000000000022E-2</c:v>
                </c:pt>
                <c:pt idx="114">
                  <c:v>4.0000000000000022E-2</c:v>
                </c:pt>
                <c:pt idx="115">
                  <c:v>4.0000000000000022E-2</c:v>
                </c:pt>
                <c:pt idx="116">
                  <c:v>4.0000000000000022E-2</c:v>
                </c:pt>
                <c:pt idx="117">
                  <c:v>4.0000000000000022E-2</c:v>
                </c:pt>
                <c:pt idx="118">
                  <c:v>4.0000000000000022E-2</c:v>
                </c:pt>
                <c:pt idx="119">
                  <c:v>4.0000000000000022E-2</c:v>
                </c:pt>
                <c:pt idx="120">
                  <c:v>4.0000000000000022E-2</c:v>
                </c:pt>
                <c:pt idx="121">
                  <c:v>4.0000000000000022E-2</c:v>
                </c:pt>
                <c:pt idx="122">
                  <c:v>4.0000000000000022E-2</c:v>
                </c:pt>
                <c:pt idx="123">
                  <c:v>4.0000000000000022E-2</c:v>
                </c:pt>
                <c:pt idx="124">
                  <c:v>4.0000000000000022E-2</c:v>
                </c:pt>
                <c:pt idx="125">
                  <c:v>4.0000000000000022E-2</c:v>
                </c:pt>
                <c:pt idx="126">
                  <c:v>4.0000000000000022E-2</c:v>
                </c:pt>
                <c:pt idx="127">
                  <c:v>4.0000000000000022E-2</c:v>
                </c:pt>
                <c:pt idx="128">
                  <c:v>4.0000000000000022E-2</c:v>
                </c:pt>
                <c:pt idx="129">
                  <c:v>4.0000000000000022E-2</c:v>
                </c:pt>
                <c:pt idx="130">
                  <c:v>4.0000000000000022E-2</c:v>
                </c:pt>
                <c:pt idx="131">
                  <c:v>4.0000000000000022E-2</c:v>
                </c:pt>
                <c:pt idx="132">
                  <c:v>4.0000000000000022E-2</c:v>
                </c:pt>
                <c:pt idx="133">
                  <c:v>4.0000000000000022E-2</c:v>
                </c:pt>
                <c:pt idx="134">
                  <c:v>4.0000000000000022E-2</c:v>
                </c:pt>
                <c:pt idx="135">
                  <c:v>4.0000000000000022E-2</c:v>
                </c:pt>
                <c:pt idx="136">
                  <c:v>4.0000000000000022E-2</c:v>
                </c:pt>
                <c:pt idx="137">
                  <c:v>4.0000000000000022E-2</c:v>
                </c:pt>
                <c:pt idx="138">
                  <c:v>4.0000000000000022E-2</c:v>
                </c:pt>
                <c:pt idx="139">
                  <c:v>4.0000000000000022E-2</c:v>
                </c:pt>
                <c:pt idx="140">
                  <c:v>4.0000000000000022E-2</c:v>
                </c:pt>
                <c:pt idx="141">
                  <c:v>4.0000000000000022E-2</c:v>
                </c:pt>
                <c:pt idx="142">
                  <c:v>4.0000000000000022E-2</c:v>
                </c:pt>
                <c:pt idx="143">
                  <c:v>4.0000000000000022E-2</c:v>
                </c:pt>
                <c:pt idx="144">
                  <c:v>4.0000000000000022E-2</c:v>
                </c:pt>
                <c:pt idx="145">
                  <c:v>4.0000000000000022E-2</c:v>
                </c:pt>
                <c:pt idx="146">
                  <c:v>4.0000000000000022E-2</c:v>
                </c:pt>
                <c:pt idx="147">
                  <c:v>4.0000000000000022E-2</c:v>
                </c:pt>
                <c:pt idx="148">
                  <c:v>4.0000000000000022E-2</c:v>
                </c:pt>
                <c:pt idx="149">
                  <c:v>4.0000000000000022E-2</c:v>
                </c:pt>
                <c:pt idx="150">
                  <c:v>4.0000000000000022E-2</c:v>
                </c:pt>
                <c:pt idx="151">
                  <c:v>4.0000000000000022E-2</c:v>
                </c:pt>
                <c:pt idx="152">
                  <c:v>4.0000000000000022E-2</c:v>
                </c:pt>
                <c:pt idx="153">
                  <c:v>4.0000000000000022E-2</c:v>
                </c:pt>
                <c:pt idx="154">
                  <c:v>4.0000000000000022E-2</c:v>
                </c:pt>
                <c:pt idx="155">
                  <c:v>4.0000000000000022E-2</c:v>
                </c:pt>
                <c:pt idx="156">
                  <c:v>4.0000000000000022E-2</c:v>
                </c:pt>
                <c:pt idx="157">
                  <c:v>4.0000000000000022E-2</c:v>
                </c:pt>
                <c:pt idx="158">
                  <c:v>4.0000000000000022E-2</c:v>
                </c:pt>
                <c:pt idx="159">
                  <c:v>4.0000000000000022E-2</c:v>
                </c:pt>
                <c:pt idx="160">
                  <c:v>4.0000000000000022E-2</c:v>
                </c:pt>
                <c:pt idx="161">
                  <c:v>4.0000000000000022E-2</c:v>
                </c:pt>
                <c:pt idx="162">
                  <c:v>4.0000000000000022E-2</c:v>
                </c:pt>
                <c:pt idx="163">
                  <c:v>4.0000000000000022E-2</c:v>
                </c:pt>
                <c:pt idx="164">
                  <c:v>4.0000000000000022E-2</c:v>
                </c:pt>
                <c:pt idx="165">
                  <c:v>4.0000000000000022E-2</c:v>
                </c:pt>
                <c:pt idx="166">
                  <c:v>4.0000000000000022E-2</c:v>
                </c:pt>
                <c:pt idx="167">
                  <c:v>4.0000000000000022E-2</c:v>
                </c:pt>
                <c:pt idx="168">
                  <c:v>4.0000000000000022E-2</c:v>
                </c:pt>
                <c:pt idx="169">
                  <c:v>4.0000000000000022E-2</c:v>
                </c:pt>
                <c:pt idx="170">
                  <c:v>4.0000000000000022E-2</c:v>
                </c:pt>
                <c:pt idx="171">
                  <c:v>4.0000000000000022E-2</c:v>
                </c:pt>
                <c:pt idx="172">
                  <c:v>4.0000000000000022E-2</c:v>
                </c:pt>
                <c:pt idx="173">
                  <c:v>4.0000000000000022E-2</c:v>
                </c:pt>
                <c:pt idx="174">
                  <c:v>4.0000000000000022E-2</c:v>
                </c:pt>
                <c:pt idx="175">
                  <c:v>4.0000000000000022E-2</c:v>
                </c:pt>
                <c:pt idx="176">
                  <c:v>4.0000000000000022E-2</c:v>
                </c:pt>
                <c:pt idx="177">
                  <c:v>4.0000000000000022E-2</c:v>
                </c:pt>
                <c:pt idx="178">
                  <c:v>4.0000000000000022E-2</c:v>
                </c:pt>
                <c:pt idx="179">
                  <c:v>4.0000000000000022E-2</c:v>
                </c:pt>
                <c:pt idx="180">
                  <c:v>4.0000000000000022E-2</c:v>
                </c:pt>
              </c:numCache>
            </c:numRef>
          </c:yVal>
          <c:smooth val="0"/>
        </c:ser>
        <c:ser>
          <c:idx val="2"/>
          <c:order val="2"/>
          <c:tx>
            <c:strRef>
              <c:f>Лист1!$D$1</c:f>
              <c:strCache>
                <c:ptCount val="1"/>
                <c:pt idx="0">
                  <c:v>additional losses to account for clutter shielding the transmitter BS IMT systemAhTx = 19 dB</c:v>
                </c:pt>
              </c:strCache>
            </c:strRef>
          </c:tx>
          <c:spPr>
            <a:ln>
              <a:solidFill>
                <a:sysClr val="windowText" lastClr="00000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7.6599999999999975</c:v>
                </c:pt>
                <c:pt idx="1">
                  <c:v>1.58</c:v>
                </c:pt>
                <c:pt idx="2">
                  <c:v>0.54</c:v>
                </c:pt>
                <c:pt idx="3">
                  <c:v>0.32000000000000073</c:v>
                </c:pt>
                <c:pt idx="4">
                  <c:v>0.22</c:v>
                </c:pt>
                <c:pt idx="5">
                  <c:v>0.18000000000000024</c:v>
                </c:pt>
                <c:pt idx="6">
                  <c:v>0.14000000000000001</c:v>
                </c:pt>
                <c:pt idx="7">
                  <c:v>0.12000000000000002</c:v>
                </c:pt>
                <c:pt idx="8">
                  <c:v>8.0000000000000043E-2</c:v>
                </c:pt>
                <c:pt idx="9">
                  <c:v>8.0000000000000043E-2</c:v>
                </c:pt>
                <c:pt idx="10">
                  <c:v>8.0000000000000043E-2</c:v>
                </c:pt>
                <c:pt idx="11">
                  <c:v>8.0000000000000043E-2</c:v>
                </c:pt>
                <c:pt idx="12">
                  <c:v>4.0000000000000022E-2</c:v>
                </c:pt>
                <c:pt idx="13">
                  <c:v>4.0000000000000022E-2</c:v>
                </c:pt>
                <c:pt idx="14">
                  <c:v>4.0000000000000022E-2</c:v>
                </c:pt>
                <c:pt idx="15">
                  <c:v>4.0000000000000022E-2</c:v>
                </c:pt>
                <c:pt idx="16">
                  <c:v>4.0000000000000022E-2</c:v>
                </c:pt>
                <c:pt idx="17">
                  <c:v>4.0000000000000022E-2</c:v>
                </c:pt>
                <c:pt idx="18">
                  <c:v>4.0000000000000022E-2</c:v>
                </c:pt>
                <c:pt idx="19">
                  <c:v>4.0000000000000022E-2</c:v>
                </c:pt>
                <c:pt idx="20">
                  <c:v>4.0000000000000022E-2</c:v>
                </c:pt>
                <c:pt idx="21">
                  <c:v>4.0000000000000022E-2</c:v>
                </c:pt>
                <c:pt idx="22">
                  <c:v>4.0000000000000022E-2</c:v>
                </c:pt>
                <c:pt idx="23">
                  <c:v>4.0000000000000022E-2</c:v>
                </c:pt>
                <c:pt idx="24">
                  <c:v>4.0000000000000022E-2</c:v>
                </c:pt>
                <c:pt idx="25">
                  <c:v>4.0000000000000022E-2</c:v>
                </c:pt>
                <c:pt idx="26">
                  <c:v>4.0000000000000022E-2</c:v>
                </c:pt>
                <c:pt idx="27">
                  <c:v>4.0000000000000022E-2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614444216"/>
        <c:axId val="614444608"/>
      </c:scatterChart>
      <c:valAx>
        <c:axId val="614444216"/>
        <c:scaling>
          <c:logBase val="10"/>
          <c:orientation val="minMax"/>
          <c:max val="180"/>
          <c:min val="0.1"/>
        </c:scaling>
        <c:delete val="0"/>
        <c:axPos val="b"/>
        <c:majorGridlines/>
        <c:minorGridlines/>
        <c:title>
          <c:tx>
            <c:rich>
              <a:bodyPr/>
              <a:lstStyle/>
              <a:p>
                <a:pPr>
                  <a:defRPr/>
                </a:pPr>
                <a:r>
                  <a:rPr lang="en-US" sz="1200">
                    <a:latin typeface="Symbol" panose="05050102010706020507" pitchFamily="18" charset="2"/>
                  </a:rPr>
                  <a:t>D</a:t>
                </a:r>
                <a:r>
                  <a:rPr lang="en-US" sz="1200" i="1" baseline="-25000"/>
                  <a:t>azFS-IMT</a:t>
                </a:r>
                <a:r>
                  <a:rPr lang="en-US" sz="1200"/>
                  <a:t> (degree)</a:t>
                </a:r>
                <a:endParaRPr lang="ru-RU" sz="1200"/>
              </a:p>
            </c:rich>
          </c:tx>
          <c:layout/>
          <c:overlay val="0"/>
        </c:title>
        <c:numFmt formatCode="General" sourceLinked="1"/>
        <c:majorTickMark val="out"/>
        <c:minorTickMark val="none"/>
        <c:tickLblPos val="low"/>
        <c:crossAx val="614444608"/>
        <c:crosses val="autoZero"/>
        <c:crossBetween val="midCat"/>
        <c:majorUnit val="10"/>
      </c:valAx>
      <c:valAx>
        <c:axId val="614444608"/>
        <c:scaling>
          <c:logBase val="10"/>
          <c:orientation val="minMax"/>
          <c:max val="100"/>
          <c:min val="1.0000000000000005E-2"/>
        </c:scaling>
        <c:delete val="0"/>
        <c:axPos val="l"/>
        <c:majorGridlines/>
        <c:minorGridlines/>
        <c:title>
          <c:tx>
            <c:rich>
              <a:bodyPr rot="-5400000" vert="horz"/>
              <a:lstStyle/>
              <a:p>
                <a:pPr>
                  <a:defRPr/>
                </a:pPr>
                <a:r>
                  <a:rPr lang="en-US" sz="1200" i="1"/>
                  <a:t>d</a:t>
                </a:r>
                <a:r>
                  <a:rPr lang="en-US" sz="1200" i="1" baseline="-25000"/>
                  <a:t>FS-IMT</a:t>
                </a:r>
                <a:r>
                  <a:rPr lang="en-US" sz="1200" i="0" baseline="-25000"/>
                  <a:t> </a:t>
                </a:r>
                <a:r>
                  <a:rPr lang="en-US" sz="1200" i="0" baseline="0"/>
                  <a:t> (</a:t>
                </a:r>
                <a:r>
                  <a:rPr lang="en-US" sz="1200" baseline="0"/>
                  <a:t>km)</a:t>
                </a:r>
                <a:endParaRPr lang="ru-RU" sz="1200" baseline="0"/>
              </a:p>
            </c:rich>
          </c:tx>
          <c:layout>
            <c:manualLayout>
              <c:xMode val="edge"/>
              <c:yMode val="edge"/>
              <c:x val="1.3241752741106397E-2"/>
              <c:y val="0.4517216509409413"/>
            </c:manualLayout>
          </c:layout>
          <c:overlay val="0"/>
        </c:title>
        <c:numFmt formatCode="General" sourceLinked="1"/>
        <c:majorTickMark val="out"/>
        <c:minorTickMark val="none"/>
        <c:tickLblPos val="low"/>
        <c:crossAx val="614444216"/>
        <c:crosses val="autoZero"/>
        <c:crossBetween val="midCat"/>
      </c:valAx>
    </c:plotArea>
    <c:legend>
      <c:legendPos val="l"/>
      <c:layout>
        <c:manualLayout>
          <c:xMode val="edge"/>
          <c:yMode val="edge"/>
          <c:x val="0.57900061214393128"/>
          <c:y val="0.12256740634693407"/>
          <c:w val="0.40345920018783632"/>
          <c:h val="0.24815540690642554"/>
        </c:manualLayout>
      </c:layout>
      <c:overlay val="1"/>
      <c:spPr>
        <a:solidFill>
          <a:schemeClr val="bg1"/>
        </a:solidFill>
      </c:spPr>
      <c:txPr>
        <a:bodyPr/>
        <a:lstStyle/>
        <a:p>
          <a:pPr>
            <a:defRPr sz="700"/>
          </a:pPr>
          <a:endParaRPr lang="en-US"/>
        </a:p>
      </c:txPr>
    </c:legend>
    <c:plotVisOnly val="1"/>
    <c:dispBlanksAs val="gap"/>
    <c:showDLblsOverMax val="0"/>
  </c:chart>
  <c:spPr>
    <a:ln w="15875">
      <a:solidFill>
        <a:schemeClr val="tx1"/>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l" defTabSz="914400" rtl="0" eaLnBrk="1" fontAlgn="auto" latinLnBrk="0" hangingPunct="1">
              <a:lnSpc>
                <a:spcPct val="100000"/>
              </a:lnSpc>
              <a:spcBef>
                <a:spcPts val="0"/>
              </a:spcBef>
              <a:spcAft>
                <a:spcPts val="0"/>
              </a:spcAft>
              <a:buClrTx/>
              <a:buSzTx/>
              <a:buFontTx/>
              <a:buNone/>
              <a:tabLst/>
              <a:defRPr sz="700" b="1" i="0" u="none" strike="noStrike" kern="1200" baseline="0">
                <a:solidFill>
                  <a:sysClr val="windowText" lastClr="000000"/>
                </a:solidFill>
                <a:latin typeface="+mn-lt"/>
                <a:ea typeface="+mn-ea"/>
                <a:cs typeface="+mn-cs"/>
              </a:defRPr>
            </a:pPr>
            <a:r>
              <a:rPr lang="fr-FR" sz="700" b="1" i="0" baseline="0">
                <a:effectLst/>
              </a:rPr>
              <a:t>(</a:t>
            </a:r>
            <a:r>
              <a:rPr lang="fr-FR" sz="700" b="1" i="1" baseline="0">
                <a:effectLst/>
              </a:rPr>
              <a:t>I</a:t>
            </a:r>
            <a:r>
              <a:rPr lang="fr-FR" sz="700" b="1" i="0" baseline="0">
                <a:effectLst/>
              </a:rPr>
              <a:t>/</a:t>
            </a:r>
            <a:r>
              <a:rPr lang="fr-FR" sz="700" b="1" i="1" baseline="0">
                <a:effectLst/>
              </a:rPr>
              <a:t>N</a:t>
            </a:r>
            <a:r>
              <a:rPr lang="fr-FR" sz="700" b="1" i="0" baseline="0">
                <a:effectLst/>
              </a:rPr>
              <a:t>) </a:t>
            </a:r>
            <a:r>
              <a:rPr lang="en-GB" sz="700" b="1" i="1" baseline="-25000">
                <a:effectLst/>
              </a:rPr>
              <a:t>required</a:t>
            </a:r>
            <a:r>
              <a:rPr lang="fr-FR" sz="700" b="1" i="0" baseline="0">
                <a:effectLst/>
              </a:rPr>
              <a:t>  = -10 dB</a:t>
            </a:r>
            <a:endParaRPr lang="ru-RU" sz="700">
              <a:effectLst/>
            </a:endParaRPr>
          </a:p>
          <a:p>
            <a:pPr marL="0" marR="0" indent="0" algn="l" defTabSz="914400" rtl="0" eaLnBrk="1" fontAlgn="auto" latinLnBrk="0" hangingPunct="1">
              <a:lnSpc>
                <a:spcPct val="100000"/>
              </a:lnSpc>
              <a:spcBef>
                <a:spcPts val="0"/>
              </a:spcBef>
              <a:spcAft>
                <a:spcPts val="0"/>
              </a:spcAft>
              <a:buClrTx/>
              <a:buSzTx/>
              <a:buFontTx/>
              <a:buNone/>
              <a:tabLst/>
              <a:defRPr sz="700" b="1" i="0" u="none" strike="noStrike" kern="1200" baseline="0">
                <a:solidFill>
                  <a:sysClr val="windowText" lastClr="000000"/>
                </a:solidFill>
                <a:latin typeface="+mn-lt"/>
                <a:ea typeface="+mn-ea"/>
                <a:cs typeface="+mn-cs"/>
              </a:defRPr>
            </a:pPr>
            <a:r>
              <a:rPr lang="fr-FR" sz="700" b="1" i="0" baseline="0">
                <a:effectLst/>
              </a:rPr>
              <a:t>Channel Separation 40 MHz;           </a:t>
            </a:r>
            <a:endParaRPr lang="ru-RU" sz="700">
              <a:effectLst/>
            </a:endParaRPr>
          </a:p>
          <a:p>
            <a:pPr marL="0" marR="0" indent="0" algn="l" defTabSz="914400" rtl="0" eaLnBrk="1" fontAlgn="auto" latinLnBrk="0" hangingPunct="1">
              <a:lnSpc>
                <a:spcPct val="100000"/>
              </a:lnSpc>
              <a:spcBef>
                <a:spcPts val="0"/>
              </a:spcBef>
              <a:spcAft>
                <a:spcPts val="0"/>
              </a:spcAft>
              <a:buClrTx/>
              <a:buSzTx/>
              <a:buFontTx/>
              <a:buNone/>
              <a:tabLst/>
              <a:defRPr sz="700" b="1" i="0" u="none" strike="noStrike" kern="1200" baseline="0">
                <a:solidFill>
                  <a:sysClr val="windowText" lastClr="000000"/>
                </a:solidFill>
                <a:latin typeface="+mn-lt"/>
                <a:ea typeface="+mn-ea"/>
                <a:cs typeface="+mn-cs"/>
              </a:defRPr>
            </a:pPr>
            <a:r>
              <a:rPr lang="en-GB" sz="700">
                <a:effectLst/>
              </a:rPr>
              <a:t>First adjacent channel</a:t>
            </a:r>
            <a:r>
              <a:rPr lang="ru-RU" sz="700">
                <a:effectLst/>
              </a:rPr>
              <a:t> </a:t>
            </a:r>
            <a:r>
              <a:rPr lang="en-GB" sz="700" b="1" i="0" baseline="0">
                <a:effectLst/>
              </a:rPr>
              <a:t> (</a:t>
            </a:r>
            <a:r>
              <a:rPr lang="en-US" sz="700" b="1" i="1" baseline="0">
                <a:effectLst/>
              </a:rPr>
              <a:t>MD</a:t>
            </a:r>
            <a:r>
              <a:rPr lang="en-US" sz="700" b="1" i="0" baseline="0">
                <a:effectLst/>
              </a:rPr>
              <a:t> + </a:t>
            </a:r>
            <a:r>
              <a:rPr lang="en-US" sz="700" b="1" i="1" baseline="0">
                <a:effectLst/>
              </a:rPr>
              <a:t>NFD</a:t>
            </a:r>
            <a:r>
              <a:rPr lang="en-US" sz="700" b="1" i="0" baseline="0">
                <a:effectLst/>
                <a:latin typeface="Symbol" panose="05050102010706020507" pitchFamily="18" charset="2"/>
              </a:rPr>
              <a:t>(D</a:t>
            </a:r>
            <a:r>
              <a:rPr lang="en-US" sz="700" b="1" i="1" baseline="0">
                <a:effectLst/>
              </a:rPr>
              <a:t>f</a:t>
            </a:r>
            <a:r>
              <a:rPr lang="en-US" sz="700" b="1" i="0" baseline="0">
                <a:effectLst/>
              </a:rPr>
              <a:t>) = </a:t>
            </a:r>
            <a:r>
              <a:rPr lang="ru-RU" sz="700" b="1" i="0" baseline="0">
                <a:effectLst/>
              </a:rPr>
              <a:t>45</a:t>
            </a:r>
            <a:r>
              <a:rPr lang="en-US" sz="700" b="1" i="0" baseline="0">
                <a:effectLst/>
              </a:rPr>
              <a:t> dB);</a:t>
            </a:r>
            <a:endParaRPr lang="ru-RU" sz="700">
              <a:effectLst/>
            </a:endParaRPr>
          </a:p>
          <a:p>
            <a:pPr marL="0" marR="0" indent="0" algn="l" defTabSz="914400" rtl="0" eaLnBrk="1" fontAlgn="auto" latinLnBrk="0" hangingPunct="1">
              <a:lnSpc>
                <a:spcPct val="100000"/>
              </a:lnSpc>
              <a:spcBef>
                <a:spcPts val="0"/>
              </a:spcBef>
              <a:spcAft>
                <a:spcPts val="0"/>
              </a:spcAft>
              <a:buClrTx/>
              <a:buSzTx/>
              <a:buFontTx/>
              <a:buNone/>
              <a:tabLst/>
              <a:defRPr sz="700" b="1" i="0" u="none" strike="noStrike" kern="1200" baseline="0">
                <a:solidFill>
                  <a:sysClr val="windowText" lastClr="000000"/>
                </a:solidFill>
                <a:latin typeface="+mn-lt"/>
                <a:ea typeface="+mn-ea"/>
                <a:cs typeface="+mn-cs"/>
              </a:defRPr>
            </a:pPr>
            <a:r>
              <a:rPr lang="ru-RU" sz="700" b="1" i="1" baseline="0">
                <a:effectLst/>
              </a:rPr>
              <a:t> </a:t>
            </a:r>
            <a:r>
              <a:rPr lang="en-GB" sz="700" b="1" i="1" baseline="0">
                <a:effectLst/>
              </a:rPr>
              <a:t>a</a:t>
            </a:r>
            <a:r>
              <a:rPr lang="en-GB" sz="700" b="1" i="1" baseline="-25000">
                <a:effectLst/>
              </a:rPr>
              <a:t>indoor</a:t>
            </a:r>
            <a:r>
              <a:rPr lang="en-GB" sz="700" b="1" i="1" baseline="0">
                <a:effectLst/>
              </a:rPr>
              <a:t> </a:t>
            </a:r>
            <a:r>
              <a:rPr lang="en-GB" sz="700" b="1" i="0" baseline="0">
                <a:effectLst/>
              </a:rPr>
              <a:t>= 25 dB</a:t>
            </a:r>
            <a:endParaRPr lang="ru-RU" sz="700">
              <a:effectLst/>
            </a:endParaRPr>
          </a:p>
        </c:rich>
      </c:tx>
      <c:layout>
        <c:manualLayout>
          <c:xMode val="edge"/>
          <c:yMode val="edge"/>
          <c:x val="0.14172743005664479"/>
          <c:y val="1.5910898965791568E-2"/>
        </c:manualLayout>
      </c:layout>
      <c:overlay val="0"/>
    </c:title>
    <c:autoTitleDeleted val="0"/>
    <c:plotArea>
      <c:layout>
        <c:manualLayout>
          <c:layoutTarget val="inner"/>
          <c:xMode val="edge"/>
          <c:yMode val="edge"/>
          <c:x val="0.11219945765485781"/>
          <c:y val="0.16045513701369046"/>
          <c:w val="0.84302442294215763"/>
          <c:h val="0.74184904691209763"/>
        </c:manualLayout>
      </c:layout>
      <c:scatterChart>
        <c:scatterStyle val="lineMarker"/>
        <c:varyColors val="0"/>
        <c:ser>
          <c:idx val="0"/>
          <c:order val="0"/>
          <c:tx>
            <c:strRef>
              <c:f>Лист1!$B$1</c:f>
              <c:strCache>
                <c:ptCount val="1"/>
                <c:pt idx="0">
                  <c:v>additional losses to account for clutter shielding the transmitter BS IMT system AhTx = 0 dB</c:v>
                </c:pt>
              </c:strCache>
            </c:strRef>
          </c:tx>
          <c:spPr>
            <a:ln>
              <a:solidFill>
                <a:srgbClr val="FF0000"/>
              </a:solidFill>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0.38000000000000073</c:v>
                </c:pt>
                <c:pt idx="1">
                  <c:v>8.0000000000000043E-2</c:v>
                </c:pt>
                <c:pt idx="2">
                  <c:v>4.0000000000000022E-2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additional losses to account for clutter shielding the transmitter BS IMT system AhTx = 10 dB</c:v>
                </c:pt>
              </c:strCache>
            </c:strRef>
          </c:tx>
          <c:spPr>
            <a:ln>
              <a:solidFill>
                <a:srgbClr val="0070C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0.12000000000000002</c:v>
                </c:pt>
                <c:pt idx="1">
                  <c:v>4.0000000000000022E-2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additional losses to account for clutter shielding the transmitter BS IMT system AhTx = 19 dB</c:v>
                </c:pt>
              </c:strCache>
            </c:strRef>
          </c:tx>
          <c:spPr>
            <a:ln>
              <a:solidFill>
                <a:sysClr val="windowText" lastClr="00000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4.0000000000000022E-2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614443824"/>
        <c:axId val="489726368"/>
      </c:scatterChart>
      <c:valAx>
        <c:axId val="614443824"/>
        <c:scaling>
          <c:logBase val="10"/>
          <c:orientation val="minMax"/>
          <c:max val="180"/>
          <c:min val="0.1"/>
        </c:scaling>
        <c:delete val="0"/>
        <c:axPos val="b"/>
        <c:majorGridlines/>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manualLayout>
              <c:xMode val="edge"/>
              <c:yMode val="edge"/>
              <c:x val="0.42554140931388623"/>
              <c:y val="0.93198847262248075"/>
            </c:manualLayout>
          </c:layout>
          <c:overlay val="0"/>
        </c:title>
        <c:numFmt formatCode="General" sourceLinked="1"/>
        <c:majorTickMark val="none"/>
        <c:minorTickMark val="none"/>
        <c:tickLblPos val="low"/>
        <c:crossAx val="489726368"/>
        <c:crosses val="autoZero"/>
        <c:crossBetween val="midCat"/>
      </c:valAx>
      <c:valAx>
        <c:axId val="489726368"/>
        <c:scaling>
          <c:logBase val="10"/>
          <c:orientation val="minMax"/>
          <c:max val="1"/>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FS-IMT</a:t>
                </a:r>
                <a:r>
                  <a:rPr lang="en-US" sz="1200" b="1" i="0" baseline="0">
                    <a:effectLst/>
                  </a:rPr>
                  <a:t> (km)</a:t>
                </a:r>
                <a:endParaRPr lang="ru-RU" sz="1200">
                  <a:effectLst/>
                </a:endParaRPr>
              </a:p>
            </c:rich>
          </c:tx>
          <c:layout>
            <c:manualLayout>
              <c:xMode val="edge"/>
              <c:yMode val="edge"/>
              <c:x val="2.2708840227088401E-2"/>
              <c:y val="0.4755720093460879"/>
            </c:manualLayout>
          </c:layout>
          <c:overlay val="0"/>
        </c:title>
        <c:numFmt formatCode="General" sourceLinked="1"/>
        <c:majorTickMark val="none"/>
        <c:minorTickMark val="none"/>
        <c:tickLblPos val="low"/>
        <c:crossAx val="614443824"/>
        <c:crosses val="autoZero"/>
        <c:crossBetween val="midCat"/>
      </c:valAx>
    </c:plotArea>
    <c:legend>
      <c:legendPos val="l"/>
      <c:layout>
        <c:manualLayout>
          <c:xMode val="edge"/>
          <c:yMode val="edge"/>
          <c:x val="0.60259416436581792"/>
          <c:y val="0.13258126667684542"/>
          <c:w val="0.37896632239152001"/>
          <c:h val="0.22564969897386059"/>
        </c:manualLayout>
      </c:layout>
      <c:overlay val="1"/>
      <c:spPr>
        <a:solidFill>
          <a:schemeClr val="bg1"/>
        </a:solidFill>
      </c:spPr>
      <c:txPr>
        <a:bodyPr/>
        <a:lstStyle/>
        <a:p>
          <a:pPr>
            <a:defRPr sz="700"/>
          </a:pPr>
          <a:endParaRPr lang="en-US"/>
        </a:p>
      </c:txPr>
    </c:legend>
    <c:plotVisOnly val="1"/>
    <c:dispBlanksAs val="gap"/>
    <c:showDLblsOverMax val="0"/>
  </c:chart>
  <c:spPr>
    <a:ln w="15875">
      <a:solidFill>
        <a:schemeClr val="tx1"/>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fr-FR" sz="700" b="1" i="1" baseline="0">
                <a:effectLst/>
              </a:rPr>
              <a:t>I</a:t>
            </a:r>
            <a:r>
              <a:rPr lang="fr-FR" sz="700" b="1" i="0" baseline="0">
                <a:effectLst/>
              </a:rPr>
              <a:t>/</a:t>
            </a:r>
            <a:r>
              <a:rPr lang="fr-FR" sz="700" b="1" i="1" baseline="0">
                <a:effectLst/>
              </a:rPr>
              <a:t>N</a:t>
            </a:r>
            <a:r>
              <a:rPr lang="fr-FR" sz="700" b="1" i="0" baseline="0">
                <a:effectLst/>
              </a:rPr>
              <a:t>) </a:t>
            </a:r>
            <a:r>
              <a:rPr lang="en-GB" sz="700" b="1" i="1" baseline="-25000">
                <a:effectLst/>
              </a:rPr>
              <a:t>required</a:t>
            </a:r>
            <a:r>
              <a:rPr lang="fr-FR" sz="700" b="1" i="0" baseline="0">
                <a:effectLst/>
              </a:rPr>
              <a:t>  = -10 dB</a:t>
            </a:r>
            <a:endParaRPr lang="ru-RU" sz="700">
              <a:effectLst/>
            </a:endParaRPr>
          </a:p>
          <a:p>
            <a:pPr algn="l">
              <a:defRPr sz="700"/>
            </a:pPr>
            <a:r>
              <a:rPr lang="fr-FR" sz="700" b="1" i="0" baseline="0">
                <a:effectLst/>
              </a:rPr>
              <a:t>Channel Separation </a:t>
            </a:r>
            <a:r>
              <a:rPr lang="ru-RU" sz="700" b="1" i="0" baseline="0">
                <a:effectLst/>
              </a:rPr>
              <a:t>29.65 </a:t>
            </a:r>
            <a:r>
              <a:rPr lang="fr-FR" sz="700" b="1" i="0" baseline="0">
                <a:effectLst/>
              </a:rPr>
              <a:t> MHz;           </a:t>
            </a:r>
            <a:endParaRPr lang="ru-RU" sz="700">
              <a:effectLst/>
            </a:endParaRPr>
          </a:p>
          <a:p>
            <a:pPr algn="l">
              <a:defRPr sz="700"/>
            </a:pPr>
            <a:r>
              <a:rPr lang="en-GB" sz="700" b="1" i="0" baseline="0">
                <a:effectLst/>
              </a:rPr>
              <a:t>Co‑channel (</a:t>
            </a:r>
            <a:r>
              <a:rPr lang="en-US" sz="700" b="1" i="1" baseline="0">
                <a:effectLst/>
              </a:rPr>
              <a:t>MD </a:t>
            </a:r>
            <a:r>
              <a:rPr lang="en-US" sz="700" b="1" i="0" baseline="0">
                <a:effectLst/>
              </a:rPr>
              <a:t>+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0 dB);</a:t>
            </a:r>
            <a:endParaRPr lang="ru-RU" sz="700">
              <a:effectLst/>
            </a:endParaRPr>
          </a:p>
          <a:p>
            <a:pPr algn="l">
              <a:defRPr sz="700"/>
            </a:pPr>
            <a:r>
              <a:rPr lang="ru-RU" sz="700" b="1" i="0" baseline="0">
                <a:effectLst/>
              </a:rPr>
              <a:t> </a:t>
            </a:r>
            <a:r>
              <a:rPr lang="en-GB" sz="700" b="1" i="1" baseline="0">
                <a:effectLst/>
              </a:rPr>
              <a:t>a</a:t>
            </a:r>
            <a:r>
              <a:rPr lang="en-GB" sz="700" b="1" i="1" baseline="-25000">
                <a:effectLst/>
              </a:rPr>
              <a:t>indoor</a:t>
            </a:r>
            <a:r>
              <a:rPr lang="en-GB" sz="700" b="1" i="0" baseline="0">
                <a:effectLst/>
              </a:rPr>
              <a:t> = 25 dB</a:t>
            </a:r>
            <a:endParaRPr lang="ru-RU" sz="700">
              <a:effectLst/>
            </a:endParaRPr>
          </a:p>
        </c:rich>
      </c:tx>
      <c:layout>
        <c:manualLayout>
          <c:xMode val="edge"/>
          <c:yMode val="edge"/>
          <c:x val="0.19415138999097981"/>
          <c:y val="3.0769230769230792E-2"/>
        </c:manualLayout>
      </c:layout>
      <c:overlay val="0"/>
    </c:title>
    <c:autoTitleDeleted val="0"/>
    <c:plotArea>
      <c:layout>
        <c:manualLayout>
          <c:layoutTarget val="inner"/>
          <c:xMode val="edge"/>
          <c:yMode val="edge"/>
          <c:x val="0.12488093848236018"/>
          <c:y val="0.20543347466182169"/>
          <c:w val="0.80707424751477941"/>
          <c:h val="0.68574628171478569"/>
        </c:manualLayout>
      </c:layout>
      <c:scatterChart>
        <c:scatterStyle val="lineMarker"/>
        <c:varyColors val="0"/>
        <c:ser>
          <c:idx val="0"/>
          <c:order val="0"/>
          <c:tx>
            <c:strRef>
              <c:f>Лист1!$B$1</c:f>
              <c:strCache>
                <c:ptCount val="1"/>
                <c:pt idx="0">
                  <c:v>additional losses to account for clutter shielding the transmitter BS IMT system AhTx = 0 dB</c:v>
                </c:pt>
              </c:strCache>
            </c:strRef>
          </c:tx>
          <c:spPr>
            <a:ln>
              <a:solidFill>
                <a:srgbClr val="FF0000"/>
              </a:solidFill>
            </a:ln>
          </c:spPr>
          <c:marker>
            <c:symbol val="none"/>
          </c:marker>
          <c:xVal>
            <c:numRef>
              <c:f>Лист1!$A$2:$A$183</c:f>
              <c:numCache>
                <c:formatCode>General</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Лист1!$B$2:$B$183</c:f>
              <c:numCache>
                <c:formatCode>General</c:formatCode>
                <c:ptCount val="182"/>
                <c:pt idx="0">
                  <c:v>53.44</c:v>
                </c:pt>
                <c:pt idx="1">
                  <c:v>28.8</c:v>
                </c:pt>
                <c:pt idx="2">
                  <c:v>9.56</c:v>
                </c:pt>
                <c:pt idx="3">
                  <c:v>5.6599999999999975</c:v>
                </c:pt>
                <c:pt idx="4">
                  <c:v>3.92</c:v>
                </c:pt>
                <c:pt idx="5">
                  <c:v>2.94</c:v>
                </c:pt>
                <c:pt idx="6">
                  <c:v>2.34</c:v>
                </c:pt>
                <c:pt idx="7">
                  <c:v>1.9200000000000021</c:v>
                </c:pt>
                <c:pt idx="8">
                  <c:v>1.62</c:v>
                </c:pt>
                <c:pt idx="9">
                  <c:v>1.4</c:v>
                </c:pt>
                <c:pt idx="10">
                  <c:v>1.22</c:v>
                </c:pt>
                <c:pt idx="11">
                  <c:v>1.08</c:v>
                </c:pt>
                <c:pt idx="12">
                  <c:v>0.98</c:v>
                </c:pt>
                <c:pt idx="13">
                  <c:v>0.88</c:v>
                </c:pt>
                <c:pt idx="14">
                  <c:v>0.8</c:v>
                </c:pt>
                <c:pt idx="15">
                  <c:v>0.74000000000000132</c:v>
                </c:pt>
                <c:pt idx="16">
                  <c:v>0.68</c:v>
                </c:pt>
                <c:pt idx="17">
                  <c:v>0.64000000000000146</c:v>
                </c:pt>
                <c:pt idx="18">
                  <c:v>0.58000000000000007</c:v>
                </c:pt>
                <c:pt idx="19">
                  <c:v>0.56000000000000005</c:v>
                </c:pt>
                <c:pt idx="20">
                  <c:v>0.52</c:v>
                </c:pt>
                <c:pt idx="21">
                  <c:v>0.48000000000000032</c:v>
                </c:pt>
                <c:pt idx="22">
                  <c:v>0.46</c:v>
                </c:pt>
                <c:pt idx="23">
                  <c:v>0.44</c:v>
                </c:pt>
                <c:pt idx="24">
                  <c:v>0.42000000000000032</c:v>
                </c:pt>
                <c:pt idx="25">
                  <c:v>0.4</c:v>
                </c:pt>
                <c:pt idx="26">
                  <c:v>0.38000000000000073</c:v>
                </c:pt>
                <c:pt idx="27">
                  <c:v>0.36000000000000032</c:v>
                </c:pt>
                <c:pt idx="28">
                  <c:v>0.34</c:v>
                </c:pt>
                <c:pt idx="29">
                  <c:v>0.32000000000000073</c:v>
                </c:pt>
                <c:pt idx="30">
                  <c:v>0.32000000000000073</c:v>
                </c:pt>
                <c:pt idx="31">
                  <c:v>0.30000000000000032</c:v>
                </c:pt>
                <c:pt idx="32">
                  <c:v>0.30000000000000032</c:v>
                </c:pt>
                <c:pt idx="33">
                  <c:v>0.28000000000000008</c:v>
                </c:pt>
                <c:pt idx="34">
                  <c:v>0.28000000000000008</c:v>
                </c:pt>
                <c:pt idx="35">
                  <c:v>0.26</c:v>
                </c:pt>
                <c:pt idx="36">
                  <c:v>0.26</c:v>
                </c:pt>
                <c:pt idx="37">
                  <c:v>0.24000000000000021</c:v>
                </c:pt>
                <c:pt idx="38">
                  <c:v>0.24000000000000021</c:v>
                </c:pt>
                <c:pt idx="39">
                  <c:v>0.22</c:v>
                </c:pt>
                <c:pt idx="40">
                  <c:v>0.22</c:v>
                </c:pt>
                <c:pt idx="41">
                  <c:v>0.22</c:v>
                </c:pt>
                <c:pt idx="42">
                  <c:v>0.22</c:v>
                </c:pt>
                <c:pt idx="43">
                  <c:v>0.2</c:v>
                </c:pt>
                <c:pt idx="44">
                  <c:v>0.2</c:v>
                </c:pt>
                <c:pt idx="45">
                  <c:v>0.2</c:v>
                </c:pt>
                <c:pt idx="46">
                  <c:v>0.18000000000000024</c:v>
                </c:pt>
                <c:pt idx="47">
                  <c:v>0.18000000000000024</c:v>
                </c:pt>
                <c:pt idx="48">
                  <c:v>0.18000000000000024</c:v>
                </c:pt>
                <c:pt idx="49">
                  <c:v>0.18000000000000024</c:v>
                </c:pt>
                <c:pt idx="50">
                  <c:v>0.18000000000000024</c:v>
                </c:pt>
                <c:pt idx="51">
                  <c:v>0.18000000000000024</c:v>
                </c:pt>
                <c:pt idx="52">
                  <c:v>0.18000000000000024</c:v>
                </c:pt>
                <c:pt idx="53">
                  <c:v>0.18000000000000024</c:v>
                </c:pt>
                <c:pt idx="54">
                  <c:v>0.18000000000000024</c:v>
                </c:pt>
                <c:pt idx="55">
                  <c:v>0.18000000000000024</c:v>
                </c:pt>
                <c:pt idx="56">
                  <c:v>0.18000000000000024</c:v>
                </c:pt>
                <c:pt idx="57">
                  <c:v>0.18000000000000024</c:v>
                </c:pt>
                <c:pt idx="58">
                  <c:v>0.18000000000000024</c:v>
                </c:pt>
                <c:pt idx="59">
                  <c:v>0.18000000000000024</c:v>
                </c:pt>
                <c:pt idx="60">
                  <c:v>0.18000000000000024</c:v>
                </c:pt>
                <c:pt idx="61">
                  <c:v>0.18000000000000024</c:v>
                </c:pt>
                <c:pt idx="62">
                  <c:v>0.18000000000000024</c:v>
                </c:pt>
                <c:pt idx="63">
                  <c:v>0.18000000000000024</c:v>
                </c:pt>
                <c:pt idx="64">
                  <c:v>0.18000000000000024</c:v>
                </c:pt>
                <c:pt idx="65">
                  <c:v>0.18000000000000024</c:v>
                </c:pt>
                <c:pt idx="66">
                  <c:v>0.18000000000000024</c:v>
                </c:pt>
                <c:pt idx="67">
                  <c:v>0.18000000000000024</c:v>
                </c:pt>
                <c:pt idx="68">
                  <c:v>0.18000000000000024</c:v>
                </c:pt>
                <c:pt idx="69">
                  <c:v>0.18000000000000024</c:v>
                </c:pt>
                <c:pt idx="70">
                  <c:v>0.18000000000000024</c:v>
                </c:pt>
                <c:pt idx="71">
                  <c:v>0.18000000000000024</c:v>
                </c:pt>
                <c:pt idx="72">
                  <c:v>0.18000000000000024</c:v>
                </c:pt>
                <c:pt idx="73">
                  <c:v>0.18000000000000024</c:v>
                </c:pt>
                <c:pt idx="74">
                  <c:v>0.18000000000000024</c:v>
                </c:pt>
                <c:pt idx="75">
                  <c:v>0.18000000000000024</c:v>
                </c:pt>
                <c:pt idx="76">
                  <c:v>0.18000000000000024</c:v>
                </c:pt>
                <c:pt idx="77">
                  <c:v>0.18000000000000024</c:v>
                </c:pt>
                <c:pt idx="78">
                  <c:v>0.18000000000000024</c:v>
                </c:pt>
                <c:pt idx="79">
                  <c:v>0.18000000000000024</c:v>
                </c:pt>
                <c:pt idx="80">
                  <c:v>0.18000000000000024</c:v>
                </c:pt>
                <c:pt idx="81">
                  <c:v>0.18000000000000024</c:v>
                </c:pt>
                <c:pt idx="82">
                  <c:v>0.18000000000000024</c:v>
                </c:pt>
                <c:pt idx="83">
                  <c:v>0.18000000000000024</c:v>
                </c:pt>
                <c:pt idx="84">
                  <c:v>0.18000000000000024</c:v>
                </c:pt>
                <c:pt idx="85">
                  <c:v>0.18000000000000024</c:v>
                </c:pt>
                <c:pt idx="86">
                  <c:v>0.18000000000000024</c:v>
                </c:pt>
                <c:pt idx="87">
                  <c:v>0.18000000000000024</c:v>
                </c:pt>
                <c:pt idx="88">
                  <c:v>0.18000000000000024</c:v>
                </c:pt>
                <c:pt idx="89">
                  <c:v>0.18000000000000024</c:v>
                </c:pt>
                <c:pt idx="90">
                  <c:v>0.18000000000000024</c:v>
                </c:pt>
                <c:pt idx="91">
                  <c:v>0.18000000000000024</c:v>
                </c:pt>
                <c:pt idx="92">
                  <c:v>0.18000000000000024</c:v>
                </c:pt>
                <c:pt idx="93">
                  <c:v>0.18000000000000024</c:v>
                </c:pt>
                <c:pt idx="94">
                  <c:v>0.18000000000000024</c:v>
                </c:pt>
                <c:pt idx="95">
                  <c:v>0.18000000000000024</c:v>
                </c:pt>
                <c:pt idx="96">
                  <c:v>0.18000000000000024</c:v>
                </c:pt>
                <c:pt idx="97">
                  <c:v>0.18000000000000024</c:v>
                </c:pt>
                <c:pt idx="98">
                  <c:v>0.18000000000000024</c:v>
                </c:pt>
                <c:pt idx="99">
                  <c:v>0.18000000000000024</c:v>
                </c:pt>
                <c:pt idx="100">
                  <c:v>0.18000000000000024</c:v>
                </c:pt>
                <c:pt idx="101">
                  <c:v>0.18000000000000024</c:v>
                </c:pt>
                <c:pt idx="102">
                  <c:v>0.18000000000000024</c:v>
                </c:pt>
                <c:pt idx="103">
                  <c:v>0.18000000000000024</c:v>
                </c:pt>
                <c:pt idx="104">
                  <c:v>0.18000000000000024</c:v>
                </c:pt>
                <c:pt idx="105">
                  <c:v>0.18000000000000024</c:v>
                </c:pt>
                <c:pt idx="106">
                  <c:v>0.18000000000000024</c:v>
                </c:pt>
                <c:pt idx="107">
                  <c:v>0.18000000000000024</c:v>
                </c:pt>
                <c:pt idx="108">
                  <c:v>0.18000000000000024</c:v>
                </c:pt>
                <c:pt idx="109">
                  <c:v>0.18000000000000024</c:v>
                </c:pt>
                <c:pt idx="110">
                  <c:v>0.18000000000000024</c:v>
                </c:pt>
                <c:pt idx="111">
                  <c:v>0.18000000000000024</c:v>
                </c:pt>
                <c:pt idx="112">
                  <c:v>0.18000000000000024</c:v>
                </c:pt>
                <c:pt idx="113">
                  <c:v>0.18000000000000024</c:v>
                </c:pt>
                <c:pt idx="114">
                  <c:v>0.18000000000000024</c:v>
                </c:pt>
                <c:pt idx="115">
                  <c:v>0.18000000000000024</c:v>
                </c:pt>
                <c:pt idx="116">
                  <c:v>0.18000000000000024</c:v>
                </c:pt>
                <c:pt idx="117">
                  <c:v>0.18000000000000024</c:v>
                </c:pt>
                <c:pt idx="118">
                  <c:v>0.18000000000000024</c:v>
                </c:pt>
                <c:pt idx="119">
                  <c:v>0.18000000000000024</c:v>
                </c:pt>
                <c:pt idx="120">
                  <c:v>0.18000000000000024</c:v>
                </c:pt>
                <c:pt idx="121">
                  <c:v>0.18000000000000024</c:v>
                </c:pt>
                <c:pt idx="122">
                  <c:v>0.18000000000000024</c:v>
                </c:pt>
                <c:pt idx="123">
                  <c:v>0.18000000000000024</c:v>
                </c:pt>
                <c:pt idx="124">
                  <c:v>0.18000000000000024</c:v>
                </c:pt>
                <c:pt idx="125">
                  <c:v>0.18000000000000024</c:v>
                </c:pt>
                <c:pt idx="126">
                  <c:v>0.18000000000000024</c:v>
                </c:pt>
                <c:pt idx="127">
                  <c:v>0.18000000000000024</c:v>
                </c:pt>
                <c:pt idx="128">
                  <c:v>0.18000000000000024</c:v>
                </c:pt>
                <c:pt idx="129">
                  <c:v>0.18000000000000024</c:v>
                </c:pt>
                <c:pt idx="130">
                  <c:v>0.18000000000000024</c:v>
                </c:pt>
                <c:pt idx="131">
                  <c:v>0.18000000000000024</c:v>
                </c:pt>
                <c:pt idx="132">
                  <c:v>0.18000000000000024</c:v>
                </c:pt>
                <c:pt idx="133">
                  <c:v>0.18000000000000024</c:v>
                </c:pt>
                <c:pt idx="134">
                  <c:v>0.18000000000000024</c:v>
                </c:pt>
                <c:pt idx="135">
                  <c:v>0.18000000000000024</c:v>
                </c:pt>
                <c:pt idx="136">
                  <c:v>0.18000000000000024</c:v>
                </c:pt>
                <c:pt idx="137">
                  <c:v>0.18000000000000024</c:v>
                </c:pt>
                <c:pt idx="138">
                  <c:v>0.18000000000000024</c:v>
                </c:pt>
                <c:pt idx="139">
                  <c:v>0.18000000000000024</c:v>
                </c:pt>
                <c:pt idx="140">
                  <c:v>0.18000000000000024</c:v>
                </c:pt>
                <c:pt idx="141">
                  <c:v>0.18000000000000024</c:v>
                </c:pt>
                <c:pt idx="142">
                  <c:v>0.18000000000000024</c:v>
                </c:pt>
                <c:pt idx="143">
                  <c:v>0.18000000000000024</c:v>
                </c:pt>
                <c:pt idx="144">
                  <c:v>0.18000000000000024</c:v>
                </c:pt>
                <c:pt idx="145">
                  <c:v>0.18000000000000024</c:v>
                </c:pt>
                <c:pt idx="146">
                  <c:v>0.18000000000000024</c:v>
                </c:pt>
                <c:pt idx="147">
                  <c:v>0.18000000000000024</c:v>
                </c:pt>
                <c:pt idx="148">
                  <c:v>0.18000000000000024</c:v>
                </c:pt>
                <c:pt idx="149">
                  <c:v>0.18000000000000024</c:v>
                </c:pt>
                <c:pt idx="150">
                  <c:v>0.18000000000000024</c:v>
                </c:pt>
                <c:pt idx="151">
                  <c:v>0.18000000000000024</c:v>
                </c:pt>
                <c:pt idx="152">
                  <c:v>0.18000000000000024</c:v>
                </c:pt>
                <c:pt idx="153">
                  <c:v>0.18000000000000024</c:v>
                </c:pt>
                <c:pt idx="154">
                  <c:v>0.18000000000000024</c:v>
                </c:pt>
                <c:pt idx="155">
                  <c:v>0.18000000000000024</c:v>
                </c:pt>
                <c:pt idx="156">
                  <c:v>0.18000000000000024</c:v>
                </c:pt>
                <c:pt idx="157">
                  <c:v>0.18000000000000024</c:v>
                </c:pt>
                <c:pt idx="158">
                  <c:v>0.18000000000000024</c:v>
                </c:pt>
                <c:pt idx="159">
                  <c:v>0.18000000000000024</c:v>
                </c:pt>
                <c:pt idx="160">
                  <c:v>0.18000000000000024</c:v>
                </c:pt>
                <c:pt idx="161">
                  <c:v>0.18000000000000024</c:v>
                </c:pt>
                <c:pt idx="162">
                  <c:v>0.18000000000000024</c:v>
                </c:pt>
                <c:pt idx="163">
                  <c:v>0.18000000000000024</c:v>
                </c:pt>
                <c:pt idx="164">
                  <c:v>0.18000000000000024</c:v>
                </c:pt>
                <c:pt idx="165">
                  <c:v>0.18000000000000024</c:v>
                </c:pt>
                <c:pt idx="166">
                  <c:v>0.18000000000000024</c:v>
                </c:pt>
                <c:pt idx="167">
                  <c:v>0.18000000000000024</c:v>
                </c:pt>
                <c:pt idx="168">
                  <c:v>0.18000000000000024</c:v>
                </c:pt>
                <c:pt idx="169">
                  <c:v>0.18000000000000024</c:v>
                </c:pt>
                <c:pt idx="170">
                  <c:v>0.18000000000000024</c:v>
                </c:pt>
                <c:pt idx="171">
                  <c:v>0.18000000000000024</c:v>
                </c:pt>
                <c:pt idx="172">
                  <c:v>0.18000000000000024</c:v>
                </c:pt>
                <c:pt idx="173">
                  <c:v>0.18000000000000024</c:v>
                </c:pt>
                <c:pt idx="174">
                  <c:v>0.18000000000000024</c:v>
                </c:pt>
                <c:pt idx="175">
                  <c:v>0.18000000000000024</c:v>
                </c:pt>
                <c:pt idx="176">
                  <c:v>0.18000000000000024</c:v>
                </c:pt>
                <c:pt idx="177">
                  <c:v>0.18000000000000024</c:v>
                </c:pt>
                <c:pt idx="178">
                  <c:v>0.18000000000000024</c:v>
                </c:pt>
                <c:pt idx="179">
                  <c:v>0.18000000000000024</c:v>
                </c:pt>
                <c:pt idx="180">
                  <c:v>0.18000000000000024</c:v>
                </c:pt>
              </c:numCache>
            </c:numRef>
          </c:yVal>
          <c:smooth val="0"/>
        </c:ser>
        <c:ser>
          <c:idx val="1"/>
          <c:order val="1"/>
          <c:tx>
            <c:strRef>
              <c:f>Лист1!$C$1</c:f>
              <c:strCache>
                <c:ptCount val="1"/>
                <c:pt idx="0">
                  <c:v>additional losses to account for clutter shielding the transmitter BS IMT system AhTx = 10 dB</c:v>
                </c:pt>
              </c:strCache>
            </c:strRef>
          </c:tx>
          <c:spPr>
            <a:ln>
              <a:solidFill>
                <a:srgbClr val="0070C0"/>
              </a:solidFill>
              <a:prstDash val="solid"/>
            </a:ln>
          </c:spPr>
          <c:marker>
            <c:symbol val="none"/>
          </c:marker>
          <c:xVal>
            <c:numRef>
              <c:f>Лист1!$A$2:$A$183</c:f>
              <c:numCache>
                <c:formatCode>General</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Лист1!$C$2:$C$183</c:f>
              <c:numCache>
                <c:formatCode>General</c:formatCode>
                <c:ptCount val="182"/>
                <c:pt idx="0">
                  <c:v>42.3</c:v>
                </c:pt>
                <c:pt idx="1">
                  <c:v>8.94</c:v>
                </c:pt>
                <c:pt idx="2">
                  <c:v>2.92</c:v>
                </c:pt>
                <c:pt idx="3">
                  <c:v>1.74</c:v>
                </c:pt>
                <c:pt idx="4">
                  <c:v>1.22</c:v>
                </c:pt>
                <c:pt idx="5">
                  <c:v>0.92</c:v>
                </c:pt>
                <c:pt idx="6">
                  <c:v>0.74000000000000132</c:v>
                </c:pt>
                <c:pt idx="7">
                  <c:v>0.60000000000000064</c:v>
                </c:pt>
                <c:pt idx="8">
                  <c:v>0.52</c:v>
                </c:pt>
                <c:pt idx="9">
                  <c:v>0.44</c:v>
                </c:pt>
                <c:pt idx="10">
                  <c:v>0.4</c:v>
                </c:pt>
                <c:pt idx="11">
                  <c:v>0.34</c:v>
                </c:pt>
                <c:pt idx="12">
                  <c:v>0.32000000000000073</c:v>
                </c:pt>
                <c:pt idx="13">
                  <c:v>0.28000000000000008</c:v>
                </c:pt>
                <c:pt idx="14">
                  <c:v>0.26</c:v>
                </c:pt>
                <c:pt idx="15">
                  <c:v>0.24000000000000021</c:v>
                </c:pt>
                <c:pt idx="16">
                  <c:v>0.22</c:v>
                </c:pt>
                <c:pt idx="17">
                  <c:v>0.2</c:v>
                </c:pt>
                <c:pt idx="18">
                  <c:v>0.2</c:v>
                </c:pt>
                <c:pt idx="19">
                  <c:v>0.18000000000000024</c:v>
                </c:pt>
                <c:pt idx="20">
                  <c:v>0.16</c:v>
                </c:pt>
                <c:pt idx="21">
                  <c:v>0.16</c:v>
                </c:pt>
                <c:pt idx="22">
                  <c:v>0.16</c:v>
                </c:pt>
                <c:pt idx="23">
                  <c:v>0.14000000000000001</c:v>
                </c:pt>
                <c:pt idx="24">
                  <c:v>0.14000000000000001</c:v>
                </c:pt>
                <c:pt idx="25">
                  <c:v>0.14000000000000001</c:v>
                </c:pt>
                <c:pt idx="26">
                  <c:v>0.12000000000000002</c:v>
                </c:pt>
                <c:pt idx="27">
                  <c:v>0.12000000000000002</c:v>
                </c:pt>
                <c:pt idx="28">
                  <c:v>0.12000000000000002</c:v>
                </c:pt>
                <c:pt idx="29">
                  <c:v>0.12000000000000002</c:v>
                </c:pt>
                <c:pt idx="30">
                  <c:v>8.0000000000000043E-2</c:v>
                </c:pt>
                <c:pt idx="31">
                  <c:v>8.0000000000000043E-2</c:v>
                </c:pt>
                <c:pt idx="32">
                  <c:v>8.0000000000000043E-2</c:v>
                </c:pt>
                <c:pt idx="33">
                  <c:v>8.0000000000000043E-2</c:v>
                </c:pt>
                <c:pt idx="34">
                  <c:v>8.0000000000000043E-2</c:v>
                </c:pt>
                <c:pt idx="35">
                  <c:v>8.0000000000000043E-2</c:v>
                </c:pt>
                <c:pt idx="36">
                  <c:v>8.0000000000000043E-2</c:v>
                </c:pt>
                <c:pt idx="37">
                  <c:v>8.0000000000000043E-2</c:v>
                </c:pt>
                <c:pt idx="38">
                  <c:v>8.0000000000000043E-2</c:v>
                </c:pt>
                <c:pt idx="39">
                  <c:v>8.0000000000000043E-2</c:v>
                </c:pt>
                <c:pt idx="40">
                  <c:v>8.0000000000000043E-2</c:v>
                </c:pt>
                <c:pt idx="41">
                  <c:v>8.0000000000000043E-2</c:v>
                </c:pt>
                <c:pt idx="42">
                  <c:v>8.0000000000000043E-2</c:v>
                </c:pt>
                <c:pt idx="43">
                  <c:v>8.0000000000000043E-2</c:v>
                </c:pt>
                <c:pt idx="44">
                  <c:v>4.0000000000000022E-2</c:v>
                </c:pt>
                <c:pt idx="45">
                  <c:v>4.0000000000000022E-2</c:v>
                </c:pt>
                <c:pt idx="46">
                  <c:v>4.0000000000000022E-2</c:v>
                </c:pt>
                <c:pt idx="47">
                  <c:v>4.0000000000000022E-2</c:v>
                </c:pt>
                <c:pt idx="48">
                  <c:v>4.0000000000000022E-2</c:v>
                </c:pt>
                <c:pt idx="49">
                  <c:v>4.0000000000000022E-2</c:v>
                </c:pt>
                <c:pt idx="50">
                  <c:v>4.0000000000000022E-2</c:v>
                </c:pt>
                <c:pt idx="51">
                  <c:v>4.0000000000000022E-2</c:v>
                </c:pt>
                <c:pt idx="52">
                  <c:v>4.0000000000000022E-2</c:v>
                </c:pt>
                <c:pt idx="53">
                  <c:v>4.0000000000000022E-2</c:v>
                </c:pt>
                <c:pt idx="54">
                  <c:v>4.0000000000000022E-2</c:v>
                </c:pt>
                <c:pt idx="55">
                  <c:v>4.0000000000000022E-2</c:v>
                </c:pt>
                <c:pt idx="56">
                  <c:v>4.0000000000000022E-2</c:v>
                </c:pt>
                <c:pt idx="57">
                  <c:v>4.0000000000000022E-2</c:v>
                </c:pt>
                <c:pt idx="58">
                  <c:v>4.0000000000000022E-2</c:v>
                </c:pt>
                <c:pt idx="59">
                  <c:v>4.0000000000000022E-2</c:v>
                </c:pt>
                <c:pt idx="60">
                  <c:v>4.0000000000000022E-2</c:v>
                </c:pt>
                <c:pt idx="61">
                  <c:v>4.0000000000000022E-2</c:v>
                </c:pt>
                <c:pt idx="62">
                  <c:v>4.0000000000000022E-2</c:v>
                </c:pt>
                <c:pt idx="63">
                  <c:v>4.0000000000000022E-2</c:v>
                </c:pt>
                <c:pt idx="64">
                  <c:v>4.0000000000000022E-2</c:v>
                </c:pt>
                <c:pt idx="65">
                  <c:v>4.0000000000000022E-2</c:v>
                </c:pt>
                <c:pt idx="66">
                  <c:v>4.0000000000000022E-2</c:v>
                </c:pt>
                <c:pt idx="67">
                  <c:v>4.0000000000000022E-2</c:v>
                </c:pt>
                <c:pt idx="68">
                  <c:v>4.0000000000000022E-2</c:v>
                </c:pt>
                <c:pt idx="69">
                  <c:v>4.0000000000000022E-2</c:v>
                </c:pt>
                <c:pt idx="70">
                  <c:v>4.0000000000000022E-2</c:v>
                </c:pt>
                <c:pt idx="71">
                  <c:v>4.0000000000000022E-2</c:v>
                </c:pt>
                <c:pt idx="72">
                  <c:v>4.0000000000000022E-2</c:v>
                </c:pt>
                <c:pt idx="73">
                  <c:v>4.0000000000000022E-2</c:v>
                </c:pt>
                <c:pt idx="74">
                  <c:v>4.0000000000000022E-2</c:v>
                </c:pt>
                <c:pt idx="75">
                  <c:v>4.0000000000000022E-2</c:v>
                </c:pt>
                <c:pt idx="76">
                  <c:v>4.0000000000000022E-2</c:v>
                </c:pt>
                <c:pt idx="77">
                  <c:v>4.0000000000000022E-2</c:v>
                </c:pt>
                <c:pt idx="78">
                  <c:v>4.0000000000000022E-2</c:v>
                </c:pt>
                <c:pt idx="79">
                  <c:v>4.0000000000000022E-2</c:v>
                </c:pt>
                <c:pt idx="80">
                  <c:v>4.0000000000000022E-2</c:v>
                </c:pt>
                <c:pt idx="81">
                  <c:v>4.0000000000000022E-2</c:v>
                </c:pt>
                <c:pt idx="82">
                  <c:v>4.0000000000000022E-2</c:v>
                </c:pt>
                <c:pt idx="83">
                  <c:v>4.0000000000000022E-2</c:v>
                </c:pt>
                <c:pt idx="84">
                  <c:v>4.0000000000000022E-2</c:v>
                </c:pt>
                <c:pt idx="85">
                  <c:v>4.0000000000000022E-2</c:v>
                </c:pt>
                <c:pt idx="86">
                  <c:v>4.0000000000000022E-2</c:v>
                </c:pt>
                <c:pt idx="87">
                  <c:v>4.0000000000000022E-2</c:v>
                </c:pt>
                <c:pt idx="88">
                  <c:v>4.0000000000000022E-2</c:v>
                </c:pt>
                <c:pt idx="89">
                  <c:v>4.0000000000000022E-2</c:v>
                </c:pt>
                <c:pt idx="90">
                  <c:v>4.0000000000000022E-2</c:v>
                </c:pt>
                <c:pt idx="91">
                  <c:v>4.0000000000000022E-2</c:v>
                </c:pt>
                <c:pt idx="92">
                  <c:v>4.0000000000000022E-2</c:v>
                </c:pt>
                <c:pt idx="93">
                  <c:v>4.0000000000000022E-2</c:v>
                </c:pt>
                <c:pt idx="94">
                  <c:v>4.0000000000000022E-2</c:v>
                </c:pt>
                <c:pt idx="95">
                  <c:v>4.0000000000000022E-2</c:v>
                </c:pt>
                <c:pt idx="96">
                  <c:v>4.0000000000000022E-2</c:v>
                </c:pt>
                <c:pt idx="97">
                  <c:v>4.0000000000000022E-2</c:v>
                </c:pt>
                <c:pt idx="98">
                  <c:v>4.0000000000000022E-2</c:v>
                </c:pt>
                <c:pt idx="99">
                  <c:v>4.0000000000000022E-2</c:v>
                </c:pt>
                <c:pt idx="100">
                  <c:v>4.0000000000000022E-2</c:v>
                </c:pt>
                <c:pt idx="101">
                  <c:v>4.0000000000000022E-2</c:v>
                </c:pt>
                <c:pt idx="102">
                  <c:v>4.0000000000000022E-2</c:v>
                </c:pt>
                <c:pt idx="103">
                  <c:v>4.0000000000000022E-2</c:v>
                </c:pt>
                <c:pt idx="104">
                  <c:v>4.0000000000000022E-2</c:v>
                </c:pt>
                <c:pt idx="105">
                  <c:v>4.0000000000000022E-2</c:v>
                </c:pt>
                <c:pt idx="106">
                  <c:v>4.0000000000000022E-2</c:v>
                </c:pt>
                <c:pt idx="107">
                  <c:v>4.0000000000000022E-2</c:v>
                </c:pt>
                <c:pt idx="108">
                  <c:v>4.0000000000000022E-2</c:v>
                </c:pt>
                <c:pt idx="109">
                  <c:v>4.0000000000000022E-2</c:v>
                </c:pt>
                <c:pt idx="110">
                  <c:v>4.0000000000000022E-2</c:v>
                </c:pt>
                <c:pt idx="111">
                  <c:v>4.0000000000000022E-2</c:v>
                </c:pt>
                <c:pt idx="112">
                  <c:v>4.0000000000000022E-2</c:v>
                </c:pt>
                <c:pt idx="113">
                  <c:v>4.0000000000000022E-2</c:v>
                </c:pt>
                <c:pt idx="114">
                  <c:v>4.0000000000000022E-2</c:v>
                </c:pt>
                <c:pt idx="115">
                  <c:v>4.0000000000000022E-2</c:v>
                </c:pt>
                <c:pt idx="116">
                  <c:v>4.0000000000000022E-2</c:v>
                </c:pt>
                <c:pt idx="117">
                  <c:v>4.0000000000000022E-2</c:v>
                </c:pt>
                <c:pt idx="118">
                  <c:v>4.0000000000000022E-2</c:v>
                </c:pt>
                <c:pt idx="119">
                  <c:v>4.0000000000000022E-2</c:v>
                </c:pt>
                <c:pt idx="120">
                  <c:v>4.0000000000000022E-2</c:v>
                </c:pt>
                <c:pt idx="121">
                  <c:v>4.0000000000000022E-2</c:v>
                </c:pt>
                <c:pt idx="122">
                  <c:v>4.0000000000000022E-2</c:v>
                </c:pt>
                <c:pt idx="123">
                  <c:v>4.0000000000000022E-2</c:v>
                </c:pt>
                <c:pt idx="124">
                  <c:v>4.0000000000000022E-2</c:v>
                </c:pt>
                <c:pt idx="125">
                  <c:v>4.0000000000000022E-2</c:v>
                </c:pt>
                <c:pt idx="126">
                  <c:v>4.0000000000000022E-2</c:v>
                </c:pt>
                <c:pt idx="127">
                  <c:v>4.0000000000000022E-2</c:v>
                </c:pt>
                <c:pt idx="128">
                  <c:v>4.0000000000000022E-2</c:v>
                </c:pt>
                <c:pt idx="129">
                  <c:v>4.0000000000000022E-2</c:v>
                </c:pt>
                <c:pt idx="130">
                  <c:v>4.0000000000000022E-2</c:v>
                </c:pt>
                <c:pt idx="131">
                  <c:v>4.0000000000000022E-2</c:v>
                </c:pt>
                <c:pt idx="132">
                  <c:v>4.0000000000000022E-2</c:v>
                </c:pt>
                <c:pt idx="133">
                  <c:v>4.0000000000000022E-2</c:v>
                </c:pt>
                <c:pt idx="134">
                  <c:v>4.0000000000000022E-2</c:v>
                </c:pt>
                <c:pt idx="135">
                  <c:v>4.0000000000000022E-2</c:v>
                </c:pt>
                <c:pt idx="136">
                  <c:v>4.0000000000000022E-2</c:v>
                </c:pt>
                <c:pt idx="137">
                  <c:v>4.0000000000000022E-2</c:v>
                </c:pt>
                <c:pt idx="138">
                  <c:v>4.0000000000000022E-2</c:v>
                </c:pt>
                <c:pt idx="139">
                  <c:v>4.0000000000000022E-2</c:v>
                </c:pt>
                <c:pt idx="140">
                  <c:v>4.0000000000000022E-2</c:v>
                </c:pt>
                <c:pt idx="141">
                  <c:v>4.0000000000000022E-2</c:v>
                </c:pt>
                <c:pt idx="142">
                  <c:v>4.0000000000000022E-2</c:v>
                </c:pt>
                <c:pt idx="143">
                  <c:v>4.0000000000000022E-2</c:v>
                </c:pt>
                <c:pt idx="144">
                  <c:v>4.0000000000000022E-2</c:v>
                </c:pt>
                <c:pt idx="145">
                  <c:v>4.0000000000000022E-2</c:v>
                </c:pt>
                <c:pt idx="146">
                  <c:v>4.0000000000000022E-2</c:v>
                </c:pt>
                <c:pt idx="147">
                  <c:v>4.0000000000000022E-2</c:v>
                </c:pt>
                <c:pt idx="148">
                  <c:v>4.0000000000000022E-2</c:v>
                </c:pt>
                <c:pt idx="149">
                  <c:v>4.0000000000000022E-2</c:v>
                </c:pt>
                <c:pt idx="150">
                  <c:v>4.0000000000000022E-2</c:v>
                </c:pt>
                <c:pt idx="151">
                  <c:v>4.0000000000000022E-2</c:v>
                </c:pt>
                <c:pt idx="152">
                  <c:v>4.0000000000000022E-2</c:v>
                </c:pt>
                <c:pt idx="153">
                  <c:v>4.0000000000000022E-2</c:v>
                </c:pt>
                <c:pt idx="154">
                  <c:v>4.0000000000000022E-2</c:v>
                </c:pt>
                <c:pt idx="155">
                  <c:v>4.0000000000000022E-2</c:v>
                </c:pt>
                <c:pt idx="156">
                  <c:v>4.0000000000000022E-2</c:v>
                </c:pt>
                <c:pt idx="157">
                  <c:v>4.0000000000000022E-2</c:v>
                </c:pt>
                <c:pt idx="158">
                  <c:v>4.0000000000000022E-2</c:v>
                </c:pt>
                <c:pt idx="159">
                  <c:v>4.0000000000000022E-2</c:v>
                </c:pt>
                <c:pt idx="160">
                  <c:v>4.0000000000000022E-2</c:v>
                </c:pt>
                <c:pt idx="161">
                  <c:v>4.0000000000000022E-2</c:v>
                </c:pt>
                <c:pt idx="162">
                  <c:v>4.0000000000000022E-2</c:v>
                </c:pt>
                <c:pt idx="163">
                  <c:v>4.0000000000000022E-2</c:v>
                </c:pt>
                <c:pt idx="164">
                  <c:v>4.0000000000000022E-2</c:v>
                </c:pt>
                <c:pt idx="165">
                  <c:v>4.0000000000000022E-2</c:v>
                </c:pt>
                <c:pt idx="166">
                  <c:v>4.0000000000000022E-2</c:v>
                </c:pt>
                <c:pt idx="167">
                  <c:v>4.0000000000000022E-2</c:v>
                </c:pt>
                <c:pt idx="168">
                  <c:v>4.0000000000000022E-2</c:v>
                </c:pt>
                <c:pt idx="169">
                  <c:v>4.0000000000000022E-2</c:v>
                </c:pt>
                <c:pt idx="170">
                  <c:v>4.0000000000000022E-2</c:v>
                </c:pt>
                <c:pt idx="171">
                  <c:v>4.0000000000000022E-2</c:v>
                </c:pt>
                <c:pt idx="172">
                  <c:v>4.0000000000000022E-2</c:v>
                </c:pt>
                <c:pt idx="173">
                  <c:v>4.0000000000000022E-2</c:v>
                </c:pt>
                <c:pt idx="174">
                  <c:v>4.0000000000000022E-2</c:v>
                </c:pt>
                <c:pt idx="175">
                  <c:v>4.0000000000000022E-2</c:v>
                </c:pt>
                <c:pt idx="176">
                  <c:v>4.0000000000000022E-2</c:v>
                </c:pt>
                <c:pt idx="177">
                  <c:v>4.0000000000000022E-2</c:v>
                </c:pt>
                <c:pt idx="178">
                  <c:v>4.0000000000000022E-2</c:v>
                </c:pt>
                <c:pt idx="179">
                  <c:v>4.0000000000000022E-2</c:v>
                </c:pt>
                <c:pt idx="180">
                  <c:v>4.0000000000000022E-2</c:v>
                </c:pt>
              </c:numCache>
            </c:numRef>
          </c:yVal>
          <c:smooth val="0"/>
        </c:ser>
        <c:ser>
          <c:idx val="2"/>
          <c:order val="2"/>
          <c:tx>
            <c:strRef>
              <c:f>Лист1!$D$1</c:f>
              <c:strCache>
                <c:ptCount val="1"/>
                <c:pt idx="0">
                  <c:v>additional losses to account for clutter shielding the transmitter BS IMT system AhTx = 19 dB</c:v>
                </c:pt>
              </c:strCache>
            </c:strRef>
          </c:tx>
          <c:spPr>
            <a:ln>
              <a:solidFill>
                <a:sysClr val="windowText" lastClr="000000"/>
              </a:solidFill>
              <a:prstDash val="solid"/>
            </a:ln>
          </c:spPr>
          <c:marker>
            <c:symbol val="none"/>
          </c:marker>
          <c:xVal>
            <c:numRef>
              <c:f>Лист1!$A$2:$A$183</c:f>
              <c:numCache>
                <c:formatCode>General</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Лист1!$D$2:$D$183</c:f>
              <c:numCache>
                <c:formatCode>General</c:formatCode>
                <c:ptCount val="182"/>
                <c:pt idx="0">
                  <c:v>15.1</c:v>
                </c:pt>
                <c:pt idx="1">
                  <c:v>3.08</c:v>
                </c:pt>
                <c:pt idx="2">
                  <c:v>1.02</c:v>
                </c:pt>
                <c:pt idx="3">
                  <c:v>0.62000000000000133</c:v>
                </c:pt>
                <c:pt idx="4">
                  <c:v>0.44</c:v>
                </c:pt>
                <c:pt idx="5">
                  <c:v>0.34</c:v>
                </c:pt>
                <c:pt idx="6">
                  <c:v>0.26</c:v>
                </c:pt>
                <c:pt idx="7">
                  <c:v>0.22</c:v>
                </c:pt>
                <c:pt idx="8">
                  <c:v>0.18000000000000024</c:v>
                </c:pt>
                <c:pt idx="9">
                  <c:v>0.16</c:v>
                </c:pt>
                <c:pt idx="10">
                  <c:v>0.14000000000000001</c:v>
                </c:pt>
                <c:pt idx="11">
                  <c:v>0.12000000000000002</c:v>
                </c:pt>
                <c:pt idx="12">
                  <c:v>0.12000000000000002</c:v>
                </c:pt>
                <c:pt idx="13">
                  <c:v>8.0000000000000043E-2</c:v>
                </c:pt>
                <c:pt idx="14">
                  <c:v>8.0000000000000043E-2</c:v>
                </c:pt>
                <c:pt idx="15">
                  <c:v>8.0000000000000043E-2</c:v>
                </c:pt>
                <c:pt idx="16">
                  <c:v>8.0000000000000043E-2</c:v>
                </c:pt>
                <c:pt idx="17">
                  <c:v>8.0000000000000043E-2</c:v>
                </c:pt>
                <c:pt idx="18">
                  <c:v>8.0000000000000043E-2</c:v>
                </c:pt>
                <c:pt idx="19">
                  <c:v>8.0000000000000043E-2</c:v>
                </c:pt>
                <c:pt idx="20">
                  <c:v>4.0000000000000022E-2</c:v>
                </c:pt>
                <c:pt idx="21">
                  <c:v>4.0000000000000022E-2</c:v>
                </c:pt>
                <c:pt idx="22">
                  <c:v>4.0000000000000022E-2</c:v>
                </c:pt>
                <c:pt idx="23">
                  <c:v>4.0000000000000022E-2</c:v>
                </c:pt>
                <c:pt idx="24">
                  <c:v>4.0000000000000022E-2</c:v>
                </c:pt>
                <c:pt idx="25">
                  <c:v>4.0000000000000022E-2</c:v>
                </c:pt>
                <c:pt idx="26">
                  <c:v>4.0000000000000022E-2</c:v>
                </c:pt>
                <c:pt idx="27">
                  <c:v>4.0000000000000022E-2</c:v>
                </c:pt>
                <c:pt idx="28">
                  <c:v>4.0000000000000022E-2</c:v>
                </c:pt>
                <c:pt idx="29">
                  <c:v>4.0000000000000022E-2</c:v>
                </c:pt>
                <c:pt idx="30">
                  <c:v>4.0000000000000022E-2</c:v>
                </c:pt>
                <c:pt idx="31">
                  <c:v>4.0000000000000022E-2</c:v>
                </c:pt>
                <c:pt idx="32">
                  <c:v>4.0000000000000022E-2</c:v>
                </c:pt>
                <c:pt idx="33">
                  <c:v>4.0000000000000022E-2</c:v>
                </c:pt>
                <c:pt idx="34">
                  <c:v>4.0000000000000022E-2</c:v>
                </c:pt>
                <c:pt idx="35">
                  <c:v>4.0000000000000022E-2</c:v>
                </c:pt>
                <c:pt idx="36">
                  <c:v>4.0000000000000022E-2</c:v>
                </c:pt>
                <c:pt idx="37">
                  <c:v>4.0000000000000022E-2</c:v>
                </c:pt>
                <c:pt idx="38">
                  <c:v>4.0000000000000022E-2</c:v>
                </c:pt>
                <c:pt idx="39">
                  <c:v>4.0000000000000022E-2</c:v>
                </c:pt>
                <c:pt idx="40">
                  <c:v>4.0000000000000022E-2</c:v>
                </c:pt>
                <c:pt idx="41">
                  <c:v>4.0000000000000022E-2</c:v>
                </c:pt>
                <c:pt idx="42">
                  <c:v>4.0000000000000022E-2</c:v>
                </c:pt>
                <c:pt idx="43">
                  <c:v>4.0000000000000022E-2</c:v>
                </c:pt>
                <c:pt idx="44">
                  <c:v>4.0000000000000022E-2</c:v>
                </c:pt>
                <c:pt idx="45">
                  <c:v>4.0000000000000022E-2</c:v>
                </c:pt>
                <c:pt idx="46">
                  <c:v>4.0000000000000022E-2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489727152"/>
        <c:axId val="489727544"/>
      </c:scatterChart>
      <c:valAx>
        <c:axId val="489727152"/>
        <c:scaling>
          <c:logBase val="10"/>
          <c:orientation val="minMax"/>
          <c:max val="180"/>
          <c:min val="0.1"/>
        </c:scaling>
        <c:delete val="0"/>
        <c:axPos val="b"/>
        <c:majorGridlines/>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manualLayout>
              <c:xMode val="edge"/>
              <c:yMode val="edge"/>
              <c:x val="0.40533582396105"/>
              <c:y val="0.92194092827004215"/>
            </c:manualLayout>
          </c:layout>
          <c:overlay val="0"/>
        </c:title>
        <c:numFmt formatCode="General" sourceLinked="1"/>
        <c:majorTickMark val="out"/>
        <c:minorTickMark val="none"/>
        <c:tickLblPos val="low"/>
        <c:txPr>
          <a:bodyPr/>
          <a:lstStyle/>
          <a:p>
            <a:pPr>
              <a:defRPr sz="1000"/>
            </a:pPr>
            <a:endParaRPr lang="en-US"/>
          </a:p>
        </c:txPr>
        <c:crossAx val="489727544"/>
        <c:crosses val="autoZero"/>
        <c:crossBetween val="midCat"/>
      </c:valAx>
      <c:valAx>
        <c:axId val="489727544"/>
        <c:scaling>
          <c:logBase val="10"/>
          <c:orientation val="minMax"/>
          <c:max val="100"/>
          <c:min val="1.0000000000000005E-2"/>
        </c:scaling>
        <c:delete val="0"/>
        <c:axPos val="l"/>
        <c:majorGridlines/>
        <c:minorGridlines/>
        <c:title>
          <c:tx>
            <c:rich>
              <a:bodyPr rot="-5400000" vert="horz" anchor="ctr" anchorCtr="0"/>
              <a:lstStyle/>
              <a:p>
                <a:pPr>
                  <a:defRPr/>
                </a:pPr>
                <a:r>
                  <a:rPr lang="en-US" sz="1200" b="1" i="1" baseline="0">
                    <a:effectLst/>
                  </a:rPr>
                  <a:t>d</a:t>
                </a:r>
                <a:r>
                  <a:rPr lang="en-US" sz="1200" b="1" i="1" baseline="-25000">
                    <a:effectLst/>
                  </a:rPr>
                  <a:t>FS-IMT</a:t>
                </a:r>
                <a:r>
                  <a:rPr lang="en-US" sz="1200" b="1" i="0" baseline="-25000">
                    <a:effectLst/>
                  </a:rPr>
                  <a:t>  </a:t>
                </a:r>
                <a:r>
                  <a:rPr lang="en-US" sz="1200" b="1" i="0" baseline="0">
                    <a:effectLst/>
                  </a:rPr>
                  <a:t>(km)</a:t>
                </a:r>
                <a:endParaRPr lang="ru-RU" sz="1200">
                  <a:effectLst/>
                </a:endParaRPr>
              </a:p>
            </c:rich>
          </c:tx>
          <c:layout>
            <c:manualLayout>
              <c:xMode val="edge"/>
              <c:yMode val="edge"/>
              <c:x val="2.2725996459744914E-2"/>
              <c:y val="0.44390470421966605"/>
            </c:manualLayout>
          </c:layout>
          <c:overlay val="0"/>
        </c:title>
        <c:numFmt formatCode="General" sourceLinked="1"/>
        <c:majorTickMark val="none"/>
        <c:minorTickMark val="none"/>
        <c:tickLblPos val="low"/>
        <c:txPr>
          <a:bodyPr/>
          <a:lstStyle/>
          <a:p>
            <a:pPr>
              <a:defRPr sz="1000"/>
            </a:pPr>
            <a:endParaRPr lang="en-US"/>
          </a:p>
        </c:txPr>
        <c:crossAx val="489727152"/>
        <c:crosses val="autoZero"/>
        <c:crossBetween val="midCat"/>
        <c:majorUnit val="10"/>
        <c:minorUnit val="2"/>
      </c:valAx>
    </c:plotArea>
    <c:legend>
      <c:legendPos val="r"/>
      <c:layout>
        <c:manualLayout>
          <c:xMode val="edge"/>
          <c:yMode val="edge"/>
          <c:x val="0.58124043176274831"/>
          <c:y val="0.16258792650918635"/>
          <c:w val="0.39879450759973406"/>
          <c:h val="0.27292038495188198"/>
        </c:manualLayout>
      </c:layout>
      <c:overlay val="0"/>
      <c:spPr>
        <a:solidFill>
          <a:schemeClr val="bg1"/>
        </a:solidFill>
      </c:spPr>
      <c:txPr>
        <a:bodyPr/>
        <a:lstStyle/>
        <a:p>
          <a:pPr>
            <a:defRPr sz="700"/>
          </a:pPr>
          <a:endParaRPr lang="en-US"/>
        </a:p>
      </c:txPr>
    </c:legend>
    <c:plotVisOnly val="1"/>
    <c:dispBlanksAs val="gap"/>
    <c:showDLblsOverMax val="0"/>
  </c:chart>
  <c:spPr>
    <a:ln w="15875">
      <a:solidFill>
        <a:schemeClr val="tx1"/>
      </a:solid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fr-FR" sz="700" b="1" i="1" baseline="0">
                <a:effectLst/>
              </a:rPr>
              <a:t>I</a:t>
            </a:r>
            <a:r>
              <a:rPr lang="fr-FR" sz="700" b="1" i="0" baseline="0">
                <a:effectLst/>
              </a:rPr>
              <a:t>/</a:t>
            </a:r>
            <a:r>
              <a:rPr lang="fr-FR" sz="700" b="1" i="1" baseline="0">
                <a:effectLst/>
              </a:rPr>
              <a:t>N</a:t>
            </a:r>
            <a:r>
              <a:rPr lang="fr-FR" sz="700" b="1" i="0" baseline="0">
                <a:effectLst/>
              </a:rPr>
              <a:t>) </a:t>
            </a:r>
            <a:r>
              <a:rPr lang="en-GB" sz="700" b="1" i="1" baseline="-25000">
                <a:effectLst/>
              </a:rPr>
              <a:t>required</a:t>
            </a:r>
            <a:r>
              <a:rPr lang="fr-FR" sz="700" b="1" i="0" baseline="0">
                <a:effectLst/>
              </a:rPr>
              <a:t>  = -10 dB</a:t>
            </a:r>
            <a:endParaRPr lang="ru-RU" sz="700">
              <a:effectLst/>
            </a:endParaRPr>
          </a:p>
          <a:p>
            <a:pPr algn="l">
              <a:defRPr sz="700"/>
            </a:pPr>
            <a:r>
              <a:rPr lang="fr-FR" sz="700" b="1" i="0" baseline="0">
                <a:effectLst/>
              </a:rPr>
              <a:t>Channel Separation 29.65  MHz;           </a:t>
            </a:r>
            <a:endParaRPr lang="ru-RU" sz="700">
              <a:effectLst/>
            </a:endParaRPr>
          </a:p>
          <a:p>
            <a:pPr algn="l">
              <a:defRPr sz="700"/>
            </a:pPr>
            <a:r>
              <a:rPr lang="en-GB" sz="700" b="1" i="0" baseline="0">
                <a:effectLst/>
              </a:rPr>
              <a:t>First adjacent channel</a:t>
            </a:r>
            <a:r>
              <a:rPr lang="ru-RU" sz="700" b="1" i="0" baseline="0">
                <a:effectLst/>
              </a:rPr>
              <a:t> </a:t>
            </a:r>
            <a:r>
              <a:rPr lang="en-GB" sz="700" b="1" i="0" baseline="0">
                <a:effectLst/>
              </a:rPr>
              <a:t> (</a:t>
            </a:r>
            <a:r>
              <a:rPr lang="en-US" sz="700" b="1" i="1" baseline="0">
                <a:effectLst/>
              </a:rPr>
              <a:t>MD</a:t>
            </a:r>
            <a:r>
              <a:rPr lang="en-US" sz="700" b="1" i="0" baseline="0">
                <a:effectLst/>
              </a:rPr>
              <a:t> +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a:t>
            </a:r>
            <a:r>
              <a:rPr lang="ru-RU" sz="700" b="1" i="0" baseline="0">
                <a:effectLst/>
              </a:rPr>
              <a:t>45</a:t>
            </a:r>
            <a:r>
              <a:rPr lang="en-US" sz="700" b="1" i="0" baseline="0">
                <a:effectLst/>
              </a:rPr>
              <a:t> dB);</a:t>
            </a:r>
            <a:endParaRPr lang="ru-RU" sz="700">
              <a:effectLst/>
            </a:endParaRPr>
          </a:p>
          <a:p>
            <a:pPr algn="l">
              <a:defRPr sz="700"/>
            </a:pPr>
            <a:r>
              <a:rPr lang="ru-RU" sz="700" b="1" i="0" baseline="0">
                <a:effectLst/>
              </a:rPr>
              <a:t> </a:t>
            </a:r>
            <a:r>
              <a:rPr lang="en-GB" sz="700" b="1" i="1" baseline="0">
                <a:effectLst/>
              </a:rPr>
              <a:t>a</a:t>
            </a:r>
            <a:r>
              <a:rPr lang="en-GB" sz="700" b="1" i="1" baseline="-25000">
                <a:effectLst/>
              </a:rPr>
              <a:t>indoor</a:t>
            </a:r>
            <a:r>
              <a:rPr lang="en-GB" sz="700" b="1" i="0" baseline="0">
                <a:effectLst/>
              </a:rPr>
              <a:t> = 25 dB</a:t>
            </a:r>
            <a:endParaRPr lang="ru-RU" sz="700">
              <a:effectLst/>
            </a:endParaRPr>
          </a:p>
        </c:rich>
      </c:tx>
      <c:layout>
        <c:manualLayout>
          <c:xMode val="edge"/>
          <c:yMode val="edge"/>
          <c:x val="0.17387132164035052"/>
          <c:y val="2.4831932240354095E-2"/>
        </c:manualLayout>
      </c:layout>
      <c:overlay val="0"/>
    </c:title>
    <c:autoTitleDeleted val="0"/>
    <c:plotArea>
      <c:layout>
        <c:manualLayout>
          <c:layoutTarget val="inner"/>
          <c:xMode val="edge"/>
          <c:yMode val="edge"/>
          <c:x val="0.12273668075340539"/>
          <c:y val="0.18486596072042774"/>
          <c:w val="0.82991851956515261"/>
          <c:h val="0.69697566789658705"/>
        </c:manualLayout>
      </c:layout>
      <c:scatterChart>
        <c:scatterStyle val="lineMarker"/>
        <c:varyColors val="0"/>
        <c:ser>
          <c:idx val="0"/>
          <c:order val="0"/>
          <c:tx>
            <c:strRef>
              <c:f>Лист1!$B$1</c:f>
              <c:strCache>
                <c:ptCount val="1"/>
                <c:pt idx="0">
                  <c:v>additional losses to account for clutter shielding the transmitter BS IMT system AhTx = 0 dB</c:v>
                </c:pt>
              </c:strCache>
            </c:strRef>
          </c:tx>
          <c:spPr>
            <a:ln>
              <a:solidFill>
                <a:srgbClr val="FF0000"/>
              </a:solidFill>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0.72000000000000064</c:v>
                </c:pt>
                <c:pt idx="1">
                  <c:v>0.16</c:v>
                </c:pt>
                <c:pt idx="2">
                  <c:v>4.0000000000000022E-2</c:v>
                </c:pt>
                <c:pt idx="3">
                  <c:v>4.0000000000000022E-2</c:v>
                </c:pt>
                <c:pt idx="4">
                  <c:v>4.0000000000000022E-2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additional losses to account for clutter shielding the transmitter BS IMT system AhTx = 10 dB</c:v>
                </c:pt>
              </c:strCache>
            </c:strRef>
          </c:tx>
          <c:spPr>
            <a:ln>
              <a:solidFill>
                <a:srgbClr val="0070C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0.24000000000000021</c:v>
                </c:pt>
                <c:pt idx="1">
                  <c:v>4.0000000000000022E-2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additional losses to account for clutter shielding the transmitter BS IMT system AhTx = 19 dB</c:v>
                </c:pt>
              </c:strCache>
            </c:strRef>
          </c:tx>
          <c:spPr>
            <a:ln>
              <a:solidFill>
                <a:sysClr val="windowText" lastClr="00000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8.0000000000000043E-2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622930216"/>
        <c:axId val="622930608"/>
      </c:scatterChart>
      <c:valAx>
        <c:axId val="622930216"/>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manualLayout>
              <c:xMode val="edge"/>
              <c:yMode val="edge"/>
              <c:x val="0.41007179658098292"/>
              <c:y val="0.93180950207311275"/>
            </c:manualLayout>
          </c:layout>
          <c:overlay val="0"/>
        </c:title>
        <c:numFmt formatCode="General" sourceLinked="1"/>
        <c:majorTickMark val="none"/>
        <c:minorTickMark val="none"/>
        <c:tickLblPos val="low"/>
        <c:crossAx val="622930608"/>
        <c:crosses val="autoZero"/>
        <c:crossBetween val="midCat"/>
      </c:valAx>
      <c:valAx>
        <c:axId val="622930608"/>
        <c:scaling>
          <c:logBase val="10"/>
          <c:orientation val="minMax"/>
          <c:max val="1"/>
          <c:min val="1.0000000000000005E-2"/>
        </c:scaling>
        <c:delete val="0"/>
        <c:axPos val="l"/>
        <c:majorGridlines/>
        <c:minorGridlines/>
        <c:title>
          <c:tx>
            <c:rich>
              <a:bodyPr rot="-5400000" vert="horz" anchor="ctr" anchorCtr="1"/>
              <a:lstStyle/>
              <a:p>
                <a:pPr>
                  <a:defRPr/>
                </a:pPr>
                <a:r>
                  <a:rPr lang="en-US" sz="1200" b="1" i="1" baseline="0">
                    <a:effectLst/>
                  </a:rPr>
                  <a:t>d</a:t>
                </a:r>
                <a:r>
                  <a:rPr lang="en-US" sz="1200" b="1" i="1" baseline="-25000">
                    <a:effectLst/>
                  </a:rPr>
                  <a:t>FS-IMT</a:t>
                </a:r>
                <a:r>
                  <a:rPr lang="en-US" sz="1200" b="1" i="0" baseline="0">
                    <a:effectLst/>
                  </a:rPr>
                  <a:t> (km)</a:t>
                </a:r>
                <a:endParaRPr lang="ru-RU" sz="1200">
                  <a:effectLst/>
                </a:endParaRPr>
              </a:p>
            </c:rich>
          </c:tx>
          <c:layout>
            <c:manualLayout>
              <c:xMode val="edge"/>
              <c:yMode val="edge"/>
              <c:x val="2.7842353039203498E-2"/>
              <c:y val="0.42534241190865779"/>
            </c:manualLayout>
          </c:layout>
          <c:overlay val="0"/>
        </c:title>
        <c:numFmt formatCode="General" sourceLinked="1"/>
        <c:majorTickMark val="none"/>
        <c:minorTickMark val="none"/>
        <c:tickLblPos val="low"/>
        <c:crossAx val="622930216"/>
        <c:crosses val="autoZero"/>
        <c:crossBetween val="midCat"/>
      </c:valAx>
      <c:spPr>
        <a:ln>
          <a:solidFill>
            <a:sysClr val="windowText" lastClr="000000"/>
          </a:solidFill>
          <a:prstDash val="solid"/>
        </a:ln>
      </c:spPr>
    </c:plotArea>
    <c:legend>
      <c:legendPos val="l"/>
      <c:layout>
        <c:manualLayout>
          <c:xMode val="edge"/>
          <c:yMode val="edge"/>
          <c:x val="0.53674700774762707"/>
          <c:y val="0.12952462686033453"/>
          <c:w val="0.44363621214014914"/>
          <c:h val="0.2523270823031179"/>
        </c:manualLayout>
      </c:layout>
      <c:overlay val="1"/>
      <c:spPr>
        <a:solidFill>
          <a:schemeClr val="bg1"/>
        </a:solidFill>
      </c:spPr>
      <c:txPr>
        <a:bodyPr/>
        <a:lstStyle/>
        <a:p>
          <a:pPr>
            <a:defRPr sz="700"/>
          </a:pPr>
          <a:endParaRPr lang="en-US"/>
        </a:p>
      </c:txPr>
    </c:legend>
    <c:plotVisOnly val="1"/>
    <c:dispBlanksAs val="gap"/>
    <c:showDLblsOverMax val="0"/>
  </c:chart>
  <c:spPr>
    <a:ln w="15875">
      <a:solidFill>
        <a:schemeClr val="tx1"/>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906E7-EC54-4FFA-8475-030F65858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854</TotalTime>
  <Pages>1</Pages>
  <Words>3653</Words>
  <Characters>23423</Characters>
  <Application>Microsoft Office Word</Application>
  <DocSecurity>0</DocSecurity>
  <Lines>1301</Lines>
  <Paragraphs>182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122</cp:revision>
  <cp:lastPrinted>2015-02-25T14:53:00Z</cp:lastPrinted>
  <dcterms:created xsi:type="dcterms:W3CDTF">2015-02-05T09:00:00Z</dcterms:created>
  <dcterms:modified xsi:type="dcterms:W3CDTF">2015-02-25T14:54:00Z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