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FD9F" w14:textId="77777777" w:rsidR="00D02D31" w:rsidRPr="00C054C3" w:rsidRDefault="00D02D31" w:rsidP="00D02D31"/>
    <w:p w14:paraId="248394CE" w14:textId="77777777" w:rsidR="00D02D31" w:rsidRPr="00C054C3" w:rsidRDefault="00D02D31" w:rsidP="00D02D31">
      <w:pPr>
        <w:tabs>
          <w:tab w:val="clear" w:pos="794"/>
          <w:tab w:val="clear" w:pos="1191"/>
          <w:tab w:val="clear" w:pos="1588"/>
          <w:tab w:val="clear" w:pos="1985"/>
        </w:tabs>
      </w:pPr>
    </w:p>
    <w:p w14:paraId="66F066B8" w14:textId="44CB582F" w:rsidR="00D02D31" w:rsidRPr="00C054C3" w:rsidRDefault="00D02D31" w:rsidP="00D02D31">
      <w:pPr>
        <w:pStyle w:val="CoverNumber"/>
        <w:rPr>
          <w:lang w:val="en-GB"/>
        </w:rPr>
      </w:pPr>
      <w:bookmarkStart w:id="0" w:name="_Toc185519279"/>
      <w:bookmarkStart w:id="1" w:name="_Toc185573770"/>
      <w:r w:rsidRPr="00C054C3">
        <w:rPr>
          <w:lang w:val="en-GB"/>
        </w:rPr>
        <w:t>Report ITU-R BT.</w:t>
      </w:r>
      <w:r w:rsidR="00F870B3" w:rsidRPr="00C054C3">
        <w:rPr>
          <w:lang w:val="en-GB"/>
        </w:rPr>
        <w:t>2468-2</w:t>
      </w:r>
      <w:bookmarkEnd w:id="0"/>
      <w:bookmarkEnd w:id="1"/>
    </w:p>
    <w:p w14:paraId="2FA1906A" w14:textId="5B349E53" w:rsidR="00D02D31" w:rsidRPr="00C054C3" w:rsidRDefault="00D02D31" w:rsidP="00D02D31">
      <w:pPr>
        <w:pStyle w:val="CoverDate"/>
        <w:rPr>
          <w:lang w:val="en-GB"/>
        </w:rPr>
      </w:pPr>
      <w:r w:rsidRPr="00C054C3">
        <w:rPr>
          <w:lang w:val="en-GB"/>
        </w:rPr>
        <w:t>(</w:t>
      </w:r>
      <w:r w:rsidR="00F870B3" w:rsidRPr="00C054C3">
        <w:rPr>
          <w:lang w:val="en-GB"/>
        </w:rPr>
        <w:t>11</w:t>
      </w:r>
      <w:r w:rsidRPr="00C054C3">
        <w:rPr>
          <w:lang w:val="en-GB"/>
        </w:rPr>
        <w:t>/</w:t>
      </w:r>
      <w:r w:rsidR="00F870B3" w:rsidRPr="00C054C3">
        <w:rPr>
          <w:lang w:val="en-GB"/>
        </w:rPr>
        <w:t>2024</w:t>
      </w:r>
      <w:r w:rsidRPr="00C054C3">
        <w:rPr>
          <w:lang w:val="en-GB"/>
        </w:rPr>
        <w:t>)</w:t>
      </w:r>
    </w:p>
    <w:p w14:paraId="642DF7BD" w14:textId="77777777" w:rsidR="00D02D31" w:rsidRPr="00C054C3" w:rsidRDefault="00D02D31" w:rsidP="00D02D31">
      <w:pPr>
        <w:pStyle w:val="CoverSeries"/>
        <w:rPr>
          <w:lang w:val="en-GB"/>
        </w:rPr>
      </w:pPr>
      <w:r w:rsidRPr="00C054C3">
        <w:rPr>
          <w:lang w:val="en-GB"/>
        </w:rPr>
        <w:t xml:space="preserve">BT Series: </w:t>
      </w:r>
      <w:r w:rsidRPr="00C054C3">
        <w:rPr>
          <w:bCs w:val="0"/>
          <w:iCs/>
          <w:lang w:val="en-GB"/>
        </w:rPr>
        <w:t>Broadcasting service (television)</w:t>
      </w:r>
    </w:p>
    <w:p w14:paraId="52860791" w14:textId="41876BE8" w:rsidR="00D02D31" w:rsidRPr="00C054C3" w:rsidRDefault="00F870B3" w:rsidP="00D02D31">
      <w:pPr>
        <w:pStyle w:val="CoverTitle"/>
        <w:rPr>
          <w:lang w:val="en-GB"/>
        </w:rPr>
      </w:pPr>
      <w:r w:rsidRPr="00C054C3">
        <w:rPr>
          <w:lang w:val="en-GB"/>
        </w:rPr>
        <w:t>Guidance for selection of system parameters and implementation of second generation DTTB systems</w:t>
      </w:r>
    </w:p>
    <w:p w14:paraId="7ADD33D1" w14:textId="77777777" w:rsidR="00D02D31" w:rsidRPr="00C054C3" w:rsidRDefault="00D02D31" w:rsidP="00D02D31"/>
    <w:p w14:paraId="1319D995" w14:textId="77777777" w:rsidR="00D02D31" w:rsidRPr="00C054C3" w:rsidRDefault="00D02D31" w:rsidP="00D02D31"/>
    <w:p w14:paraId="61BCD7F5" w14:textId="77777777" w:rsidR="00D02D31" w:rsidRPr="00C054C3" w:rsidRDefault="00D02D31" w:rsidP="00D02D31">
      <w:pPr>
        <w:sectPr w:rsidR="00D02D31" w:rsidRPr="00C054C3" w:rsidSect="00D02D31">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24B5C000" w14:textId="77777777" w:rsidR="00D02D31" w:rsidRPr="00C054C3" w:rsidRDefault="00D02D31" w:rsidP="00D02D31">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rPr>
      </w:pPr>
      <w:bookmarkStart w:id="2" w:name="c2tope"/>
      <w:bookmarkEnd w:id="2"/>
      <w:r w:rsidRPr="00C054C3">
        <w:rPr>
          <w:bCs/>
          <w:sz w:val="24"/>
          <w:szCs w:val="24"/>
        </w:rPr>
        <w:lastRenderedPageBreak/>
        <w:t>Foreword</w:t>
      </w:r>
    </w:p>
    <w:p w14:paraId="6B938C59" w14:textId="77777777" w:rsidR="00D02D31" w:rsidRPr="00C054C3" w:rsidRDefault="00D02D31" w:rsidP="00D02D31">
      <w:pPr>
        <w:spacing w:before="240"/>
        <w:rPr>
          <w:sz w:val="20"/>
        </w:rPr>
      </w:pPr>
      <w:r w:rsidRPr="00C054C3">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67C360F" w14:textId="77777777" w:rsidR="00D02D31" w:rsidRPr="00C054C3" w:rsidRDefault="00D02D31" w:rsidP="00D02D31">
      <w:pPr>
        <w:rPr>
          <w:sz w:val="20"/>
        </w:rPr>
      </w:pPr>
      <w:r w:rsidRPr="00C054C3">
        <w:rPr>
          <w:sz w:val="20"/>
        </w:rPr>
        <w:t>The regulatory and policy functions of the Radiocommunication Sector are performed by World and Regional Radiocommunication Conferences and Radiocommunication Assemblies supported by Study Groups.</w:t>
      </w:r>
    </w:p>
    <w:p w14:paraId="36329D84" w14:textId="77777777" w:rsidR="00D02D31" w:rsidRPr="00C054C3" w:rsidRDefault="00D02D31" w:rsidP="00D02D31">
      <w:pPr>
        <w:pStyle w:val="Heading1"/>
        <w:spacing w:before="400"/>
        <w:jc w:val="center"/>
        <w:rPr>
          <w:szCs w:val="24"/>
        </w:rPr>
      </w:pPr>
    </w:p>
    <w:p w14:paraId="4ED1900B" w14:textId="77777777" w:rsidR="00D02D31" w:rsidRPr="00C054C3" w:rsidRDefault="00D02D31" w:rsidP="00D02D31">
      <w:pPr>
        <w:pStyle w:val="Heading1"/>
        <w:spacing w:before="540"/>
        <w:jc w:val="center"/>
        <w:rPr>
          <w:szCs w:val="24"/>
        </w:rPr>
      </w:pPr>
      <w:bookmarkStart w:id="3" w:name="_Toc185519280"/>
      <w:bookmarkStart w:id="4" w:name="_Toc185573771"/>
      <w:r w:rsidRPr="00C054C3">
        <w:rPr>
          <w:szCs w:val="24"/>
        </w:rPr>
        <w:t>Policy on Intellectual Property Right (IPR)</w:t>
      </w:r>
      <w:bookmarkEnd w:id="3"/>
      <w:bookmarkEnd w:id="4"/>
    </w:p>
    <w:p w14:paraId="588FCD96" w14:textId="77777777" w:rsidR="00D02D31" w:rsidRPr="00C054C3" w:rsidRDefault="00D02D31" w:rsidP="00D02D31">
      <w:pPr>
        <w:tabs>
          <w:tab w:val="left" w:pos="720"/>
        </w:tabs>
        <w:spacing w:before="240"/>
        <w:rPr>
          <w:sz w:val="20"/>
        </w:rPr>
      </w:pPr>
      <w:r w:rsidRPr="00C054C3">
        <w:rPr>
          <w:sz w:val="20"/>
        </w:rPr>
        <w:t>ITU-R policy on IPR is described in the Common Patent Policy for ITU-T/ITU-R/ISO/IEC referenced in Resolution ITU</w:t>
      </w:r>
      <w:r w:rsidRPr="00C054C3">
        <w:rPr>
          <w:sz w:val="20"/>
        </w:rPr>
        <w:noBreakHyphen/>
        <w:t xml:space="preserve">R 1. Forms to be used for the submission of patent statements and licensing declarations by patent holders are available from </w:t>
      </w:r>
      <w:hyperlink r:id="rId10" w:history="1">
        <w:r w:rsidRPr="00C054C3">
          <w:rPr>
            <w:rStyle w:val="Hyperlink"/>
            <w:sz w:val="20"/>
          </w:rPr>
          <w:t>http://www.itu.int/ITU-R/go/patents/en</w:t>
        </w:r>
      </w:hyperlink>
      <w:r w:rsidRPr="00C054C3">
        <w:rPr>
          <w:sz w:val="20"/>
        </w:rPr>
        <w:t xml:space="preserve"> where the Guidelines for Implementation of the Common Patent Policy for ITU</w:t>
      </w:r>
      <w:r w:rsidRPr="00C054C3">
        <w:rPr>
          <w:sz w:val="20"/>
        </w:rPr>
        <w:noBreakHyphen/>
        <w:t>T/ITU</w:t>
      </w:r>
      <w:r w:rsidRPr="00C054C3">
        <w:rPr>
          <w:sz w:val="20"/>
        </w:rPr>
        <w:noBreakHyphen/>
        <w:t xml:space="preserve">R/ISO/IEC and the ITU-R patent information database can also be found. </w:t>
      </w:r>
    </w:p>
    <w:p w14:paraId="1FCEDA4C" w14:textId="77777777" w:rsidR="00D02D31" w:rsidRPr="00C054C3" w:rsidRDefault="00D02D31" w:rsidP="00D02D31">
      <w:pPr>
        <w:jc w:val="center"/>
        <w:rPr>
          <w:sz w:val="22"/>
        </w:rPr>
      </w:pPr>
    </w:p>
    <w:p w14:paraId="5D99512D" w14:textId="77777777" w:rsidR="00D02D31" w:rsidRPr="00C054C3" w:rsidRDefault="00D02D31" w:rsidP="00D02D31">
      <w:pPr>
        <w:jc w:val="center"/>
        <w:rPr>
          <w:sz w:val="22"/>
        </w:rPr>
      </w:pPr>
    </w:p>
    <w:p w14:paraId="5DCC14B2" w14:textId="77777777" w:rsidR="00D02D31" w:rsidRPr="00C054C3" w:rsidRDefault="00D02D31" w:rsidP="00D02D31">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02D31" w:rsidRPr="00C054C3" w14:paraId="407BAF83" w14:textId="77777777" w:rsidTr="00292862">
        <w:tc>
          <w:tcPr>
            <w:tcW w:w="9360" w:type="dxa"/>
            <w:gridSpan w:val="2"/>
            <w:tcBorders>
              <w:top w:val="single" w:sz="12" w:space="0" w:color="000080"/>
              <w:left w:val="single" w:sz="12" w:space="0" w:color="000080"/>
              <w:bottom w:val="nil"/>
              <w:right w:val="single" w:sz="12" w:space="0" w:color="000080"/>
            </w:tcBorders>
          </w:tcPr>
          <w:p w14:paraId="7942D956" w14:textId="77777777" w:rsidR="00D02D31" w:rsidRPr="00C054C3" w:rsidRDefault="00D02D31" w:rsidP="00292862">
            <w:pPr>
              <w:pStyle w:val="ChapNo"/>
              <w:spacing w:before="240"/>
              <w:rPr>
                <w:sz w:val="22"/>
                <w:szCs w:val="22"/>
              </w:rPr>
            </w:pPr>
            <w:r w:rsidRPr="00C054C3">
              <w:rPr>
                <w:sz w:val="22"/>
                <w:szCs w:val="22"/>
              </w:rPr>
              <w:t xml:space="preserve">Series of ITU-R Reports </w:t>
            </w:r>
          </w:p>
          <w:p w14:paraId="1498AEEE" w14:textId="77777777" w:rsidR="00D02D31" w:rsidRPr="00C054C3" w:rsidRDefault="00D02D31" w:rsidP="00292862">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rPr>
            </w:pPr>
            <w:r w:rsidRPr="00C054C3">
              <w:rPr>
                <w:b w:val="0"/>
                <w:sz w:val="18"/>
                <w:szCs w:val="18"/>
              </w:rPr>
              <w:t xml:space="preserve">(Also available online at </w:t>
            </w:r>
            <w:hyperlink r:id="rId11" w:history="1">
              <w:r w:rsidRPr="00C054C3">
                <w:rPr>
                  <w:rStyle w:val="Hyperlink"/>
                  <w:b w:val="0"/>
                  <w:bCs/>
                  <w:sz w:val="18"/>
                  <w:szCs w:val="18"/>
                </w:rPr>
                <w:t>https://www.itu.int/publ/R-REP/en</w:t>
              </w:r>
            </w:hyperlink>
            <w:r w:rsidRPr="00C054C3">
              <w:rPr>
                <w:b w:val="0"/>
                <w:sz w:val="18"/>
                <w:szCs w:val="18"/>
              </w:rPr>
              <w:t>)</w:t>
            </w:r>
          </w:p>
        </w:tc>
      </w:tr>
      <w:tr w:rsidR="00D02D31" w:rsidRPr="00C054C3" w14:paraId="10ADE9E9" w14:textId="77777777" w:rsidTr="00292862">
        <w:tc>
          <w:tcPr>
            <w:tcW w:w="1140" w:type="dxa"/>
            <w:tcBorders>
              <w:top w:val="nil"/>
              <w:left w:val="single" w:sz="12" w:space="0" w:color="000080"/>
              <w:bottom w:val="nil"/>
              <w:right w:val="nil"/>
            </w:tcBorders>
            <w:vAlign w:val="bottom"/>
          </w:tcPr>
          <w:p w14:paraId="64090044" w14:textId="77777777" w:rsidR="00D02D31" w:rsidRPr="00C054C3" w:rsidRDefault="00D02D31" w:rsidP="00292862">
            <w:pPr>
              <w:spacing w:before="200" w:after="100"/>
              <w:ind w:left="57"/>
              <w:jc w:val="left"/>
              <w:rPr>
                <w:b/>
                <w:bCs/>
                <w:sz w:val="20"/>
              </w:rPr>
            </w:pPr>
            <w:r w:rsidRPr="00C054C3">
              <w:rPr>
                <w:b/>
                <w:bCs/>
                <w:sz w:val="20"/>
              </w:rPr>
              <w:t>Series</w:t>
            </w:r>
          </w:p>
        </w:tc>
        <w:tc>
          <w:tcPr>
            <w:tcW w:w="8220" w:type="dxa"/>
            <w:tcBorders>
              <w:top w:val="nil"/>
              <w:left w:val="nil"/>
              <w:bottom w:val="nil"/>
              <w:right w:val="single" w:sz="12" w:space="0" w:color="000080"/>
            </w:tcBorders>
            <w:vAlign w:val="bottom"/>
          </w:tcPr>
          <w:p w14:paraId="485C1C13" w14:textId="77777777" w:rsidR="00D02D31" w:rsidRPr="00C054C3" w:rsidRDefault="00D02D31" w:rsidP="00292862">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rPr>
            </w:pPr>
            <w:r w:rsidRPr="00C054C3">
              <w:rPr>
                <w:bCs/>
                <w:sz w:val="20"/>
              </w:rPr>
              <w:t>Title</w:t>
            </w:r>
          </w:p>
        </w:tc>
      </w:tr>
      <w:tr w:rsidR="00D02D31" w:rsidRPr="00C054C3" w14:paraId="699BB3AC" w14:textId="77777777" w:rsidTr="007D35B3">
        <w:tc>
          <w:tcPr>
            <w:tcW w:w="1140" w:type="dxa"/>
            <w:tcBorders>
              <w:top w:val="nil"/>
              <w:left w:val="single" w:sz="12" w:space="0" w:color="000080"/>
              <w:bottom w:val="nil"/>
              <w:right w:val="nil"/>
            </w:tcBorders>
            <w:shd w:val="clear" w:color="auto" w:fill="auto"/>
          </w:tcPr>
          <w:p w14:paraId="7AF33D6C" w14:textId="77777777" w:rsidR="00D02D31" w:rsidRPr="00C054C3" w:rsidRDefault="00D02D31" w:rsidP="00292862">
            <w:pPr>
              <w:spacing w:before="30" w:after="30"/>
              <w:ind w:left="57"/>
              <w:jc w:val="left"/>
              <w:rPr>
                <w:rFonts w:ascii="Times New Roman Bold" w:hAnsi="Times New Roman Bold" w:cs="Times New Roman Bold"/>
                <w:b/>
                <w:bCs/>
                <w:sz w:val="20"/>
              </w:rPr>
            </w:pPr>
            <w:r w:rsidRPr="00C054C3">
              <w:rPr>
                <w:rFonts w:ascii="Times New Roman Bold" w:hAnsi="Times New Roman Bold" w:cs="Times New Roman Bold"/>
                <w:b/>
                <w:bCs/>
                <w:sz w:val="20"/>
              </w:rPr>
              <w:t>BO</w:t>
            </w:r>
          </w:p>
        </w:tc>
        <w:tc>
          <w:tcPr>
            <w:tcW w:w="8220" w:type="dxa"/>
            <w:tcBorders>
              <w:top w:val="nil"/>
              <w:left w:val="nil"/>
              <w:bottom w:val="nil"/>
              <w:right w:val="single" w:sz="12" w:space="0" w:color="000080"/>
            </w:tcBorders>
            <w:shd w:val="clear" w:color="auto" w:fill="auto"/>
          </w:tcPr>
          <w:p w14:paraId="608857C3" w14:textId="77777777" w:rsidR="00D02D31" w:rsidRPr="00C054C3" w:rsidRDefault="00D02D31" w:rsidP="00292862">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rPr>
            </w:pPr>
            <w:r w:rsidRPr="00C054C3">
              <w:rPr>
                <w:b w:val="0"/>
                <w:sz w:val="20"/>
              </w:rPr>
              <w:t>Satellite delivery</w:t>
            </w:r>
          </w:p>
        </w:tc>
      </w:tr>
      <w:tr w:rsidR="00D02D31" w:rsidRPr="00C054C3" w14:paraId="5C2AA038" w14:textId="77777777" w:rsidTr="00292862">
        <w:tc>
          <w:tcPr>
            <w:tcW w:w="1140" w:type="dxa"/>
            <w:tcBorders>
              <w:top w:val="nil"/>
              <w:left w:val="single" w:sz="12" w:space="0" w:color="000080"/>
              <w:bottom w:val="nil"/>
              <w:right w:val="nil"/>
            </w:tcBorders>
            <w:shd w:val="clear" w:color="auto" w:fill="FFFFFF" w:themeFill="background1"/>
          </w:tcPr>
          <w:p w14:paraId="1548B38A" w14:textId="77777777" w:rsidR="00D02D31" w:rsidRPr="00C054C3" w:rsidRDefault="00D02D31" w:rsidP="00292862">
            <w:pPr>
              <w:spacing w:before="30" w:after="30"/>
              <w:ind w:left="57"/>
              <w:jc w:val="left"/>
              <w:rPr>
                <w:b/>
                <w:bCs/>
                <w:color w:val="000080"/>
                <w:sz w:val="20"/>
              </w:rPr>
            </w:pPr>
            <w:r w:rsidRPr="00C054C3">
              <w:rPr>
                <w:rFonts w:ascii="Times New Roman Bold" w:hAnsi="Times New Roman Bold" w:cs="Times New Roman Bold"/>
                <w:b/>
                <w:bCs/>
                <w:sz w:val="20"/>
              </w:rPr>
              <w:t>BR</w:t>
            </w:r>
          </w:p>
        </w:tc>
        <w:tc>
          <w:tcPr>
            <w:tcW w:w="8220" w:type="dxa"/>
            <w:tcBorders>
              <w:top w:val="nil"/>
              <w:left w:val="nil"/>
              <w:bottom w:val="nil"/>
              <w:right w:val="single" w:sz="12" w:space="0" w:color="000080"/>
            </w:tcBorders>
            <w:shd w:val="clear" w:color="auto" w:fill="FFFFFF" w:themeFill="background1"/>
          </w:tcPr>
          <w:p w14:paraId="211C77BF" w14:textId="77777777" w:rsidR="00D02D31" w:rsidRPr="00C054C3" w:rsidRDefault="00D02D31" w:rsidP="00292862">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rPr>
            </w:pPr>
            <w:r w:rsidRPr="00C054C3">
              <w:rPr>
                <w:b w:val="0"/>
                <w:sz w:val="20"/>
              </w:rPr>
              <w:t>Recording for production, archival and play-out; film for television</w:t>
            </w:r>
          </w:p>
        </w:tc>
      </w:tr>
      <w:tr w:rsidR="00D02D31" w:rsidRPr="00C054C3" w14:paraId="53066A98" w14:textId="77777777" w:rsidTr="00292862">
        <w:tc>
          <w:tcPr>
            <w:tcW w:w="1140" w:type="dxa"/>
            <w:tcBorders>
              <w:top w:val="nil"/>
              <w:left w:val="single" w:sz="12" w:space="0" w:color="000080"/>
              <w:bottom w:val="nil"/>
              <w:right w:val="nil"/>
            </w:tcBorders>
            <w:shd w:val="clear" w:color="auto" w:fill="FFFFFF" w:themeFill="background1"/>
          </w:tcPr>
          <w:p w14:paraId="6A516945" w14:textId="77777777" w:rsidR="00D02D31" w:rsidRPr="00C054C3" w:rsidRDefault="00D02D31" w:rsidP="00292862">
            <w:pPr>
              <w:spacing w:before="30" w:after="30"/>
              <w:ind w:left="57"/>
              <w:jc w:val="left"/>
              <w:rPr>
                <w:rFonts w:ascii="Times New Roman Bold" w:hAnsi="Times New Roman Bold" w:cs="Times New Roman Bold"/>
                <w:b/>
                <w:bCs/>
                <w:sz w:val="20"/>
              </w:rPr>
            </w:pPr>
            <w:r w:rsidRPr="00C054C3">
              <w:rPr>
                <w:rFonts w:ascii="Times New Roman Bold" w:hAnsi="Times New Roman Bold" w:cs="Times New Roman Bold"/>
                <w:b/>
                <w:bCs/>
                <w:sz w:val="20"/>
              </w:rPr>
              <w:t>BS</w:t>
            </w:r>
          </w:p>
        </w:tc>
        <w:tc>
          <w:tcPr>
            <w:tcW w:w="8220" w:type="dxa"/>
            <w:tcBorders>
              <w:top w:val="nil"/>
              <w:left w:val="nil"/>
              <w:bottom w:val="nil"/>
              <w:right w:val="single" w:sz="12" w:space="0" w:color="000080"/>
            </w:tcBorders>
            <w:shd w:val="clear" w:color="auto" w:fill="FFFFFF" w:themeFill="background1"/>
          </w:tcPr>
          <w:p w14:paraId="50406F9B" w14:textId="77777777" w:rsidR="00D02D31" w:rsidRPr="00C054C3" w:rsidRDefault="00D02D31" w:rsidP="00292862">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rPr>
            </w:pPr>
            <w:r w:rsidRPr="00C054C3">
              <w:rPr>
                <w:sz w:val="20"/>
              </w:rPr>
              <w:t>Broadcasting service (sound)</w:t>
            </w:r>
          </w:p>
        </w:tc>
      </w:tr>
      <w:tr w:rsidR="00D02D31" w:rsidRPr="00C054C3" w14:paraId="59EB58AB" w14:textId="77777777" w:rsidTr="00292862">
        <w:tc>
          <w:tcPr>
            <w:tcW w:w="1140" w:type="dxa"/>
            <w:tcBorders>
              <w:top w:val="nil"/>
              <w:left w:val="single" w:sz="12" w:space="0" w:color="000080"/>
              <w:bottom w:val="nil"/>
              <w:right w:val="nil"/>
            </w:tcBorders>
            <w:shd w:val="clear" w:color="auto" w:fill="D9D9D9" w:themeFill="background1" w:themeFillShade="D9"/>
          </w:tcPr>
          <w:p w14:paraId="38342887" w14:textId="77777777" w:rsidR="00D02D31" w:rsidRPr="00C054C3" w:rsidRDefault="00D02D31" w:rsidP="00292862">
            <w:pPr>
              <w:spacing w:before="30" w:after="30"/>
              <w:ind w:left="57"/>
              <w:jc w:val="left"/>
              <w:rPr>
                <w:b/>
                <w:bCs/>
                <w:color w:val="000080"/>
                <w:sz w:val="20"/>
              </w:rPr>
            </w:pPr>
            <w:r w:rsidRPr="00C054C3">
              <w:rPr>
                <w:b/>
                <w:bCs/>
                <w:color w:val="000080"/>
                <w:sz w:val="20"/>
              </w:rPr>
              <w:t>BT</w:t>
            </w:r>
          </w:p>
        </w:tc>
        <w:tc>
          <w:tcPr>
            <w:tcW w:w="8220" w:type="dxa"/>
            <w:tcBorders>
              <w:top w:val="nil"/>
              <w:left w:val="nil"/>
              <w:bottom w:val="nil"/>
              <w:right w:val="single" w:sz="12" w:space="0" w:color="000080"/>
            </w:tcBorders>
            <w:shd w:val="clear" w:color="auto" w:fill="D9D9D9" w:themeFill="background1" w:themeFillShade="D9"/>
          </w:tcPr>
          <w:p w14:paraId="44039EAE" w14:textId="77777777" w:rsidR="00D02D31" w:rsidRPr="00C054C3" w:rsidRDefault="00D02D31" w:rsidP="00292862">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rPr>
            </w:pPr>
            <w:r w:rsidRPr="00C054C3">
              <w:rPr>
                <w:b/>
                <w:bCs/>
                <w:color w:val="000080"/>
                <w:sz w:val="20"/>
              </w:rPr>
              <w:t>Broadcasting service (television)</w:t>
            </w:r>
          </w:p>
        </w:tc>
      </w:tr>
      <w:tr w:rsidR="00D02D31" w:rsidRPr="00C054C3" w14:paraId="77BA820F" w14:textId="77777777" w:rsidTr="00292862">
        <w:tc>
          <w:tcPr>
            <w:tcW w:w="1140" w:type="dxa"/>
            <w:tcBorders>
              <w:top w:val="nil"/>
              <w:left w:val="single" w:sz="12" w:space="0" w:color="000080"/>
              <w:bottom w:val="nil"/>
              <w:right w:val="nil"/>
            </w:tcBorders>
            <w:shd w:val="clear" w:color="auto" w:fill="auto"/>
          </w:tcPr>
          <w:p w14:paraId="34B581B2" w14:textId="77777777" w:rsidR="00D02D31" w:rsidRPr="00C054C3" w:rsidRDefault="00D02D31" w:rsidP="00292862">
            <w:pPr>
              <w:spacing w:before="30" w:after="30"/>
              <w:ind w:left="57"/>
              <w:jc w:val="left"/>
              <w:rPr>
                <w:rFonts w:ascii="Times New Roman Bold" w:hAnsi="Times New Roman Bold" w:cs="Times New Roman Bold"/>
                <w:b/>
                <w:bCs/>
                <w:sz w:val="20"/>
              </w:rPr>
            </w:pPr>
            <w:r w:rsidRPr="00C054C3">
              <w:rPr>
                <w:rFonts w:ascii="Times New Roman Bold" w:hAnsi="Times New Roman Bold" w:cs="Times New Roman Bold"/>
                <w:b/>
                <w:bCs/>
                <w:sz w:val="20"/>
              </w:rPr>
              <w:t>F</w:t>
            </w:r>
          </w:p>
        </w:tc>
        <w:tc>
          <w:tcPr>
            <w:tcW w:w="8220" w:type="dxa"/>
            <w:tcBorders>
              <w:top w:val="nil"/>
              <w:left w:val="nil"/>
              <w:bottom w:val="nil"/>
              <w:right w:val="single" w:sz="12" w:space="0" w:color="000080"/>
            </w:tcBorders>
            <w:shd w:val="clear" w:color="auto" w:fill="auto"/>
          </w:tcPr>
          <w:p w14:paraId="323D60E2" w14:textId="77777777" w:rsidR="00D02D31" w:rsidRPr="00C054C3" w:rsidRDefault="00D02D31" w:rsidP="00292862">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C054C3">
              <w:rPr>
                <w:sz w:val="20"/>
              </w:rPr>
              <w:t>Fixed service</w:t>
            </w:r>
          </w:p>
        </w:tc>
      </w:tr>
      <w:tr w:rsidR="00D02D31" w:rsidRPr="00C054C3" w14:paraId="3823BFD7" w14:textId="77777777" w:rsidTr="00292862">
        <w:tc>
          <w:tcPr>
            <w:tcW w:w="1140" w:type="dxa"/>
            <w:tcBorders>
              <w:top w:val="nil"/>
              <w:left w:val="single" w:sz="12" w:space="0" w:color="000080"/>
              <w:bottom w:val="nil"/>
              <w:right w:val="nil"/>
            </w:tcBorders>
            <w:shd w:val="clear" w:color="auto" w:fill="auto"/>
          </w:tcPr>
          <w:p w14:paraId="491C6FFC" w14:textId="77777777" w:rsidR="00D02D31" w:rsidRPr="00C054C3" w:rsidRDefault="00D02D31" w:rsidP="00292862">
            <w:pPr>
              <w:spacing w:before="30" w:after="30"/>
              <w:ind w:left="57"/>
              <w:jc w:val="left"/>
              <w:rPr>
                <w:b/>
                <w:bCs/>
                <w:sz w:val="20"/>
              </w:rPr>
            </w:pPr>
            <w:r w:rsidRPr="00C054C3">
              <w:rPr>
                <w:b/>
                <w:bCs/>
                <w:sz w:val="20"/>
              </w:rPr>
              <w:t>M</w:t>
            </w:r>
          </w:p>
        </w:tc>
        <w:tc>
          <w:tcPr>
            <w:tcW w:w="8220" w:type="dxa"/>
            <w:tcBorders>
              <w:top w:val="nil"/>
              <w:left w:val="nil"/>
              <w:bottom w:val="nil"/>
              <w:right w:val="single" w:sz="12" w:space="0" w:color="000080"/>
            </w:tcBorders>
            <w:shd w:val="clear" w:color="auto" w:fill="auto"/>
          </w:tcPr>
          <w:p w14:paraId="6300FE2C" w14:textId="77777777" w:rsidR="00D02D31" w:rsidRPr="00C054C3" w:rsidRDefault="00D02D31" w:rsidP="00292862">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rPr>
            </w:pPr>
            <w:r w:rsidRPr="00C054C3">
              <w:rPr>
                <w:b w:val="0"/>
                <w:sz w:val="20"/>
              </w:rPr>
              <w:t>Mobile, radiodetermination, amateur and related satellite services</w:t>
            </w:r>
          </w:p>
        </w:tc>
      </w:tr>
      <w:tr w:rsidR="00D02D31" w:rsidRPr="00C054C3" w14:paraId="1E4B306B" w14:textId="77777777" w:rsidTr="00292862">
        <w:tc>
          <w:tcPr>
            <w:tcW w:w="1140" w:type="dxa"/>
            <w:tcBorders>
              <w:top w:val="nil"/>
              <w:left w:val="single" w:sz="12" w:space="0" w:color="000080"/>
              <w:bottom w:val="nil"/>
              <w:right w:val="nil"/>
            </w:tcBorders>
            <w:shd w:val="clear" w:color="auto" w:fill="auto"/>
          </w:tcPr>
          <w:p w14:paraId="4E837D7C" w14:textId="77777777" w:rsidR="00D02D31" w:rsidRPr="00C054C3" w:rsidRDefault="00D02D31" w:rsidP="00292862">
            <w:pPr>
              <w:spacing w:before="30" w:after="30"/>
              <w:ind w:left="57"/>
              <w:jc w:val="left"/>
              <w:rPr>
                <w:rFonts w:ascii="Times New Roman Bold" w:hAnsi="Times New Roman Bold" w:cs="Times New Roman Bold"/>
                <w:b/>
                <w:bCs/>
                <w:sz w:val="20"/>
              </w:rPr>
            </w:pPr>
            <w:r w:rsidRPr="00C054C3">
              <w:rPr>
                <w:rFonts w:ascii="Times New Roman Bold" w:hAnsi="Times New Roman Bold" w:cs="Times New Roman Bold"/>
                <w:b/>
                <w:bCs/>
                <w:sz w:val="20"/>
              </w:rPr>
              <w:t>P</w:t>
            </w:r>
          </w:p>
        </w:tc>
        <w:tc>
          <w:tcPr>
            <w:tcW w:w="8220" w:type="dxa"/>
            <w:tcBorders>
              <w:top w:val="nil"/>
              <w:left w:val="nil"/>
              <w:bottom w:val="nil"/>
              <w:right w:val="single" w:sz="12" w:space="0" w:color="000080"/>
            </w:tcBorders>
            <w:shd w:val="clear" w:color="auto" w:fill="auto"/>
          </w:tcPr>
          <w:p w14:paraId="2571EAD8" w14:textId="77777777" w:rsidR="00D02D31" w:rsidRPr="00C054C3" w:rsidRDefault="00D02D31" w:rsidP="00292862">
            <w:pPr>
              <w:spacing w:before="30" w:after="30"/>
              <w:jc w:val="left"/>
              <w:rPr>
                <w:sz w:val="20"/>
              </w:rPr>
            </w:pPr>
            <w:r w:rsidRPr="00C054C3">
              <w:rPr>
                <w:sz w:val="20"/>
              </w:rPr>
              <w:t>Radiowave propagation</w:t>
            </w:r>
          </w:p>
        </w:tc>
      </w:tr>
      <w:tr w:rsidR="00D02D31" w:rsidRPr="00C054C3" w14:paraId="42F6BC61" w14:textId="77777777" w:rsidTr="00292862">
        <w:tc>
          <w:tcPr>
            <w:tcW w:w="1140" w:type="dxa"/>
            <w:tcBorders>
              <w:top w:val="nil"/>
              <w:left w:val="single" w:sz="12" w:space="0" w:color="000080"/>
              <w:bottom w:val="nil"/>
              <w:right w:val="nil"/>
            </w:tcBorders>
            <w:shd w:val="clear" w:color="auto" w:fill="auto"/>
          </w:tcPr>
          <w:p w14:paraId="458D4B71" w14:textId="77777777" w:rsidR="00D02D31" w:rsidRPr="00C054C3" w:rsidRDefault="00D02D31" w:rsidP="00292862">
            <w:pPr>
              <w:spacing w:before="30" w:after="30"/>
              <w:ind w:left="57"/>
              <w:jc w:val="left"/>
              <w:rPr>
                <w:rFonts w:ascii="Times New Roman Bold" w:hAnsi="Times New Roman Bold" w:cs="Times New Roman Bold"/>
                <w:b/>
                <w:bCs/>
                <w:sz w:val="20"/>
              </w:rPr>
            </w:pPr>
            <w:r w:rsidRPr="00C054C3">
              <w:rPr>
                <w:rFonts w:ascii="Times New Roman Bold" w:hAnsi="Times New Roman Bold" w:cs="Times New Roman Bold"/>
                <w:b/>
                <w:bCs/>
                <w:sz w:val="20"/>
              </w:rPr>
              <w:t>RA</w:t>
            </w:r>
          </w:p>
        </w:tc>
        <w:tc>
          <w:tcPr>
            <w:tcW w:w="8220" w:type="dxa"/>
            <w:tcBorders>
              <w:top w:val="nil"/>
              <w:left w:val="nil"/>
              <w:bottom w:val="nil"/>
              <w:right w:val="single" w:sz="12" w:space="0" w:color="000080"/>
            </w:tcBorders>
            <w:shd w:val="clear" w:color="auto" w:fill="auto"/>
          </w:tcPr>
          <w:p w14:paraId="58940E55" w14:textId="77777777" w:rsidR="00D02D31" w:rsidRPr="00C054C3" w:rsidRDefault="00D02D31" w:rsidP="00292862">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C054C3">
              <w:rPr>
                <w:sz w:val="20"/>
              </w:rPr>
              <w:t>Radio astronomy</w:t>
            </w:r>
          </w:p>
        </w:tc>
      </w:tr>
      <w:tr w:rsidR="00D02D31" w:rsidRPr="00C054C3" w14:paraId="08E3D593" w14:textId="77777777" w:rsidTr="00292862">
        <w:tc>
          <w:tcPr>
            <w:tcW w:w="1140" w:type="dxa"/>
            <w:tcBorders>
              <w:top w:val="nil"/>
              <w:left w:val="single" w:sz="12" w:space="0" w:color="000080"/>
              <w:bottom w:val="nil"/>
              <w:right w:val="nil"/>
            </w:tcBorders>
            <w:shd w:val="clear" w:color="auto" w:fill="FFFFFF" w:themeFill="background1"/>
          </w:tcPr>
          <w:p w14:paraId="0EA5A57D" w14:textId="77777777" w:rsidR="00D02D31" w:rsidRPr="00C054C3" w:rsidRDefault="00D02D31" w:rsidP="00292862">
            <w:pPr>
              <w:spacing w:before="30" w:after="30"/>
              <w:ind w:left="57"/>
              <w:jc w:val="left"/>
              <w:rPr>
                <w:rFonts w:ascii="Times New Roman Bold" w:hAnsi="Times New Roman Bold" w:cs="Times New Roman Bold"/>
                <w:b/>
                <w:bCs/>
                <w:sz w:val="20"/>
              </w:rPr>
            </w:pPr>
            <w:r w:rsidRPr="00C054C3">
              <w:rPr>
                <w:rFonts w:ascii="Times New Roman Bold" w:hAnsi="Times New Roman Bold" w:cs="Times New Roman Bold"/>
                <w:b/>
                <w:bCs/>
                <w:sz w:val="20"/>
              </w:rPr>
              <w:t>RS</w:t>
            </w:r>
          </w:p>
        </w:tc>
        <w:tc>
          <w:tcPr>
            <w:tcW w:w="8220" w:type="dxa"/>
            <w:tcBorders>
              <w:top w:val="nil"/>
              <w:left w:val="nil"/>
              <w:bottom w:val="nil"/>
              <w:right w:val="single" w:sz="12" w:space="0" w:color="000080"/>
            </w:tcBorders>
            <w:shd w:val="clear" w:color="auto" w:fill="FFFFFF" w:themeFill="background1"/>
          </w:tcPr>
          <w:p w14:paraId="03CA747F" w14:textId="77777777" w:rsidR="00D02D31" w:rsidRPr="00C054C3" w:rsidRDefault="00D02D31" w:rsidP="00292862">
            <w:pPr>
              <w:spacing w:before="30" w:after="30"/>
              <w:jc w:val="left"/>
              <w:rPr>
                <w:sz w:val="20"/>
              </w:rPr>
            </w:pPr>
            <w:r w:rsidRPr="00C054C3">
              <w:rPr>
                <w:sz w:val="20"/>
              </w:rPr>
              <w:t>Remote sensing systems</w:t>
            </w:r>
          </w:p>
        </w:tc>
      </w:tr>
      <w:tr w:rsidR="00D02D31" w:rsidRPr="00C054C3" w14:paraId="79C8467E" w14:textId="77777777" w:rsidTr="00292862">
        <w:tc>
          <w:tcPr>
            <w:tcW w:w="1140" w:type="dxa"/>
            <w:tcBorders>
              <w:top w:val="nil"/>
              <w:left w:val="single" w:sz="12" w:space="0" w:color="000080"/>
              <w:bottom w:val="nil"/>
              <w:right w:val="nil"/>
            </w:tcBorders>
          </w:tcPr>
          <w:p w14:paraId="27852D0A" w14:textId="77777777" w:rsidR="00D02D31" w:rsidRPr="00C054C3" w:rsidRDefault="00D02D31" w:rsidP="00292862">
            <w:pPr>
              <w:spacing w:before="30" w:after="30"/>
              <w:ind w:left="57"/>
              <w:jc w:val="left"/>
              <w:rPr>
                <w:b/>
                <w:bCs/>
                <w:sz w:val="20"/>
              </w:rPr>
            </w:pPr>
            <w:r w:rsidRPr="00C054C3">
              <w:rPr>
                <w:b/>
                <w:bCs/>
                <w:sz w:val="20"/>
              </w:rPr>
              <w:t>S</w:t>
            </w:r>
          </w:p>
        </w:tc>
        <w:tc>
          <w:tcPr>
            <w:tcW w:w="8220" w:type="dxa"/>
            <w:tcBorders>
              <w:top w:val="nil"/>
              <w:left w:val="nil"/>
              <w:bottom w:val="nil"/>
              <w:right w:val="single" w:sz="12" w:space="0" w:color="000080"/>
            </w:tcBorders>
          </w:tcPr>
          <w:p w14:paraId="3B1D9ACC" w14:textId="77777777" w:rsidR="00D02D31" w:rsidRPr="00C054C3" w:rsidRDefault="00D02D31" w:rsidP="00292862">
            <w:pPr>
              <w:spacing w:before="30" w:after="30"/>
              <w:jc w:val="left"/>
              <w:rPr>
                <w:sz w:val="20"/>
              </w:rPr>
            </w:pPr>
            <w:r w:rsidRPr="00C054C3">
              <w:rPr>
                <w:sz w:val="20"/>
              </w:rPr>
              <w:t>Fixed-satellite service</w:t>
            </w:r>
          </w:p>
        </w:tc>
      </w:tr>
      <w:tr w:rsidR="00D02D31" w:rsidRPr="00C054C3" w14:paraId="0B7AB9C1" w14:textId="77777777" w:rsidTr="00292862">
        <w:tc>
          <w:tcPr>
            <w:tcW w:w="1140" w:type="dxa"/>
            <w:tcBorders>
              <w:top w:val="nil"/>
              <w:left w:val="single" w:sz="12" w:space="0" w:color="000080"/>
              <w:bottom w:val="nil"/>
              <w:right w:val="nil"/>
            </w:tcBorders>
          </w:tcPr>
          <w:p w14:paraId="13454D6E" w14:textId="77777777" w:rsidR="00D02D31" w:rsidRPr="00C054C3" w:rsidRDefault="00D02D31" w:rsidP="00292862">
            <w:pPr>
              <w:spacing w:before="30" w:after="30"/>
              <w:ind w:left="57"/>
              <w:jc w:val="left"/>
              <w:rPr>
                <w:b/>
                <w:bCs/>
                <w:sz w:val="20"/>
              </w:rPr>
            </w:pPr>
            <w:r w:rsidRPr="00C054C3">
              <w:rPr>
                <w:b/>
                <w:bCs/>
                <w:sz w:val="20"/>
              </w:rPr>
              <w:t>SA</w:t>
            </w:r>
          </w:p>
        </w:tc>
        <w:tc>
          <w:tcPr>
            <w:tcW w:w="8220" w:type="dxa"/>
            <w:tcBorders>
              <w:top w:val="nil"/>
              <w:left w:val="nil"/>
              <w:bottom w:val="nil"/>
              <w:right w:val="single" w:sz="12" w:space="0" w:color="000080"/>
            </w:tcBorders>
          </w:tcPr>
          <w:p w14:paraId="64B83FF6" w14:textId="77777777" w:rsidR="00D02D31" w:rsidRPr="00C054C3" w:rsidRDefault="00D02D31" w:rsidP="00292862">
            <w:pPr>
              <w:spacing w:before="30" w:after="30"/>
              <w:jc w:val="left"/>
              <w:rPr>
                <w:sz w:val="20"/>
              </w:rPr>
            </w:pPr>
            <w:r w:rsidRPr="00C054C3">
              <w:rPr>
                <w:sz w:val="20"/>
              </w:rPr>
              <w:t>Space applications and meteorology</w:t>
            </w:r>
          </w:p>
        </w:tc>
      </w:tr>
      <w:tr w:rsidR="00D02D31" w:rsidRPr="00C054C3" w14:paraId="5A3A8C26" w14:textId="77777777" w:rsidTr="00292862">
        <w:tc>
          <w:tcPr>
            <w:tcW w:w="1140" w:type="dxa"/>
            <w:tcBorders>
              <w:top w:val="nil"/>
              <w:left w:val="single" w:sz="12" w:space="0" w:color="000080"/>
              <w:bottom w:val="nil"/>
              <w:right w:val="nil"/>
            </w:tcBorders>
          </w:tcPr>
          <w:p w14:paraId="7E34DE7A" w14:textId="77777777" w:rsidR="00D02D31" w:rsidRPr="00C054C3" w:rsidRDefault="00D02D31" w:rsidP="00292862">
            <w:pPr>
              <w:spacing w:before="30" w:after="30"/>
              <w:ind w:left="57"/>
              <w:jc w:val="left"/>
              <w:rPr>
                <w:b/>
                <w:bCs/>
                <w:sz w:val="20"/>
              </w:rPr>
            </w:pPr>
            <w:r w:rsidRPr="00C054C3">
              <w:rPr>
                <w:b/>
                <w:bCs/>
                <w:sz w:val="20"/>
              </w:rPr>
              <w:t>SF</w:t>
            </w:r>
          </w:p>
        </w:tc>
        <w:tc>
          <w:tcPr>
            <w:tcW w:w="8220" w:type="dxa"/>
            <w:tcBorders>
              <w:top w:val="nil"/>
              <w:left w:val="nil"/>
              <w:bottom w:val="nil"/>
              <w:right w:val="single" w:sz="12" w:space="0" w:color="000080"/>
            </w:tcBorders>
          </w:tcPr>
          <w:p w14:paraId="4D47E575" w14:textId="77777777" w:rsidR="00D02D31" w:rsidRPr="00C054C3" w:rsidRDefault="00D02D31" w:rsidP="00292862">
            <w:pPr>
              <w:spacing w:before="30" w:after="30"/>
              <w:jc w:val="left"/>
              <w:rPr>
                <w:sz w:val="20"/>
              </w:rPr>
            </w:pPr>
            <w:r w:rsidRPr="00C054C3">
              <w:rPr>
                <w:sz w:val="20"/>
              </w:rPr>
              <w:t>Frequency sharing and coordination between fixed-satellite and fixed service systems</w:t>
            </w:r>
          </w:p>
        </w:tc>
      </w:tr>
      <w:tr w:rsidR="00D02D31" w:rsidRPr="00C054C3" w14:paraId="3158C8DB" w14:textId="77777777" w:rsidTr="00292862">
        <w:tc>
          <w:tcPr>
            <w:tcW w:w="1140" w:type="dxa"/>
            <w:tcBorders>
              <w:top w:val="nil"/>
              <w:left w:val="single" w:sz="12" w:space="0" w:color="000080"/>
              <w:bottom w:val="nil"/>
              <w:right w:val="nil"/>
            </w:tcBorders>
          </w:tcPr>
          <w:p w14:paraId="131F750F" w14:textId="77777777" w:rsidR="00D02D31" w:rsidRPr="00C054C3" w:rsidRDefault="00D02D31" w:rsidP="00292862">
            <w:pPr>
              <w:spacing w:before="30" w:after="30"/>
              <w:ind w:left="57"/>
              <w:jc w:val="left"/>
              <w:rPr>
                <w:b/>
                <w:bCs/>
                <w:sz w:val="20"/>
              </w:rPr>
            </w:pPr>
            <w:r w:rsidRPr="00C054C3">
              <w:rPr>
                <w:b/>
                <w:bCs/>
                <w:sz w:val="20"/>
              </w:rPr>
              <w:t>SM</w:t>
            </w:r>
          </w:p>
        </w:tc>
        <w:tc>
          <w:tcPr>
            <w:tcW w:w="8220" w:type="dxa"/>
            <w:tcBorders>
              <w:top w:val="nil"/>
              <w:left w:val="nil"/>
              <w:bottom w:val="nil"/>
              <w:right w:val="single" w:sz="12" w:space="0" w:color="000080"/>
            </w:tcBorders>
          </w:tcPr>
          <w:p w14:paraId="38DA7F77" w14:textId="77777777" w:rsidR="00D02D31" w:rsidRPr="00C054C3" w:rsidRDefault="00D02D31" w:rsidP="00292862">
            <w:pPr>
              <w:spacing w:before="30" w:after="30"/>
              <w:jc w:val="left"/>
              <w:rPr>
                <w:sz w:val="20"/>
              </w:rPr>
            </w:pPr>
            <w:r w:rsidRPr="00C054C3">
              <w:rPr>
                <w:sz w:val="20"/>
              </w:rPr>
              <w:t>Spectrum management</w:t>
            </w:r>
          </w:p>
        </w:tc>
      </w:tr>
      <w:tr w:rsidR="00D02D31" w:rsidRPr="00C054C3" w14:paraId="1832DD04" w14:textId="77777777" w:rsidTr="00292862">
        <w:tc>
          <w:tcPr>
            <w:tcW w:w="1140" w:type="dxa"/>
            <w:tcBorders>
              <w:top w:val="nil"/>
              <w:left w:val="single" w:sz="12" w:space="0" w:color="000080"/>
              <w:bottom w:val="single" w:sz="12" w:space="0" w:color="000080"/>
              <w:right w:val="nil"/>
            </w:tcBorders>
          </w:tcPr>
          <w:p w14:paraId="361E3E1E" w14:textId="77777777" w:rsidR="00D02D31" w:rsidRPr="00C054C3" w:rsidRDefault="00D02D31" w:rsidP="00292862">
            <w:pPr>
              <w:spacing w:before="30" w:after="30"/>
              <w:ind w:left="57"/>
              <w:jc w:val="left"/>
              <w:rPr>
                <w:b/>
                <w:bCs/>
                <w:sz w:val="20"/>
              </w:rPr>
            </w:pPr>
            <w:r w:rsidRPr="00C054C3">
              <w:rPr>
                <w:b/>
                <w:bCs/>
                <w:sz w:val="20"/>
              </w:rPr>
              <w:t>TF</w:t>
            </w:r>
          </w:p>
        </w:tc>
        <w:tc>
          <w:tcPr>
            <w:tcW w:w="8220" w:type="dxa"/>
            <w:tcBorders>
              <w:top w:val="nil"/>
              <w:left w:val="nil"/>
              <w:bottom w:val="single" w:sz="12" w:space="0" w:color="000080"/>
              <w:right w:val="single" w:sz="12" w:space="0" w:color="000080"/>
            </w:tcBorders>
          </w:tcPr>
          <w:p w14:paraId="4141E675" w14:textId="77777777" w:rsidR="00D02D31" w:rsidRPr="00C054C3" w:rsidRDefault="00D02D31" w:rsidP="00292862">
            <w:pPr>
              <w:spacing w:before="30" w:after="180"/>
              <w:jc w:val="left"/>
              <w:rPr>
                <w:sz w:val="20"/>
              </w:rPr>
            </w:pPr>
            <w:r w:rsidRPr="00C054C3">
              <w:rPr>
                <w:sz w:val="20"/>
              </w:rPr>
              <w:t>Time signals and frequency standards emissions</w:t>
            </w:r>
          </w:p>
        </w:tc>
      </w:tr>
    </w:tbl>
    <w:p w14:paraId="72559301" w14:textId="77777777" w:rsidR="00D02D31" w:rsidRPr="00C054C3" w:rsidRDefault="00D02D31" w:rsidP="00D02D31">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D02D31" w:rsidRPr="00C054C3" w14:paraId="008FD916" w14:textId="77777777" w:rsidTr="00292862">
        <w:tc>
          <w:tcPr>
            <w:tcW w:w="720" w:type="dxa"/>
          </w:tcPr>
          <w:p w14:paraId="57F5822D" w14:textId="77777777" w:rsidR="00D02D31" w:rsidRPr="00C054C3" w:rsidRDefault="00D02D31" w:rsidP="00292862">
            <w:pPr>
              <w:jc w:val="center"/>
              <w:rPr>
                <w:sz w:val="22"/>
              </w:rPr>
            </w:pPr>
          </w:p>
        </w:tc>
      </w:tr>
    </w:tbl>
    <w:p w14:paraId="2987C137" w14:textId="77777777" w:rsidR="00D02D31" w:rsidRPr="00C054C3" w:rsidRDefault="00D02D31" w:rsidP="00D02D31">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D02D31" w:rsidRPr="00C054C3" w14:paraId="622EB4B1" w14:textId="77777777" w:rsidTr="00292862">
        <w:tc>
          <w:tcPr>
            <w:tcW w:w="9360" w:type="dxa"/>
            <w:tcBorders>
              <w:top w:val="single" w:sz="12" w:space="0" w:color="000080"/>
              <w:left w:val="single" w:sz="12" w:space="0" w:color="000080"/>
              <w:bottom w:val="single" w:sz="12" w:space="0" w:color="000080"/>
              <w:right w:val="single" w:sz="12" w:space="0" w:color="000080"/>
            </w:tcBorders>
          </w:tcPr>
          <w:p w14:paraId="580C1281" w14:textId="77777777" w:rsidR="00D02D31" w:rsidRPr="00C054C3" w:rsidRDefault="00D02D31" w:rsidP="00292862">
            <w:pPr>
              <w:spacing w:after="120"/>
              <w:rPr>
                <w:b/>
                <w:bCs/>
                <w:sz w:val="20"/>
              </w:rPr>
            </w:pPr>
            <w:r w:rsidRPr="00C054C3">
              <w:rPr>
                <w:b/>
                <w:bCs/>
                <w:i/>
                <w:iCs/>
                <w:sz w:val="20"/>
              </w:rPr>
              <w:t>Note</w:t>
            </w:r>
            <w:r w:rsidRPr="00C054C3">
              <w:rPr>
                <w:i/>
                <w:iCs/>
                <w:sz w:val="20"/>
              </w:rPr>
              <w:t>: This ITU-R Report was approved in English by the Study Group under the procedure detailed in Resolution ITU</w:t>
            </w:r>
            <w:r w:rsidRPr="00C054C3">
              <w:rPr>
                <w:i/>
                <w:iCs/>
                <w:sz w:val="20"/>
              </w:rPr>
              <w:noBreakHyphen/>
              <w:t>R 1.</w:t>
            </w:r>
          </w:p>
        </w:tc>
      </w:tr>
    </w:tbl>
    <w:p w14:paraId="34D6D9F2" w14:textId="77777777" w:rsidR="00D02D31" w:rsidRPr="00C054C3" w:rsidRDefault="00D02D31" w:rsidP="00D02D31">
      <w:pPr>
        <w:spacing w:before="0"/>
        <w:jc w:val="center"/>
        <w:rPr>
          <w:sz w:val="22"/>
        </w:rPr>
      </w:pPr>
    </w:p>
    <w:p w14:paraId="3173E51E" w14:textId="77777777" w:rsidR="00D02D31" w:rsidRPr="00C054C3" w:rsidRDefault="00D02D31" w:rsidP="00D02D31">
      <w:pPr>
        <w:spacing w:before="0"/>
        <w:jc w:val="right"/>
        <w:rPr>
          <w:i/>
          <w:iCs/>
          <w:sz w:val="20"/>
        </w:rPr>
      </w:pPr>
      <w:r w:rsidRPr="00C054C3">
        <w:rPr>
          <w:i/>
          <w:iCs/>
          <w:sz w:val="20"/>
        </w:rPr>
        <w:t>Electronic Publication</w:t>
      </w:r>
    </w:p>
    <w:p w14:paraId="46297F53" w14:textId="6A162062" w:rsidR="00D02D31" w:rsidRPr="00C054C3" w:rsidRDefault="00D02D31" w:rsidP="00D02D31">
      <w:pPr>
        <w:spacing w:before="0"/>
        <w:jc w:val="right"/>
        <w:rPr>
          <w:sz w:val="20"/>
        </w:rPr>
      </w:pPr>
      <w:r w:rsidRPr="00C054C3">
        <w:rPr>
          <w:sz w:val="20"/>
        </w:rPr>
        <w:t>Geneva, 202</w:t>
      </w:r>
      <w:r w:rsidR="00EE47C4">
        <w:rPr>
          <w:sz w:val="20"/>
        </w:rPr>
        <w:t>5</w:t>
      </w:r>
    </w:p>
    <w:p w14:paraId="41065B4F" w14:textId="25BF7E3C" w:rsidR="00D02D31" w:rsidRPr="00C054C3" w:rsidRDefault="00D02D31" w:rsidP="00D02D31">
      <w:pPr>
        <w:jc w:val="center"/>
        <w:rPr>
          <w:sz w:val="20"/>
        </w:rPr>
      </w:pPr>
      <w:r w:rsidRPr="00C054C3">
        <w:rPr>
          <w:sz w:val="20"/>
        </w:rPr>
        <w:sym w:font="Symbol" w:char="00E3"/>
      </w:r>
      <w:r w:rsidRPr="00C054C3">
        <w:rPr>
          <w:sz w:val="20"/>
        </w:rPr>
        <w:t xml:space="preserve"> ITU </w:t>
      </w:r>
      <w:bookmarkStart w:id="5" w:name="iiannee"/>
      <w:bookmarkEnd w:id="5"/>
      <w:r w:rsidRPr="00C054C3">
        <w:rPr>
          <w:sz w:val="20"/>
        </w:rPr>
        <w:t>202</w:t>
      </w:r>
      <w:r w:rsidR="00732102">
        <w:rPr>
          <w:sz w:val="20"/>
        </w:rPr>
        <w:t>5</w:t>
      </w:r>
    </w:p>
    <w:p w14:paraId="2BE9BC78" w14:textId="77777777" w:rsidR="00D02D31" w:rsidRPr="00C054C3" w:rsidRDefault="00D02D31" w:rsidP="00D02D31">
      <w:pPr>
        <w:rPr>
          <w:sz w:val="18"/>
          <w:szCs w:val="18"/>
        </w:rPr>
      </w:pPr>
      <w:r w:rsidRPr="00C054C3">
        <w:rPr>
          <w:sz w:val="18"/>
          <w:szCs w:val="18"/>
        </w:rPr>
        <w:t>All rights reserved. No part of this publication may be reproduced, by any means whatsoever, without written permission of ITU.</w:t>
      </w:r>
    </w:p>
    <w:p w14:paraId="40F0081B" w14:textId="77777777" w:rsidR="00D02D31" w:rsidRPr="00C054C3" w:rsidRDefault="00D02D31" w:rsidP="00D02D31">
      <w:pPr>
        <w:spacing w:before="160"/>
        <w:rPr>
          <w:i/>
          <w:sz w:val="20"/>
        </w:rPr>
        <w:sectPr w:rsidR="00D02D31" w:rsidRPr="00C054C3" w:rsidSect="00D02D31">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5373DCB5" w14:textId="4A3E0432" w:rsidR="00D02D31" w:rsidRPr="00C054C3" w:rsidRDefault="00D02D31" w:rsidP="00D02D31">
      <w:pPr>
        <w:pStyle w:val="RecNo"/>
        <w:spacing w:before="0"/>
      </w:pPr>
      <w:bookmarkStart w:id="6" w:name="irecnoe"/>
      <w:bookmarkEnd w:id="6"/>
      <w:r w:rsidRPr="00C054C3">
        <w:lastRenderedPageBreak/>
        <w:t xml:space="preserve">REPORT  </w:t>
      </w:r>
      <w:r w:rsidRPr="00C054C3">
        <w:rPr>
          <w:rStyle w:val="href"/>
        </w:rPr>
        <w:t>ITU-R  BT.</w:t>
      </w:r>
      <w:r w:rsidR="00F870B3" w:rsidRPr="00C054C3">
        <w:rPr>
          <w:rStyle w:val="href"/>
        </w:rPr>
        <w:t>2468-2</w:t>
      </w:r>
    </w:p>
    <w:p w14:paraId="28B371B9" w14:textId="77777777" w:rsidR="00F870B3" w:rsidRPr="00C054C3" w:rsidRDefault="00F870B3" w:rsidP="00F870B3">
      <w:pPr>
        <w:pStyle w:val="Reptitle"/>
        <w:rPr>
          <w:rFonts w:eastAsiaTheme="minorEastAsia"/>
        </w:rPr>
      </w:pPr>
      <w:r w:rsidRPr="00C054C3">
        <w:rPr>
          <w:rFonts w:eastAsiaTheme="minorEastAsia"/>
        </w:rPr>
        <w:t xml:space="preserve">Guidance for selection of system parameters and implementation </w:t>
      </w:r>
      <w:r w:rsidRPr="00C054C3">
        <w:rPr>
          <w:rFonts w:eastAsiaTheme="minorEastAsia"/>
        </w:rPr>
        <w:br/>
        <w:t>of second generation DTTB systems</w:t>
      </w:r>
    </w:p>
    <w:p w14:paraId="071E8C32" w14:textId="77777777" w:rsidR="00F870B3" w:rsidRPr="00C054C3" w:rsidRDefault="00F870B3" w:rsidP="00F870B3">
      <w:pPr>
        <w:pStyle w:val="Repref"/>
      </w:pPr>
      <w:r w:rsidRPr="00C054C3">
        <w:rPr>
          <w:rFonts w:eastAsia="MS Mincho"/>
        </w:rPr>
        <w:t xml:space="preserve">(Question </w:t>
      </w:r>
      <w:hyperlink r:id="rId14" w:history="1">
        <w:r w:rsidRPr="00C054C3">
          <w:rPr>
            <w:rStyle w:val="Hyperlink"/>
            <w:rFonts w:eastAsia="MS Mincho"/>
            <w:color w:val="auto"/>
            <w:u w:val="none"/>
          </w:rPr>
          <w:t>ITU-R 132/6</w:t>
        </w:r>
      </w:hyperlink>
      <w:r w:rsidRPr="00C054C3">
        <w:rPr>
          <w:rFonts w:eastAsia="MS Mincho"/>
        </w:rPr>
        <w:t>)</w:t>
      </w:r>
    </w:p>
    <w:p w14:paraId="39F5004E" w14:textId="77777777" w:rsidR="00F870B3" w:rsidRPr="00C054C3" w:rsidRDefault="00F870B3" w:rsidP="00F870B3">
      <w:pPr>
        <w:pStyle w:val="Repdate"/>
      </w:pPr>
      <w:r w:rsidRPr="00C054C3">
        <w:t>(2019-2021-2024)</w:t>
      </w:r>
    </w:p>
    <w:p w14:paraId="76B4B619" w14:textId="77777777" w:rsidR="00F870B3" w:rsidRPr="00C054C3" w:rsidRDefault="00F870B3" w:rsidP="00F870B3">
      <w:pPr>
        <w:spacing w:before="480"/>
        <w:jc w:val="center"/>
        <w:rPr>
          <w:rFonts w:eastAsia="MS Mincho"/>
        </w:rPr>
      </w:pPr>
      <w:r w:rsidRPr="00C054C3">
        <w:rPr>
          <w:rFonts w:eastAsia="MS Mincho"/>
        </w:rPr>
        <w:t>TABLE OF CONTENTS</w:t>
      </w:r>
    </w:p>
    <w:p w14:paraId="0DBADBB7" w14:textId="77777777" w:rsidR="00F870B3" w:rsidRPr="00C054C3" w:rsidRDefault="00F870B3" w:rsidP="00F870B3">
      <w:pPr>
        <w:pStyle w:val="toc0"/>
        <w:keepNext/>
        <w:keepLines/>
        <w:rPr>
          <w:rFonts w:eastAsia="MS Mincho"/>
        </w:rPr>
      </w:pPr>
      <w:r w:rsidRPr="00C054C3">
        <w:rPr>
          <w:rFonts w:eastAsia="MS Mincho"/>
        </w:rPr>
        <w:tab/>
        <w:t>Page</w:t>
      </w:r>
    </w:p>
    <w:p w14:paraId="1783A683" w14:textId="4572AA11" w:rsidR="0034404E" w:rsidRPr="00C054C3" w:rsidRDefault="003F69F1">
      <w:pPr>
        <w:pStyle w:val="TOC1"/>
        <w:rPr>
          <w:rFonts w:asciiTheme="minorHAnsi" w:eastAsiaTheme="minorEastAsia" w:hAnsiTheme="minorHAnsi" w:cstheme="minorBidi"/>
          <w:kern w:val="2"/>
          <w:szCs w:val="24"/>
          <w:lang w:val="en-GB" w:eastAsia="en-GB"/>
          <w14:ligatures w14:val="standardContextual"/>
        </w:rPr>
      </w:pPr>
      <w:r w:rsidRPr="00C054C3">
        <w:rPr>
          <w:lang w:val="en-GB"/>
        </w:rPr>
        <w:fldChar w:fldCharType="begin"/>
      </w:r>
      <w:r w:rsidRPr="00C054C3">
        <w:rPr>
          <w:lang w:val="en-GB"/>
        </w:rPr>
        <w:instrText xml:space="preserve"> TOC \o "1-2" \h \z \u </w:instrText>
      </w:r>
      <w:r w:rsidRPr="00C054C3">
        <w:rPr>
          <w:lang w:val="en-GB"/>
        </w:rPr>
        <w:fldChar w:fldCharType="separate"/>
      </w:r>
      <w:hyperlink w:anchor="_Toc185573772" w:history="1">
        <w:r w:rsidR="0034404E" w:rsidRPr="00C054C3">
          <w:rPr>
            <w:rStyle w:val="Hyperlink"/>
            <w:lang w:val="en-GB" w:eastAsia="zh-CN"/>
          </w:rPr>
          <w:t>1</w:t>
        </w:r>
        <w:r w:rsidR="0034404E" w:rsidRPr="00C054C3">
          <w:rPr>
            <w:rFonts w:asciiTheme="minorHAnsi" w:eastAsiaTheme="minorEastAsia" w:hAnsiTheme="minorHAnsi" w:cstheme="minorBidi"/>
            <w:kern w:val="2"/>
            <w:szCs w:val="24"/>
            <w:lang w:val="en-GB" w:eastAsia="en-GB"/>
            <w14:ligatures w14:val="standardContextual"/>
          </w:rPr>
          <w:tab/>
        </w:r>
        <w:r w:rsidR="0034404E" w:rsidRPr="00C054C3">
          <w:rPr>
            <w:rStyle w:val="Hyperlink"/>
            <w:lang w:val="en-GB" w:eastAsia="zh-CN"/>
          </w:rPr>
          <w:t>Introduction</w:t>
        </w:r>
        <w:r w:rsidR="0034404E" w:rsidRPr="00C054C3">
          <w:rPr>
            <w:webHidden/>
            <w:lang w:val="en-GB"/>
          </w:rPr>
          <w:tab/>
        </w:r>
        <w:r w:rsidR="0034404E" w:rsidRPr="00C054C3">
          <w:rPr>
            <w:webHidden/>
            <w:lang w:val="en-GB"/>
          </w:rPr>
          <w:tab/>
        </w:r>
        <w:r w:rsidR="0034404E" w:rsidRPr="00C054C3">
          <w:rPr>
            <w:webHidden/>
            <w:lang w:val="en-GB"/>
          </w:rPr>
          <w:fldChar w:fldCharType="begin"/>
        </w:r>
        <w:r w:rsidR="0034404E" w:rsidRPr="00C054C3">
          <w:rPr>
            <w:webHidden/>
            <w:lang w:val="en-GB"/>
          </w:rPr>
          <w:instrText xml:space="preserve"> PAGEREF _Toc185573772 \h </w:instrText>
        </w:r>
        <w:r w:rsidR="0034404E" w:rsidRPr="00C054C3">
          <w:rPr>
            <w:webHidden/>
            <w:lang w:val="en-GB"/>
          </w:rPr>
        </w:r>
        <w:r w:rsidR="0034404E" w:rsidRPr="00C054C3">
          <w:rPr>
            <w:webHidden/>
            <w:lang w:val="en-GB"/>
          </w:rPr>
          <w:fldChar w:fldCharType="separate"/>
        </w:r>
        <w:r w:rsidR="00053AA2">
          <w:rPr>
            <w:noProof/>
            <w:webHidden/>
            <w:lang w:val="en-GB"/>
          </w:rPr>
          <w:t>2</w:t>
        </w:r>
        <w:r w:rsidR="0034404E" w:rsidRPr="00C054C3">
          <w:rPr>
            <w:webHidden/>
            <w:lang w:val="en-GB"/>
          </w:rPr>
          <w:fldChar w:fldCharType="end"/>
        </w:r>
      </w:hyperlink>
    </w:p>
    <w:p w14:paraId="3097BFC4" w14:textId="48E77D89"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73" w:history="1">
        <w:r w:rsidRPr="00C054C3">
          <w:rPr>
            <w:rStyle w:val="Hyperlink"/>
            <w:lang w:val="en-GB" w:eastAsia="zh-CN"/>
          </w:rPr>
          <w:t>2</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eastAsia="zh-CN"/>
          </w:rPr>
          <w:t xml:space="preserve">Selection of </w:t>
        </w:r>
        <w:r w:rsidRPr="00C054C3">
          <w:rPr>
            <w:rStyle w:val="Hyperlink"/>
            <w:lang w:val="en-GB"/>
          </w:rPr>
          <w:t>second generation digital television broadcasting systems modulation parameters for evaluation</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_Toc185573773 \h </w:instrText>
        </w:r>
        <w:r w:rsidRPr="00C054C3">
          <w:rPr>
            <w:webHidden/>
            <w:lang w:val="en-GB"/>
          </w:rPr>
        </w:r>
        <w:r w:rsidRPr="00C054C3">
          <w:rPr>
            <w:webHidden/>
            <w:lang w:val="en-GB"/>
          </w:rPr>
          <w:fldChar w:fldCharType="separate"/>
        </w:r>
        <w:r w:rsidR="00053AA2">
          <w:rPr>
            <w:noProof/>
            <w:webHidden/>
            <w:lang w:val="en-GB"/>
          </w:rPr>
          <w:t>2</w:t>
        </w:r>
        <w:r w:rsidRPr="00C054C3">
          <w:rPr>
            <w:webHidden/>
            <w:lang w:val="en-GB"/>
          </w:rPr>
          <w:fldChar w:fldCharType="end"/>
        </w:r>
      </w:hyperlink>
    </w:p>
    <w:p w14:paraId="48A48351" w14:textId="53302EC8" w:rsidR="0034404E" w:rsidRPr="00C054C3" w:rsidRDefault="0034404E">
      <w:pPr>
        <w:pStyle w:val="TOC2"/>
        <w:rPr>
          <w:rFonts w:asciiTheme="minorHAnsi" w:eastAsiaTheme="minorEastAsia" w:hAnsiTheme="minorHAnsi" w:cstheme="minorBidi"/>
          <w:kern w:val="2"/>
          <w:szCs w:val="24"/>
          <w:lang w:val="en-GB" w:eastAsia="en-GB"/>
          <w14:ligatures w14:val="standardContextual"/>
        </w:rPr>
      </w:pPr>
      <w:hyperlink w:anchor="_Toc185573774" w:history="1">
        <w:r w:rsidRPr="00C054C3">
          <w:rPr>
            <w:rStyle w:val="Hyperlink"/>
            <w:lang w:val="en-GB"/>
          </w:rPr>
          <w:t>2.1</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DVB-T2 system parameters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_Toc185573774 \h </w:instrText>
        </w:r>
        <w:r w:rsidRPr="00C054C3">
          <w:rPr>
            <w:webHidden/>
            <w:lang w:val="en-GB"/>
          </w:rPr>
        </w:r>
        <w:r w:rsidRPr="00C054C3">
          <w:rPr>
            <w:webHidden/>
            <w:lang w:val="en-GB"/>
          </w:rPr>
          <w:fldChar w:fldCharType="separate"/>
        </w:r>
        <w:r w:rsidR="00053AA2">
          <w:rPr>
            <w:noProof/>
            <w:webHidden/>
            <w:lang w:val="en-GB"/>
          </w:rPr>
          <w:t>2</w:t>
        </w:r>
        <w:r w:rsidRPr="00C054C3">
          <w:rPr>
            <w:webHidden/>
            <w:lang w:val="en-GB"/>
          </w:rPr>
          <w:fldChar w:fldCharType="end"/>
        </w:r>
      </w:hyperlink>
    </w:p>
    <w:p w14:paraId="6A4E8E58" w14:textId="0BC6693D" w:rsidR="0034404E" w:rsidRPr="00C054C3" w:rsidRDefault="0034404E">
      <w:pPr>
        <w:pStyle w:val="TOC2"/>
        <w:rPr>
          <w:rFonts w:asciiTheme="minorHAnsi" w:eastAsiaTheme="minorEastAsia" w:hAnsiTheme="minorHAnsi" w:cstheme="minorBidi"/>
          <w:kern w:val="2"/>
          <w:szCs w:val="24"/>
          <w:lang w:val="en-GB" w:eastAsia="en-GB"/>
          <w14:ligatures w14:val="standardContextual"/>
        </w:rPr>
      </w:pPr>
      <w:hyperlink w:anchor="_Toc185573775" w:history="1">
        <w:r w:rsidRPr="00C054C3">
          <w:rPr>
            <w:rStyle w:val="Hyperlink"/>
            <w:lang w:val="en-GB"/>
          </w:rPr>
          <w:t>2.2</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ATSC 3.0 system parameters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_Toc185573775 \h </w:instrText>
        </w:r>
        <w:r w:rsidRPr="00C054C3">
          <w:rPr>
            <w:webHidden/>
            <w:lang w:val="en-GB"/>
          </w:rPr>
        </w:r>
        <w:r w:rsidRPr="00C054C3">
          <w:rPr>
            <w:webHidden/>
            <w:lang w:val="en-GB"/>
          </w:rPr>
          <w:fldChar w:fldCharType="separate"/>
        </w:r>
        <w:r w:rsidR="00053AA2">
          <w:rPr>
            <w:noProof/>
            <w:webHidden/>
            <w:lang w:val="en-GB"/>
          </w:rPr>
          <w:t>2</w:t>
        </w:r>
        <w:r w:rsidRPr="00C054C3">
          <w:rPr>
            <w:webHidden/>
            <w:lang w:val="en-GB"/>
          </w:rPr>
          <w:fldChar w:fldCharType="end"/>
        </w:r>
      </w:hyperlink>
    </w:p>
    <w:p w14:paraId="62B7B097" w14:textId="449EA49B"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76" w:history="1">
        <w:r w:rsidRPr="00C054C3">
          <w:rPr>
            <w:rStyle w:val="Hyperlink"/>
            <w:lang w:val="en-GB"/>
          </w:rPr>
          <w:t>3</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Television broadcasting system parameters and service coverage requirements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_Toc185573776 \h </w:instrText>
        </w:r>
        <w:r w:rsidRPr="00C054C3">
          <w:rPr>
            <w:webHidden/>
            <w:lang w:val="en-GB"/>
          </w:rPr>
        </w:r>
        <w:r w:rsidRPr="00C054C3">
          <w:rPr>
            <w:webHidden/>
            <w:lang w:val="en-GB"/>
          </w:rPr>
          <w:fldChar w:fldCharType="separate"/>
        </w:r>
        <w:r w:rsidR="00053AA2">
          <w:rPr>
            <w:noProof/>
            <w:webHidden/>
            <w:lang w:val="en-GB"/>
          </w:rPr>
          <w:t>3</w:t>
        </w:r>
        <w:r w:rsidRPr="00C054C3">
          <w:rPr>
            <w:webHidden/>
            <w:lang w:val="en-GB"/>
          </w:rPr>
          <w:fldChar w:fldCharType="end"/>
        </w:r>
      </w:hyperlink>
    </w:p>
    <w:p w14:paraId="3BFE7CE7" w14:textId="2EE23ECE"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77" w:history="1">
        <w:r w:rsidRPr="00C054C3">
          <w:rPr>
            <w:rStyle w:val="Hyperlink"/>
            <w:lang w:val="en-GB"/>
          </w:rPr>
          <w:t>4</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Selection of reception mode for 2</w:t>
        </w:r>
        <w:r w:rsidRPr="007D35B3">
          <w:rPr>
            <w:rStyle w:val="Hyperlink"/>
            <w:vertAlign w:val="superscript"/>
            <w:lang w:val="en-GB"/>
          </w:rPr>
          <w:t>nd</w:t>
        </w:r>
        <w:r w:rsidRPr="00C054C3">
          <w:rPr>
            <w:rStyle w:val="Hyperlink"/>
            <w:lang w:val="en-GB"/>
          </w:rPr>
          <w:t xml:space="preserve"> generation digital television broadcasting – fixed, portable, mobile</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_Toc185573777 \h </w:instrText>
        </w:r>
        <w:r w:rsidRPr="00C054C3">
          <w:rPr>
            <w:webHidden/>
            <w:lang w:val="en-GB"/>
          </w:rPr>
        </w:r>
        <w:r w:rsidRPr="00C054C3">
          <w:rPr>
            <w:webHidden/>
            <w:lang w:val="en-GB"/>
          </w:rPr>
          <w:fldChar w:fldCharType="separate"/>
        </w:r>
        <w:r w:rsidR="00053AA2">
          <w:rPr>
            <w:noProof/>
            <w:webHidden/>
            <w:lang w:val="en-GB"/>
          </w:rPr>
          <w:t>6</w:t>
        </w:r>
        <w:r w:rsidRPr="00C054C3">
          <w:rPr>
            <w:webHidden/>
            <w:lang w:val="en-GB"/>
          </w:rPr>
          <w:fldChar w:fldCharType="end"/>
        </w:r>
      </w:hyperlink>
    </w:p>
    <w:p w14:paraId="2D0A80E9" w14:textId="0DA7E838" w:rsidR="0034404E" w:rsidRPr="00C054C3" w:rsidRDefault="0034404E">
      <w:pPr>
        <w:pStyle w:val="TOC2"/>
        <w:rPr>
          <w:rFonts w:asciiTheme="minorHAnsi" w:eastAsiaTheme="minorEastAsia" w:hAnsiTheme="minorHAnsi" w:cstheme="minorBidi"/>
          <w:kern w:val="2"/>
          <w:szCs w:val="24"/>
          <w:lang w:val="en-GB" w:eastAsia="en-GB"/>
          <w14:ligatures w14:val="standardContextual"/>
        </w:rPr>
      </w:pPr>
      <w:hyperlink w:anchor="_Toc185573778" w:history="1">
        <w:r w:rsidRPr="00C054C3">
          <w:rPr>
            <w:rStyle w:val="Hyperlink"/>
            <w:lang w:val="en-GB" w:eastAsia="en-AU"/>
          </w:rPr>
          <w:t>4.1</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eastAsia="en-AU"/>
          </w:rPr>
          <w:t>Reception modes for DVB-T2</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_Toc185573778 \h </w:instrText>
        </w:r>
        <w:r w:rsidRPr="00C054C3">
          <w:rPr>
            <w:webHidden/>
            <w:lang w:val="en-GB"/>
          </w:rPr>
        </w:r>
        <w:r w:rsidRPr="00C054C3">
          <w:rPr>
            <w:webHidden/>
            <w:lang w:val="en-GB"/>
          </w:rPr>
          <w:fldChar w:fldCharType="separate"/>
        </w:r>
        <w:r w:rsidR="00053AA2">
          <w:rPr>
            <w:noProof/>
            <w:webHidden/>
            <w:lang w:val="en-GB"/>
          </w:rPr>
          <w:t>6</w:t>
        </w:r>
        <w:r w:rsidRPr="00C054C3">
          <w:rPr>
            <w:webHidden/>
            <w:lang w:val="en-GB"/>
          </w:rPr>
          <w:fldChar w:fldCharType="end"/>
        </w:r>
      </w:hyperlink>
    </w:p>
    <w:p w14:paraId="07004011" w14:textId="58462504" w:rsidR="0034404E" w:rsidRPr="00C054C3" w:rsidRDefault="0034404E">
      <w:pPr>
        <w:pStyle w:val="TOC2"/>
        <w:rPr>
          <w:rFonts w:asciiTheme="minorHAnsi" w:eastAsiaTheme="minorEastAsia" w:hAnsiTheme="minorHAnsi" w:cstheme="minorBidi"/>
          <w:kern w:val="2"/>
          <w:szCs w:val="24"/>
          <w:lang w:val="en-GB" w:eastAsia="en-GB"/>
          <w14:ligatures w14:val="standardContextual"/>
        </w:rPr>
      </w:pPr>
      <w:hyperlink w:anchor="_Toc185573779" w:history="1">
        <w:r w:rsidRPr="00C054C3">
          <w:rPr>
            <w:rStyle w:val="Hyperlink"/>
            <w:lang w:val="en-GB"/>
          </w:rPr>
          <w:t>4.2</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Reception modes for ATSC 3.0</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_Toc185573779 \h </w:instrText>
        </w:r>
        <w:r w:rsidRPr="00C054C3">
          <w:rPr>
            <w:webHidden/>
            <w:lang w:val="en-GB"/>
          </w:rPr>
        </w:r>
        <w:r w:rsidRPr="00C054C3">
          <w:rPr>
            <w:webHidden/>
            <w:lang w:val="en-GB"/>
          </w:rPr>
          <w:fldChar w:fldCharType="separate"/>
        </w:r>
        <w:r w:rsidR="00053AA2">
          <w:rPr>
            <w:noProof/>
            <w:webHidden/>
            <w:lang w:val="en-GB"/>
          </w:rPr>
          <w:t>6</w:t>
        </w:r>
        <w:r w:rsidRPr="00C054C3">
          <w:rPr>
            <w:webHidden/>
            <w:lang w:val="en-GB"/>
          </w:rPr>
          <w:fldChar w:fldCharType="end"/>
        </w:r>
      </w:hyperlink>
    </w:p>
    <w:p w14:paraId="2FA6825A" w14:textId="2142E4FD"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0" w:history="1">
        <w:r w:rsidRPr="00C054C3">
          <w:rPr>
            <w:rStyle w:val="Hyperlink"/>
            <w:lang w:val="en-GB"/>
          </w:rPr>
          <w:t>5</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Selection of planning parameters for 2</w:t>
        </w:r>
        <w:r w:rsidRPr="007D35B3">
          <w:rPr>
            <w:rStyle w:val="Hyperlink"/>
            <w:vertAlign w:val="superscript"/>
            <w:lang w:val="en-GB"/>
          </w:rPr>
          <w:t>nd</w:t>
        </w:r>
        <w:r w:rsidRPr="00C054C3">
          <w:rPr>
            <w:rStyle w:val="Hyperlink"/>
            <w:lang w:val="en-GB"/>
          </w:rPr>
          <w:t xml:space="preserve"> generation digital television broadcasting (VHF and UHF bands)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_Toc185573780 \h </w:instrText>
        </w:r>
        <w:r w:rsidRPr="00C054C3">
          <w:rPr>
            <w:webHidden/>
            <w:lang w:val="en-GB"/>
          </w:rPr>
        </w:r>
        <w:r w:rsidRPr="00C054C3">
          <w:rPr>
            <w:webHidden/>
            <w:lang w:val="en-GB"/>
          </w:rPr>
          <w:fldChar w:fldCharType="separate"/>
        </w:r>
        <w:r w:rsidR="00053AA2">
          <w:rPr>
            <w:noProof/>
            <w:webHidden/>
            <w:lang w:val="en-GB"/>
          </w:rPr>
          <w:t>7</w:t>
        </w:r>
        <w:r w:rsidRPr="00C054C3">
          <w:rPr>
            <w:webHidden/>
            <w:lang w:val="en-GB"/>
          </w:rPr>
          <w:fldChar w:fldCharType="end"/>
        </w:r>
      </w:hyperlink>
    </w:p>
    <w:p w14:paraId="21E376B0" w14:textId="1FB645D3"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1" w:history="1">
        <w:r w:rsidRPr="00C054C3">
          <w:rPr>
            <w:rStyle w:val="Hyperlink"/>
            <w:lang w:val="en-GB"/>
          </w:rPr>
          <w:t>6</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Coverage prediction methods for 2</w:t>
        </w:r>
        <w:r w:rsidRPr="007D35B3">
          <w:rPr>
            <w:rStyle w:val="Hyperlink"/>
            <w:vertAlign w:val="superscript"/>
            <w:lang w:val="en-GB"/>
          </w:rPr>
          <w:t>nd</w:t>
        </w:r>
        <w:r w:rsidRPr="00C054C3">
          <w:rPr>
            <w:rStyle w:val="Hyperlink"/>
            <w:lang w:val="en-GB"/>
          </w:rPr>
          <w:t xml:space="preserve"> generation digital television broadcasting (VHF and UHF bands)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_Toc185573781 \h </w:instrText>
        </w:r>
        <w:r w:rsidRPr="00C054C3">
          <w:rPr>
            <w:webHidden/>
            <w:lang w:val="en-GB"/>
          </w:rPr>
        </w:r>
        <w:r w:rsidRPr="00C054C3">
          <w:rPr>
            <w:webHidden/>
            <w:lang w:val="en-GB"/>
          </w:rPr>
          <w:fldChar w:fldCharType="separate"/>
        </w:r>
        <w:r w:rsidR="00053AA2">
          <w:rPr>
            <w:noProof/>
            <w:webHidden/>
            <w:lang w:val="en-GB"/>
          </w:rPr>
          <w:t>8</w:t>
        </w:r>
        <w:r w:rsidRPr="00C054C3">
          <w:rPr>
            <w:webHidden/>
            <w:lang w:val="en-GB"/>
          </w:rPr>
          <w:fldChar w:fldCharType="end"/>
        </w:r>
      </w:hyperlink>
    </w:p>
    <w:p w14:paraId="2E4CF60F" w14:textId="00FA33F0"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2" w:history="1">
        <w:r w:rsidRPr="00C054C3">
          <w:rPr>
            <w:rStyle w:val="Hyperlink"/>
            <w:lang w:val="en-GB"/>
          </w:rPr>
          <w:t>7</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Field measurement campaign to evaluate actual coverage provided by 2</w:t>
        </w:r>
        <w:r w:rsidRPr="007D35B3">
          <w:rPr>
            <w:rStyle w:val="Hyperlink"/>
            <w:vertAlign w:val="superscript"/>
            <w:lang w:val="en-GB"/>
          </w:rPr>
          <w:t>nd</w:t>
        </w:r>
        <w:r w:rsidRPr="00C054C3">
          <w:rPr>
            <w:rStyle w:val="Hyperlink"/>
            <w:lang w:val="en-GB"/>
          </w:rPr>
          <w:t xml:space="preserve"> generation digital television broadcasting (VHF and UHF bands)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_Toc185573782 \h </w:instrText>
        </w:r>
        <w:r w:rsidRPr="00C054C3">
          <w:rPr>
            <w:webHidden/>
            <w:lang w:val="en-GB"/>
          </w:rPr>
        </w:r>
        <w:r w:rsidRPr="00C054C3">
          <w:rPr>
            <w:webHidden/>
            <w:lang w:val="en-GB"/>
          </w:rPr>
          <w:fldChar w:fldCharType="separate"/>
        </w:r>
        <w:r w:rsidR="00053AA2">
          <w:rPr>
            <w:noProof/>
            <w:webHidden/>
            <w:lang w:val="en-GB"/>
          </w:rPr>
          <w:t>8</w:t>
        </w:r>
        <w:r w:rsidRPr="00C054C3">
          <w:rPr>
            <w:webHidden/>
            <w:lang w:val="en-GB"/>
          </w:rPr>
          <w:fldChar w:fldCharType="end"/>
        </w:r>
      </w:hyperlink>
    </w:p>
    <w:p w14:paraId="59887929" w14:textId="40793DCA"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3" w:history="1">
        <w:r w:rsidRPr="00C054C3">
          <w:rPr>
            <w:rStyle w:val="Hyperlink"/>
            <w:lang w:val="en-GB"/>
          </w:rPr>
          <w:t>8</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Objective quality assessment methods for 1</w:t>
        </w:r>
        <w:r w:rsidRPr="007D35B3">
          <w:rPr>
            <w:rStyle w:val="Hyperlink"/>
            <w:vertAlign w:val="superscript"/>
            <w:lang w:val="en-GB"/>
          </w:rPr>
          <w:t>st</w:t>
        </w:r>
        <w:r w:rsidRPr="00C054C3">
          <w:rPr>
            <w:rStyle w:val="Hyperlink"/>
            <w:lang w:val="en-GB"/>
          </w:rPr>
          <w:t xml:space="preserve"> generation digital television broadcasting (VHF and UHF bands)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_Toc185573783 \h </w:instrText>
        </w:r>
        <w:r w:rsidRPr="00C054C3">
          <w:rPr>
            <w:webHidden/>
            <w:lang w:val="en-GB"/>
          </w:rPr>
        </w:r>
        <w:r w:rsidRPr="00C054C3">
          <w:rPr>
            <w:webHidden/>
            <w:lang w:val="en-GB"/>
          </w:rPr>
          <w:fldChar w:fldCharType="separate"/>
        </w:r>
        <w:r w:rsidR="00053AA2">
          <w:rPr>
            <w:noProof/>
            <w:webHidden/>
            <w:lang w:val="en-GB"/>
          </w:rPr>
          <w:t>9</w:t>
        </w:r>
        <w:r w:rsidRPr="00C054C3">
          <w:rPr>
            <w:webHidden/>
            <w:lang w:val="en-GB"/>
          </w:rPr>
          <w:fldChar w:fldCharType="end"/>
        </w:r>
      </w:hyperlink>
    </w:p>
    <w:p w14:paraId="639D0052" w14:textId="057DC9E1"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4" w:history="1">
        <w:r w:rsidRPr="00C054C3">
          <w:rPr>
            <w:rStyle w:val="Hyperlink"/>
            <w:lang w:val="en-GB"/>
          </w:rPr>
          <w:t>9</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Subjective quality assessment methods for 1</w:t>
        </w:r>
        <w:r w:rsidRPr="007D35B3">
          <w:rPr>
            <w:rStyle w:val="Hyperlink"/>
            <w:vertAlign w:val="superscript"/>
            <w:lang w:val="en-GB"/>
          </w:rPr>
          <w:t>st</w:t>
        </w:r>
        <w:r w:rsidRPr="00C054C3">
          <w:rPr>
            <w:rStyle w:val="Hyperlink"/>
            <w:lang w:val="en-GB"/>
          </w:rPr>
          <w:t xml:space="preserve"> generation digital television broadcasting (VHF and UHF bands)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_Toc185573784 \h </w:instrText>
        </w:r>
        <w:r w:rsidRPr="00C054C3">
          <w:rPr>
            <w:webHidden/>
            <w:lang w:val="en-GB"/>
          </w:rPr>
        </w:r>
        <w:r w:rsidRPr="00C054C3">
          <w:rPr>
            <w:webHidden/>
            <w:lang w:val="en-GB"/>
          </w:rPr>
          <w:fldChar w:fldCharType="separate"/>
        </w:r>
        <w:r w:rsidR="00053AA2">
          <w:rPr>
            <w:noProof/>
            <w:webHidden/>
            <w:lang w:val="en-GB"/>
          </w:rPr>
          <w:t>10</w:t>
        </w:r>
        <w:r w:rsidRPr="00C054C3">
          <w:rPr>
            <w:webHidden/>
            <w:lang w:val="en-GB"/>
          </w:rPr>
          <w:fldChar w:fldCharType="end"/>
        </w:r>
      </w:hyperlink>
    </w:p>
    <w:p w14:paraId="19222F3F" w14:textId="04D8EA30"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5" w:history="1">
        <w:r w:rsidRPr="00C054C3">
          <w:rPr>
            <w:rStyle w:val="Hyperlink"/>
            <w:lang w:val="en-GB"/>
          </w:rPr>
          <w:t>10</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Evaluation / assessment criterion for performance of 2</w:t>
        </w:r>
        <w:r w:rsidRPr="007D35B3">
          <w:rPr>
            <w:rStyle w:val="Hyperlink"/>
            <w:vertAlign w:val="superscript"/>
            <w:lang w:val="en-GB"/>
          </w:rPr>
          <w:t>nd</w:t>
        </w:r>
        <w:r w:rsidRPr="00C054C3">
          <w:rPr>
            <w:rStyle w:val="Hyperlink"/>
            <w:lang w:val="en-GB"/>
          </w:rPr>
          <w:t xml:space="preserve"> generation digital television broadcasting (VHF and UHF bands)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_Toc185573785 \h </w:instrText>
        </w:r>
        <w:r w:rsidRPr="00C054C3">
          <w:rPr>
            <w:webHidden/>
            <w:lang w:val="en-GB"/>
          </w:rPr>
        </w:r>
        <w:r w:rsidRPr="00C054C3">
          <w:rPr>
            <w:webHidden/>
            <w:lang w:val="en-GB"/>
          </w:rPr>
          <w:fldChar w:fldCharType="separate"/>
        </w:r>
        <w:r w:rsidR="00053AA2">
          <w:rPr>
            <w:noProof/>
            <w:webHidden/>
            <w:lang w:val="en-GB"/>
          </w:rPr>
          <w:t>10</w:t>
        </w:r>
        <w:r w:rsidRPr="00C054C3">
          <w:rPr>
            <w:webHidden/>
            <w:lang w:val="en-GB"/>
          </w:rPr>
          <w:fldChar w:fldCharType="end"/>
        </w:r>
      </w:hyperlink>
    </w:p>
    <w:p w14:paraId="4F7B351D" w14:textId="6F396655" w:rsidR="0034404E" w:rsidRPr="00C054C3" w:rsidRDefault="0034404E">
      <w:pPr>
        <w:pStyle w:val="TOC1"/>
        <w:rPr>
          <w:rFonts w:asciiTheme="minorHAnsi" w:eastAsiaTheme="minorEastAsia" w:hAnsiTheme="minorHAnsi" w:cstheme="minorBidi"/>
          <w:kern w:val="2"/>
          <w:szCs w:val="24"/>
          <w:lang w:val="en-GB" w:eastAsia="en-GB"/>
          <w14:ligatures w14:val="standardContextual"/>
        </w:rPr>
      </w:pPr>
      <w:hyperlink w:anchor="_Toc185573786" w:history="1">
        <w:r w:rsidRPr="00C054C3">
          <w:rPr>
            <w:rStyle w:val="Hyperlink"/>
            <w:lang w:val="en-GB"/>
          </w:rPr>
          <w:t>11</w:t>
        </w:r>
        <w:r w:rsidRPr="00C054C3">
          <w:rPr>
            <w:rFonts w:asciiTheme="minorHAnsi" w:eastAsiaTheme="minorEastAsia" w:hAnsiTheme="minorHAnsi" w:cstheme="minorBidi"/>
            <w:kern w:val="2"/>
            <w:szCs w:val="24"/>
            <w:lang w:val="en-GB" w:eastAsia="en-GB"/>
            <w14:ligatures w14:val="standardContextual"/>
          </w:rPr>
          <w:tab/>
        </w:r>
        <w:r w:rsidRPr="00C054C3">
          <w:rPr>
            <w:rStyle w:val="Hyperlink"/>
            <w:lang w:val="en-GB"/>
          </w:rPr>
          <w:t>References</w:t>
        </w:r>
        <w:r w:rsidRPr="00C054C3">
          <w:rPr>
            <w:webHidden/>
            <w:lang w:val="en-GB"/>
          </w:rPr>
          <w:tab/>
        </w:r>
        <w:r w:rsidRPr="00C054C3">
          <w:rPr>
            <w:webHidden/>
            <w:lang w:val="en-GB"/>
          </w:rPr>
          <w:tab/>
        </w:r>
        <w:r w:rsidRPr="00C054C3">
          <w:rPr>
            <w:webHidden/>
            <w:lang w:val="en-GB"/>
          </w:rPr>
          <w:fldChar w:fldCharType="begin"/>
        </w:r>
        <w:r w:rsidRPr="00C054C3">
          <w:rPr>
            <w:webHidden/>
            <w:lang w:val="en-GB"/>
          </w:rPr>
          <w:instrText xml:space="preserve"> PAGEREF _Toc185573786 \h </w:instrText>
        </w:r>
        <w:r w:rsidRPr="00C054C3">
          <w:rPr>
            <w:webHidden/>
            <w:lang w:val="en-GB"/>
          </w:rPr>
        </w:r>
        <w:r w:rsidRPr="00C054C3">
          <w:rPr>
            <w:webHidden/>
            <w:lang w:val="en-GB"/>
          </w:rPr>
          <w:fldChar w:fldCharType="separate"/>
        </w:r>
        <w:r w:rsidR="00053AA2">
          <w:rPr>
            <w:noProof/>
            <w:webHidden/>
            <w:lang w:val="en-GB"/>
          </w:rPr>
          <w:t>11</w:t>
        </w:r>
        <w:r w:rsidRPr="00C054C3">
          <w:rPr>
            <w:webHidden/>
            <w:lang w:val="en-GB"/>
          </w:rPr>
          <w:fldChar w:fldCharType="end"/>
        </w:r>
      </w:hyperlink>
    </w:p>
    <w:p w14:paraId="46062A93" w14:textId="44B18056" w:rsidR="00F870B3" w:rsidRPr="00C054C3" w:rsidRDefault="003F69F1" w:rsidP="00D02D31">
      <w:r w:rsidRPr="00C054C3">
        <w:fldChar w:fldCharType="end"/>
      </w:r>
      <w:r w:rsidR="00F870B3" w:rsidRPr="00C054C3">
        <w:br w:type="page"/>
      </w:r>
    </w:p>
    <w:p w14:paraId="4A2034E7" w14:textId="77777777" w:rsidR="00F870B3" w:rsidRPr="00C054C3" w:rsidRDefault="00F870B3" w:rsidP="00F870B3">
      <w:pPr>
        <w:pStyle w:val="Heading1"/>
        <w:rPr>
          <w:lang w:eastAsia="zh-CN"/>
        </w:rPr>
      </w:pPr>
      <w:bookmarkStart w:id="7" w:name="_Toc14365391"/>
      <w:bookmarkStart w:id="8" w:name="_Toc185573772"/>
      <w:r w:rsidRPr="00C054C3">
        <w:rPr>
          <w:lang w:eastAsia="zh-CN"/>
        </w:rPr>
        <w:lastRenderedPageBreak/>
        <w:t>1</w:t>
      </w:r>
      <w:r w:rsidRPr="00C054C3">
        <w:rPr>
          <w:lang w:eastAsia="zh-CN"/>
        </w:rPr>
        <w:tab/>
        <w:t>Introduction</w:t>
      </w:r>
      <w:bookmarkEnd w:id="7"/>
      <w:bookmarkEnd w:id="8"/>
    </w:p>
    <w:p w14:paraId="509A4F3E" w14:textId="77777777" w:rsidR="00F870B3" w:rsidRPr="00C054C3" w:rsidRDefault="00F870B3" w:rsidP="00F870B3">
      <w:pPr>
        <w:rPr>
          <w:color w:val="000000"/>
          <w:szCs w:val="24"/>
        </w:rPr>
      </w:pPr>
      <w:r w:rsidRPr="00C054C3">
        <w:rPr>
          <w:szCs w:val="24"/>
        </w:rPr>
        <w:t xml:space="preserve">The objectives of this Report are to provide guidance where </w:t>
      </w:r>
      <w:r w:rsidRPr="00C054C3">
        <w:rPr>
          <w:color w:val="000000"/>
          <w:szCs w:val="24"/>
        </w:rPr>
        <w:t>an existing DTTB network exists and how assessment of parameters for the 2</w:t>
      </w:r>
      <w:r w:rsidRPr="007D35B3">
        <w:rPr>
          <w:color w:val="000000"/>
          <w:szCs w:val="24"/>
          <w:vertAlign w:val="superscript"/>
        </w:rPr>
        <w:t>nd</w:t>
      </w:r>
      <w:r w:rsidRPr="00C054C3">
        <w:rPr>
          <w:color w:val="000000"/>
          <w:szCs w:val="24"/>
        </w:rPr>
        <w:t xml:space="preserve"> generation can be reliably chosen to either:</w:t>
      </w:r>
    </w:p>
    <w:p w14:paraId="4ADEE8BF" w14:textId="77777777" w:rsidR="00F870B3" w:rsidRPr="00C054C3" w:rsidRDefault="00F870B3" w:rsidP="00F870B3">
      <w:pPr>
        <w:pStyle w:val="enumlev1"/>
      </w:pPr>
      <w:r w:rsidRPr="00C054C3">
        <w:t>–</w:t>
      </w:r>
      <w:r w:rsidRPr="00C054C3">
        <w:tab/>
        <w:t>maintain the same coverage;</w:t>
      </w:r>
    </w:p>
    <w:p w14:paraId="6493BE74" w14:textId="77777777" w:rsidR="00F870B3" w:rsidRPr="00C054C3" w:rsidRDefault="00F870B3" w:rsidP="00F870B3">
      <w:pPr>
        <w:pStyle w:val="enumlev1"/>
      </w:pPr>
      <w:r w:rsidRPr="00C054C3">
        <w:t>–</w:t>
      </w:r>
      <w:r w:rsidRPr="00C054C3">
        <w:tab/>
        <w:t>improve the coverage;</w:t>
      </w:r>
    </w:p>
    <w:p w14:paraId="12FE4488" w14:textId="77777777" w:rsidR="00F870B3" w:rsidRPr="00C054C3" w:rsidRDefault="00F870B3" w:rsidP="00F870B3">
      <w:pPr>
        <w:pStyle w:val="enumlev1"/>
      </w:pPr>
      <w:r w:rsidRPr="00C054C3">
        <w:t>–</w:t>
      </w:r>
      <w:r w:rsidRPr="00C054C3">
        <w:tab/>
        <w:t>maintain the same data bit rate in a 6/7/8 MHz channel;</w:t>
      </w:r>
    </w:p>
    <w:p w14:paraId="3F97C775" w14:textId="77777777" w:rsidR="00F870B3" w:rsidRPr="00C054C3" w:rsidRDefault="00F870B3" w:rsidP="00F870B3">
      <w:pPr>
        <w:pStyle w:val="enumlev1"/>
      </w:pPr>
      <w:r w:rsidRPr="00C054C3">
        <w:t>–</w:t>
      </w:r>
      <w:r w:rsidRPr="00C054C3">
        <w:tab/>
        <w:t>improve the data bit rate in a 6/7/8 MHz channel;</w:t>
      </w:r>
    </w:p>
    <w:p w14:paraId="3CCBBA3B" w14:textId="77777777" w:rsidR="00F870B3" w:rsidRPr="00C054C3" w:rsidRDefault="00F870B3" w:rsidP="00F870B3">
      <w:pPr>
        <w:pStyle w:val="enumlev1"/>
      </w:pPr>
      <w:r w:rsidRPr="00C054C3">
        <w:t>–</w:t>
      </w:r>
      <w:r w:rsidRPr="00C054C3">
        <w:tab/>
        <w:t>obtain a mode with more robustness to interference;</w:t>
      </w:r>
    </w:p>
    <w:p w14:paraId="6EB44465" w14:textId="77777777" w:rsidR="00F870B3" w:rsidRPr="00C054C3" w:rsidRDefault="00F870B3" w:rsidP="00F870B3">
      <w:pPr>
        <w:pStyle w:val="enumlev1"/>
        <w:rPr>
          <w:spacing w:val="-6"/>
        </w:rPr>
      </w:pPr>
      <w:r w:rsidRPr="00C054C3">
        <w:t>–</w:t>
      </w:r>
      <w:r w:rsidRPr="00C054C3">
        <w:tab/>
      </w:r>
      <w:r w:rsidRPr="00C054C3">
        <w:rPr>
          <w:spacing w:val="-6"/>
        </w:rPr>
        <w:t>evaluate a mode with less robustness to interference while enhanced with other features; and</w:t>
      </w:r>
    </w:p>
    <w:p w14:paraId="14B0C42A" w14:textId="77777777" w:rsidR="00F870B3" w:rsidRPr="00C054C3" w:rsidRDefault="00F870B3" w:rsidP="00F870B3">
      <w:pPr>
        <w:pStyle w:val="enumlev1"/>
        <w:rPr>
          <w:bCs/>
        </w:rPr>
      </w:pPr>
      <w:r w:rsidRPr="00C054C3">
        <w:t>–</w:t>
      </w:r>
      <w:r w:rsidRPr="00C054C3">
        <w:tab/>
        <w:t>consider the consequences to the receiving audience of the characteristics to be selected.</w:t>
      </w:r>
    </w:p>
    <w:p w14:paraId="5C624145" w14:textId="77777777" w:rsidR="00F870B3" w:rsidRPr="00C054C3" w:rsidRDefault="00F870B3" w:rsidP="00F870B3">
      <w:pPr>
        <w:pStyle w:val="Heading1"/>
      </w:pPr>
      <w:bookmarkStart w:id="9" w:name="_Toc14365392"/>
      <w:bookmarkStart w:id="10" w:name="_Toc185573773"/>
      <w:r w:rsidRPr="00C054C3">
        <w:rPr>
          <w:lang w:eastAsia="zh-CN"/>
        </w:rPr>
        <w:t>2</w:t>
      </w:r>
      <w:r w:rsidRPr="00C054C3">
        <w:rPr>
          <w:lang w:eastAsia="zh-CN"/>
        </w:rPr>
        <w:tab/>
        <w:t xml:space="preserve">Selection of </w:t>
      </w:r>
      <w:r w:rsidRPr="00C054C3">
        <w:t>second generation digital television broadcasting systems modulation parameters for evaluation</w:t>
      </w:r>
      <w:bookmarkEnd w:id="9"/>
      <w:bookmarkEnd w:id="10"/>
    </w:p>
    <w:p w14:paraId="406ECEE1" w14:textId="77777777" w:rsidR="00F870B3" w:rsidRPr="00C054C3" w:rsidRDefault="00F870B3" w:rsidP="00F870B3">
      <w:pPr>
        <w:pStyle w:val="Heading2"/>
      </w:pPr>
      <w:bookmarkStart w:id="11" w:name="_Toc185573774"/>
      <w:r w:rsidRPr="00C054C3">
        <w:t>2.1</w:t>
      </w:r>
      <w:r w:rsidRPr="00C054C3">
        <w:tab/>
        <w:t>DVB-T2 system parameters</w:t>
      </w:r>
      <w:bookmarkEnd w:id="11"/>
    </w:p>
    <w:p w14:paraId="76036D45" w14:textId="633CFDB5" w:rsidR="00F870B3" w:rsidRPr="00C054C3" w:rsidRDefault="00F870B3" w:rsidP="006259BA">
      <w:pPr>
        <w:rPr>
          <w:b/>
        </w:rPr>
      </w:pPr>
      <w:r w:rsidRPr="00C054C3">
        <w:t xml:space="preserve">The error-correction, data framing, modulation and emission parameters for the second generation of multi-carrier system DTTB (DVB-T2) transmission systems with multiple physical layer pipes (PLP) should be selected from Table 1 of Recommendation </w:t>
      </w:r>
      <w:hyperlink r:id="rId15" w:history="1">
        <w:r w:rsidRPr="00C054C3">
          <w:rPr>
            <w:rStyle w:val="Hyperlink"/>
            <w:color w:val="auto"/>
            <w:u w:val="none"/>
          </w:rPr>
          <w:t>ITU-R BT.1877-3</w:t>
        </w:r>
      </w:hyperlink>
      <w:r w:rsidRPr="00C054C3">
        <w:t xml:space="preserve"> – Error-correction, data framing, modulation and emission methods for second generation of digital terrestrial television broadcasting systems. Noting that the DVB-T2 related standards are:</w:t>
      </w:r>
    </w:p>
    <w:p w14:paraId="7C83E09B" w14:textId="77777777" w:rsidR="00F870B3" w:rsidRPr="00C054C3" w:rsidRDefault="00F870B3" w:rsidP="00F870B3">
      <w:pPr>
        <w:pStyle w:val="enumlev1"/>
      </w:pPr>
      <w:r w:rsidRPr="00C054C3">
        <w:t>–</w:t>
      </w:r>
      <w:r w:rsidRPr="00C054C3">
        <w:tab/>
        <w:t>ETSI EN 302 755. Digital Video Broadcasting (DVB); Frame structure channel coding and modulation for a second generation digital terrestrial television broadcasting system (DVB</w:t>
      </w:r>
      <w:r w:rsidRPr="00C054C3">
        <w:noBreakHyphen/>
        <w:t>T2).</w:t>
      </w:r>
    </w:p>
    <w:p w14:paraId="6A4C93EA" w14:textId="77777777" w:rsidR="00F870B3" w:rsidRPr="00C054C3" w:rsidRDefault="00F870B3" w:rsidP="00F870B3">
      <w:pPr>
        <w:pStyle w:val="enumlev1"/>
      </w:pPr>
      <w:r w:rsidRPr="00C054C3">
        <w:t>–</w:t>
      </w:r>
      <w:r w:rsidRPr="00C054C3">
        <w:tab/>
        <w:t>ETSI TR 102 831. Digital Video Broadcasting (DVB); Implementation guidelines for a second generation digital terrestrial television broadcasting system (DVB-T2).</w:t>
      </w:r>
    </w:p>
    <w:p w14:paraId="16D370B8" w14:textId="77777777" w:rsidR="00F870B3" w:rsidRPr="00C054C3" w:rsidRDefault="00F870B3" w:rsidP="00F870B3">
      <w:r w:rsidRPr="00C054C3">
        <w:t>The DVB-T2 system parameters offer a wider range of modes than DVB-T which results in options for increasing bit rate capacity or the robustness of the signal.</w:t>
      </w:r>
    </w:p>
    <w:p w14:paraId="48980E39" w14:textId="77777777" w:rsidR="00F870B3" w:rsidRPr="00C054C3" w:rsidRDefault="00F870B3" w:rsidP="00F870B3">
      <w:pPr>
        <w:rPr>
          <w:bCs/>
        </w:rPr>
      </w:pPr>
      <w:r w:rsidRPr="00C054C3">
        <w:rPr>
          <w:iCs/>
        </w:rPr>
        <w:t xml:space="preserve">The objective is to identify the possible </w:t>
      </w:r>
      <w:r w:rsidRPr="00C054C3">
        <w:t xml:space="preserve">modulation parameter permutations by </w:t>
      </w:r>
      <w:r w:rsidRPr="00C054C3">
        <w:rPr>
          <w:bCs/>
        </w:rPr>
        <w:t xml:space="preserve">assessing </w:t>
      </w:r>
      <w:r w:rsidRPr="00C054C3">
        <w:t xml:space="preserve">the potential for increased wide area single frequency network performance, increased bit rates and coverage of </w:t>
      </w:r>
      <w:r w:rsidRPr="00C054C3">
        <w:rPr>
          <w:bCs/>
        </w:rPr>
        <w:t xml:space="preserve">different DVB-T2 modes and coding when compared to the DVB-T parameters at an equivalent </w:t>
      </w:r>
      <w:r w:rsidRPr="00C054C3">
        <w:rPr>
          <w:bCs/>
          <w:i/>
        </w:rPr>
        <w:t>C</w:t>
      </w:r>
      <w:r w:rsidRPr="00C054C3">
        <w:rPr>
          <w:bCs/>
        </w:rPr>
        <w:t>/</w:t>
      </w:r>
      <w:r w:rsidRPr="00C054C3">
        <w:rPr>
          <w:bCs/>
          <w:i/>
        </w:rPr>
        <w:t>N</w:t>
      </w:r>
      <w:r w:rsidRPr="00C054C3">
        <w:rPr>
          <w:bCs/>
        </w:rPr>
        <w:t xml:space="preserve"> value. For example:</w:t>
      </w:r>
    </w:p>
    <w:p w14:paraId="0C667036" w14:textId="77777777" w:rsidR="00F870B3" w:rsidRPr="00C054C3" w:rsidRDefault="00F870B3" w:rsidP="006259BA">
      <w:pPr>
        <w:pStyle w:val="enumlev1"/>
      </w:pPr>
      <w:r w:rsidRPr="00C054C3">
        <w:t>a)</w:t>
      </w:r>
      <w:r w:rsidRPr="00C054C3">
        <w:tab/>
        <w:t xml:space="preserve">Same coverage – resultant DVB-T2 capacity </w:t>
      </w:r>
    </w:p>
    <w:p w14:paraId="50EB7061" w14:textId="77777777" w:rsidR="00F870B3" w:rsidRPr="00C054C3" w:rsidRDefault="00F870B3" w:rsidP="006259BA">
      <w:pPr>
        <w:pStyle w:val="enumlev1"/>
      </w:pPr>
      <w:r w:rsidRPr="00C054C3">
        <w:t>b)</w:t>
      </w:r>
      <w:r w:rsidRPr="00C054C3">
        <w:tab/>
        <w:t xml:space="preserve">Less coverage – more capacity </w:t>
      </w:r>
    </w:p>
    <w:p w14:paraId="73430BE2" w14:textId="77777777" w:rsidR="00F870B3" w:rsidRPr="00C054C3" w:rsidRDefault="00F870B3" w:rsidP="006259BA">
      <w:pPr>
        <w:pStyle w:val="enumlev1"/>
      </w:pPr>
      <w:r w:rsidRPr="00C054C3">
        <w:t>c)</w:t>
      </w:r>
      <w:r w:rsidRPr="00C054C3">
        <w:tab/>
        <w:t>More coverage – less capacity</w:t>
      </w:r>
    </w:p>
    <w:p w14:paraId="6E2BC45A" w14:textId="77777777" w:rsidR="00F870B3" w:rsidRPr="00C054C3" w:rsidRDefault="00F870B3" w:rsidP="006259BA">
      <w:pPr>
        <w:pStyle w:val="enumlev1"/>
      </w:pPr>
      <w:r w:rsidRPr="00C054C3">
        <w:t>d)</w:t>
      </w:r>
      <w:r w:rsidRPr="00C054C3">
        <w:tab/>
        <w:t>More coverage – more capacity</w:t>
      </w:r>
    </w:p>
    <w:p w14:paraId="2018963A" w14:textId="77777777" w:rsidR="00F870B3" w:rsidRPr="00C054C3" w:rsidRDefault="00F870B3" w:rsidP="00F870B3">
      <w:pPr>
        <w:pStyle w:val="Heading20"/>
        <w:rPr>
          <w:lang w:val="en-GB"/>
        </w:rPr>
      </w:pPr>
      <w:bookmarkStart w:id="12" w:name="_Toc26360801"/>
      <w:bookmarkStart w:id="13" w:name="_Toc185573775"/>
      <w:bookmarkStart w:id="14" w:name="_Toc14365393"/>
      <w:r w:rsidRPr="00C054C3">
        <w:rPr>
          <w:lang w:val="en-GB"/>
        </w:rPr>
        <w:t>2.2</w:t>
      </w:r>
      <w:r w:rsidRPr="00C054C3">
        <w:rPr>
          <w:lang w:val="en-GB"/>
        </w:rPr>
        <w:tab/>
      </w:r>
      <w:bookmarkEnd w:id="12"/>
      <w:r w:rsidRPr="00C054C3">
        <w:rPr>
          <w:lang w:val="en-GB"/>
        </w:rPr>
        <w:t>ATSC 3.0 system parameters</w:t>
      </w:r>
      <w:bookmarkEnd w:id="13"/>
    </w:p>
    <w:p w14:paraId="6A47E757" w14:textId="2EEB2828" w:rsidR="00F870B3" w:rsidRPr="00C054C3" w:rsidRDefault="00F870B3" w:rsidP="00F870B3">
      <w:r w:rsidRPr="00C054C3">
        <w:t>The error-correction, data framing, modulation and emission parameters for the 2</w:t>
      </w:r>
      <w:r w:rsidRPr="007D35B3">
        <w:rPr>
          <w:vertAlign w:val="superscript"/>
        </w:rPr>
        <w:t>nd</w:t>
      </w:r>
      <w:r w:rsidRPr="00C054C3">
        <w:t xml:space="preserve"> Generation DTTB System ATSC 3.0 physical layer should be selected from Table 2 of Recommendation ITU</w:t>
      </w:r>
      <w:r w:rsidR="007108E0" w:rsidRPr="00C054C3">
        <w:noBreakHyphen/>
      </w:r>
      <w:r w:rsidRPr="00C054C3">
        <w:t>R</w:t>
      </w:r>
      <w:r w:rsidR="007108E0" w:rsidRPr="00C054C3">
        <w:t> </w:t>
      </w:r>
      <w:r w:rsidRPr="00C054C3">
        <w:t xml:space="preserve">BT.1877-3. To aid in this selection, two keys ATSC 3.0 standards are: </w:t>
      </w:r>
    </w:p>
    <w:p w14:paraId="6382DE41" w14:textId="77777777" w:rsidR="00F870B3" w:rsidRPr="00C054C3" w:rsidRDefault="00F870B3" w:rsidP="00F870B3">
      <w:pPr>
        <w:pStyle w:val="enumlev1"/>
      </w:pPr>
      <w:r w:rsidRPr="00C054C3">
        <w:t>–</w:t>
      </w:r>
      <w:r w:rsidRPr="00C054C3">
        <w:tab/>
        <w:t>ATSC Standard A/300: ATSC 3.0 System</w:t>
      </w:r>
    </w:p>
    <w:p w14:paraId="2E9541CD" w14:textId="77777777" w:rsidR="00F870B3" w:rsidRPr="00C054C3" w:rsidRDefault="00F870B3" w:rsidP="00F870B3">
      <w:pPr>
        <w:pStyle w:val="enumlev1"/>
      </w:pPr>
      <w:r w:rsidRPr="00C054C3">
        <w:t>–</w:t>
      </w:r>
      <w:r w:rsidRPr="00C054C3">
        <w:tab/>
        <w:t>ATSC Standard A/322: Physical Layer Protocol.</w:t>
      </w:r>
    </w:p>
    <w:p w14:paraId="2F0A1550" w14:textId="5B45D5AF" w:rsidR="00F870B3" w:rsidRPr="00C054C3" w:rsidRDefault="00F870B3" w:rsidP="006259BA">
      <w:pPr>
        <w:keepNext/>
        <w:keepLines/>
      </w:pPr>
      <w:bookmarkStart w:id="15" w:name="1.2_Organization"/>
      <w:bookmarkStart w:id="16" w:name="bookmark2"/>
      <w:bookmarkStart w:id="17" w:name="1._SCOPE"/>
      <w:bookmarkStart w:id="18" w:name="1.1_Introduction_and_Background"/>
      <w:bookmarkStart w:id="19" w:name="bookmark0"/>
      <w:bookmarkStart w:id="20" w:name="bookmark1"/>
      <w:bookmarkEnd w:id="15"/>
      <w:bookmarkEnd w:id="16"/>
      <w:bookmarkEnd w:id="17"/>
      <w:bookmarkEnd w:id="18"/>
      <w:bookmarkEnd w:id="19"/>
      <w:bookmarkEnd w:id="20"/>
      <w:r w:rsidRPr="00C054C3">
        <w:lastRenderedPageBreak/>
        <w:t>The ATSC physical layer protocol is intended to offer far more flexibility, robustness and efficient operations than the ATSC A/53 (ATSC 1.0) standard, and as a result, it is non-backwards compatible with A/53. This physical layer allows broadcasters to choose from among a wide variety of physical layer parameters for personalized broadcaster performance that can satisfy many different broadcaster needs. In addition to the capability to have high-capacity/low-robustness and low</w:t>
      </w:r>
      <w:r w:rsidR="006259BA" w:rsidRPr="00C054C3">
        <w:noBreakHyphen/>
      </w:r>
      <w:r w:rsidRPr="00C054C3">
        <w:t>capacity/high</w:t>
      </w:r>
      <w:r w:rsidR="006259BA" w:rsidRPr="00C054C3">
        <w:noBreakHyphen/>
      </w:r>
      <w:r w:rsidRPr="00C054C3">
        <w:t>robustness modes in the same emission, technologies can be selected for special use cases like Single Frequency Networks, Multiple Input Multiple Output channel operation, channel bonding and more, well beyond a single transmitting tower. There is a large range of selections for robustness including, but not limited to, a wide range of guard interval lengths, forward error correction code lengths and code rates.</w:t>
      </w:r>
    </w:p>
    <w:p w14:paraId="30E06E9D" w14:textId="77777777" w:rsidR="00F870B3" w:rsidRPr="00C054C3" w:rsidRDefault="00F870B3" w:rsidP="00F870B3">
      <w:pPr>
        <w:pStyle w:val="Heading1"/>
      </w:pPr>
      <w:bookmarkStart w:id="21" w:name="_Toc185573776"/>
      <w:r w:rsidRPr="00C054C3">
        <w:t>3</w:t>
      </w:r>
      <w:r w:rsidRPr="00C054C3">
        <w:tab/>
        <w:t>Television broadcasting system parameters and service coverage requirements</w:t>
      </w:r>
      <w:bookmarkEnd w:id="14"/>
      <w:bookmarkEnd w:id="21"/>
    </w:p>
    <w:p w14:paraId="2D003AA1" w14:textId="77777777" w:rsidR="00F870B3" w:rsidRPr="00C054C3" w:rsidRDefault="00F870B3" w:rsidP="00F870B3">
      <w:r w:rsidRPr="00C054C3">
        <w:t>There are two scenarios for the transition to 2</w:t>
      </w:r>
      <w:r w:rsidRPr="007D35B3">
        <w:rPr>
          <w:vertAlign w:val="superscript"/>
        </w:rPr>
        <w:t>nd</w:t>
      </w:r>
      <w:r w:rsidRPr="00C054C3">
        <w:t xml:space="preserve"> generation digital terrestrial television broadcasting, either:</w:t>
      </w:r>
    </w:p>
    <w:p w14:paraId="7CD5F1CD" w14:textId="77777777" w:rsidR="00F870B3" w:rsidRPr="00C054C3" w:rsidRDefault="00F870B3" w:rsidP="00F870B3">
      <w:pPr>
        <w:pStyle w:val="enumlev1"/>
      </w:pPr>
      <w:r w:rsidRPr="00C054C3">
        <w:rPr>
          <w:szCs w:val="24"/>
        </w:rPr>
        <w:t>–</w:t>
      </w:r>
      <w:r w:rsidRPr="00C054C3">
        <w:rPr>
          <w:szCs w:val="24"/>
        </w:rPr>
        <w:tab/>
        <w:t>transition</w:t>
      </w:r>
      <w:r w:rsidRPr="00C054C3">
        <w:t xml:space="preserve"> from analogue television to 2</w:t>
      </w:r>
      <w:r w:rsidRPr="007D35B3">
        <w:rPr>
          <w:vertAlign w:val="superscript"/>
        </w:rPr>
        <w:t>nd</w:t>
      </w:r>
      <w:r w:rsidRPr="00C054C3">
        <w:t xml:space="preserve"> generation digital television broadcasting, or</w:t>
      </w:r>
    </w:p>
    <w:p w14:paraId="36AA31F8" w14:textId="77777777" w:rsidR="00F870B3" w:rsidRPr="00C054C3" w:rsidRDefault="00F870B3" w:rsidP="00F870B3">
      <w:pPr>
        <w:pStyle w:val="enumlev1"/>
        <w:rPr>
          <w:rFonts w:cs="Segoe UI"/>
          <w:color w:val="000000"/>
        </w:rPr>
      </w:pPr>
      <w:r w:rsidRPr="00C054C3">
        <w:rPr>
          <w:rFonts w:cs="Segoe UI"/>
          <w:color w:val="000000"/>
        </w:rPr>
        <w:t>–</w:t>
      </w:r>
      <w:r w:rsidRPr="00C054C3">
        <w:rPr>
          <w:rFonts w:cs="Segoe UI"/>
          <w:color w:val="000000"/>
        </w:rPr>
        <w:tab/>
        <w:t>transition from 1</w:t>
      </w:r>
      <w:r w:rsidRPr="007D35B3">
        <w:rPr>
          <w:rFonts w:cs="Segoe UI"/>
          <w:color w:val="000000"/>
          <w:vertAlign w:val="superscript"/>
        </w:rPr>
        <w:t>st</w:t>
      </w:r>
      <w:r w:rsidRPr="00C054C3">
        <w:rPr>
          <w:rFonts w:cs="Segoe UI"/>
          <w:color w:val="000000"/>
        </w:rPr>
        <w:t xml:space="preserve"> to 2</w:t>
      </w:r>
      <w:r w:rsidRPr="007D35B3">
        <w:rPr>
          <w:rFonts w:cs="Segoe UI"/>
          <w:color w:val="000000"/>
          <w:vertAlign w:val="superscript"/>
        </w:rPr>
        <w:t>nd</w:t>
      </w:r>
      <w:r w:rsidRPr="00C054C3">
        <w:rPr>
          <w:rFonts w:cs="Segoe UI"/>
          <w:color w:val="000000"/>
        </w:rPr>
        <w:t xml:space="preserve"> generation digital television broadcasting.</w:t>
      </w:r>
    </w:p>
    <w:p w14:paraId="3A4BD188" w14:textId="77777777" w:rsidR="00F870B3" w:rsidRPr="00C054C3" w:rsidRDefault="00F870B3" w:rsidP="00F870B3">
      <w:pPr>
        <w:rPr>
          <w:rFonts w:cs="Segoe UI"/>
          <w:color w:val="000000"/>
        </w:rPr>
      </w:pPr>
      <w:r w:rsidRPr="00C054C3">
        <w:rPr>
          <w:rFonts w:cs="Segoe UI"/>
          <w:color w:val="000000"/>
        </w:rPr>
        <w:t xml:space="preserve">Each administration will seek to determine the national regulatory transitional arrangements. </w:t>
      </w:r>
    </w:p>
    <w:p w14:paraId="09B23177" w14:textId="77777777" w:rsidR="00F870B3" w:rsidRPr="00C054C3" w:rsidRDefault="00F870B3" w:rsidP="00F870B3">
      <w:pPr>
        <w:rPr>
          <w:rFonts w:cs="Segoe UI"/>
          <w:color w:val="000000"/>
        </w:rPr>
      </w:pPr>
      <w:r w:rsidRPr="00C054C3">
        <w:rPr>
          <w:rFonts w:cs="Segoe UI"/>
          <w:color w:val="000000"/>
        </w:rPr>
        <w:t>In many cases a ‘simulcast’ of the existing terrestrial television broadcasting system with 2</w:t>
      </w:r>
      <w:r w:rsidRPr="007D35B3">
        <w:rPr>
          <w:rFonts w:cs="Segoe UI"/>
          <w:color w:val="000000"/>
          <w:vertAlign w:val="superscript"/>
        </w:rPr>
        <w:t>nd</w:t>
      </w:r>
      <w:r w:rsidRPr="00C054C3">
        <w:rPr>
          <w:rFonts w:cs="Segoe UI"/>
          <w:color w:val="000000"/>
        </w:rPr>
        <w:t xml:space="preserve"> generation digital television broadcasting will be considered. </w:t>
      </w:r>
    </w:p>
    <w:p w14:paraId="14205AA8" w14:textId="77777777" w:rsidR="00F870B3" w:rsidRPr="00C054C3" w:rsidRDefault="00F870B3" w:rsidP="00F870B3">
      <w:pPr>
        <w:rPr>
          <w:rFonts w:cs="Segoe UI"/>
          <w:i/>
          <w:iCs/>
          <w:color w:val="000000"/>
        </w:rPr>
      </w:pPr>
      <w:r w:rsidRPr="00C054C3">
        <w:rPr>
          <w:rFonts w:cs="Segoe UI"/>
          <w:color w:val="000000"/>
        </w:rPr>
        <w:t>The parameters of the existing television broadcasting system and its network structure will assist in determining the impact of the transition on the TV audience and most appropriate approach for a switchover from analogue to digital. There may also be differences between the performance of the 2</w:t>
      </w:r>
      <w:r w:rsidRPr="007D35B3">
        <w:rPr>
          <w:rFonts w:cs="Segoe UI"/>
          <w:color w:val="000000"/>
          <w:vertAlign w:val="superscript"/>
        </w:rPr>
        <w:t>nd</w:t>
      </w:r>
      <w:r w:rsidRPr="00C054C3">
        <w:rPr>
          <w:rFonts w:cs="Segoe UI"/>
          <w:color w:val="000000"/>
        </w:rPr>
        <w:t xml:space="preserve"> generation digital television broadcasting and the existing 1</w:t>
      </w:r>
      <w:r w:rsidRPr="007D35B3">
        <w:rPr>
          <w:rFonts w:cs="Segoe UI"/>
          <w:color w:val="000000"/>
          <w:vertAlign w:val="superscript"/>
        </w:rPr>
        <w:t>st</w:t>
      </w:r>
      <w:r w:rsidRPr="00C054C3">
        <w:rPr>
          <w:rFonts w:cs="Segoe UI"/>
          <w:color w:val="000000"/>
        </w:rPr>
        <w:t xml:space="preserve"> generation digital television broadcasting which may need to be considered.</w:t>
      </w:r>
    </w:p>
    <w:p w14:paraId="384289E4" w14:textId="77777777" w:rsidR="00F870B3" w:rsidRPr="00C054C3" w:rsidRDefault="00F870B3" w:rsidP="00F870B3">
      <w:pPr>
        <w:pStyle w:val="Headingb"/>
      </w:pPr>
      <w:r w:rsidRPr="00C054C3">
        <w:t>a)</w:t>
      </w:r>
      <w:r w:rsidRPr="00C054C3">
        <w:tab/>
        <w:t>Parameters for the existing analogue television broadcasting system</w:t>
      </w:r>
    </w:p>
    <w:p w14:paraId="6BB0C5C5" w14:textId="77777777" w:rsidR="00F870B3" w:rsidRPr="00C054C3" w:rsidRDefault="00F870B3" w:rsidP="00F870B3">
      <w:r w:rsidRPr="00C054C3">
        <w:t xml:space="preserve">The radio-frequency specifications defined in Recommendation </w:t>
      </w:r>
      <w:hyperlink r:id="rId16" w:history="1">
        <w:r w:rsidRPr="00C054C3">
          <w:t>ITU</w:t>
        </w:r>
        <w:r w:rsidRPr="00C054C3">
          <w:noBreakHyphen/>
          <w:t>R BT.1701</w:t>
        </w:r>
      </w:hyperlink>
      <w:r w:rsidRPr="00C054C3">
        <w:t xml:space="preserve"> can be referenced for characteristics of radiated signals of analogue television systems.</w:t>
      </w:r>
    </w:p>
    <w:p w14:paraId="779FFD84" w14:textId="77777777" w:rsidR="00F870B3" w:rsidRPr="00C054C3" w:rsidRDefault="00F870B3" w:rsidP="00F870B3">
      <w:r w:rsidRPr="00C054C3">
        <w:t>Many countries have established specific planning criteria for the planning of analogue television services and conducted surveys to verify the coverage established. These are likely to be used to compare the coverage and signal performance of the analogue television services and those proposed for the digital television services.</w:t>
      </w:r>
    </w:p>
    <w:p w14:paraId="4FCDA0F8" w14:textId="77777777" w:rsidR="00F870B3" w:rsidRPr="00C054C3" w:rsidRDefault="00F870B3" w:rsidP="00F870B3">
      <w:r w:rsidRPr="00C054C3">
        <w:t xml:space="preserve">Report </w:t>
      </w:r>
      <w:hyperlink r:id="rId17" w:history="1">
        <w:r w:rsidRPr="00C054C3">
          <w:rPr>
            <w:iCs/>
          </w:rPr>
          <w:t>ITU-R BT.2043</w:t>
        </w:r>
      </w:hyperlink>
      <w:r w:rsidRPr="00C054C3">
        <w:t xml:space="preserve"> – </w:t>
      </w:r>
      <w:r w:rsidRPr="00C054C3">
        <w:rPr>
          <w:iCs/>
        </w:rPr>
        <w:t>Analogue television systems currently in use throughout the world</w:t>
      </w:r>
      <w:r w:rsidRPr="00C054C3">
        <w:t>, gives information on different television systems used by different countries.</w:t>
      </w:r>
    </w:p>
    <w:p w14:paraId="1EA53937" w14:textId="77777777" w:rsidR="00F870B3" w:rsidRPr="00C054C3" w:rsidRDefault="00F870B3" w:rsidP="00F870B3">
      <w:pPr>
        <w:rPr>
          <w:iCs/>
        </w:rPr>
      </w:pPr>
      <w:r w:rsidRPr="00C054C3">
        <w:rPr>
          <w:rFonts w:cs="Segoe UI"/>
          <w:color w:val="000000"/>
        </w:rPr>
        <w:t xml:space="preserve">Individual countries may have established specific system performance criteria for the </w:t>
      </w:r>
      <w:r w:rsidRPr="00C054C3">
        <w:rPr>
          <w:iCs/>
        </w:rPr>
        <w:t>Analogue television systems in use, i.e. NTSC, PAL and SECAM.</w:t>
      </w:r>
    </w:p>
    <w:p w14:paraId="4390B4C5" w14:textId="77777777" w:rsidR="00F870B3" w:rsidRPr="00C054C3" w:rsidRDefault="00F870B3" w:rsidP="00F870B3">
      <w:pPr>
        <w:rPr>
          <w:rFonts w:cs="Segoe UI"/>
          <w:color w:val="000000"/>
        </w:rPr>
      </w:pPr>
      <w:r w:rsidRPr="00C054C3">
        <w:rPr>
          <w:iCs/>
        </w:rPr>
        <w:t xml:space="preserve">The objective of identifying </w:t>
      </w:r>
      <w:r w:rsidRPr="00C054C3">
        <w:t xml:space="preserve">parameters for the existing analogue television broadcasting system is to ensure the coverage of the newly introduced </w:t>
      </w:r>
      <w:r w:rsidRPr="00C054C3">
        <w:rPr>
          <w:rFonts w:cs="Segoe UI"/>
          <w:color w:val="000000"/>
        </w:rPr>
        <w:t>digital television broadcasting reliably meets the coverage boundary of the existing analogue service which may have been established many years ago</w:t>
      </w:r>
      <w:r w:rsidRPr="00C054C3">
        <w:t>.</w:t>
      </w:r>
    </w:p>
    <w:p w14:paraId="2173AF7A" w14:textId="77777777" w:rsidR="00F870B3" w:rsidRPr="00C054C3" w:rsidRDefault="00F870B3" w:rsidP="00F870B3">
      <w:pPr>
        <w:pStyle w:val="Headingb"/>
      </w:pPr>
      <w:r w:rsidRPr="00C054C3">
        <w:t>b)</w:t>
      </w:r>
      <w:r w:rsidRPr="00C054C3">
        <w:tab/>
        <w:t>Parameters for the 1</w:t>
      </w:r>
      <w:r w:rsidRPr="007D35B3">
        <w:rPr>
          <w:vertAlign w:val="superscript"/>
        </w:rPr>
        <w:t>st</w:t>
      </w:r>
      <w:r w:rsidRPr="00C054C3">
        <w:t xml:space="preserve"> generation digital television broadcasting system</w:t>
      </w:r>
    </w:p>
    <w:p w14:paraId="6E1FA0DA" w14:textId="6F479515" w:rsidR="00F870B3" w:rsidRPr="00C054C3" w:rsidRDefault="00F870B3" w:rsidP="006259BA">
      <w:r w:rsidRPr="00C054C3">
        <w:t xml:space="preserve">Recommendation </w:t>
      </w:r>
      <w:hyperlink r:id="rId18" w:history="1">
        <w:r w:rsidRPr="00C054C3">
          <w:rPr>
            <w:rStyle w:val="Hyperlink"/>
            <w:color w:val="auto"/>
            <w:u w:val="none"/>
          </w:rPr>
          <w:t>ITU-R BT.1306</w:t>
        </w:r>
      </w:hyperlink>
      <w:r w:rsidRPr="00C054C3">
        <w:t xml:space="preserve"> – Error</w:t>
      </w:r>
      <w:r w:rsidR="00EA66E6" w:rsidRPr="00C054C3">
        <w:t>-</w:t>
      </w:r>
      <w:r w:rsidRPr="00C054C3">
        <w:t>correction, data framing, modulation and emission methods for digital terrestrial television broadcasting, defines error-correction, data framing, modulation and emission methods for digital terrestrial television broadcasting System B (DVB-T) and System A (ATSC 1.0).</w:t>
      </w:r>
    </w:p>
    <w:p w14:paraId="4E6ABA9D" w14:textId="77777777" w:rsidR="00F870B3" w:rsidRPr="00C054C3" w:rsidRDefault="00F870B3" w:rsidP="006259BA">
      <w:r w:rsidRPr="00C054C3">
        <w:lastRenderedPageBreak/>
        <w:t>Many countries have either established or are developing planning criteria for the planning of DVB</w:t>
      </w:r>
      <w:r w:rsidRPr="00C054C3">
        <w:noBreakHyphen/>
        <w:t>T and ATSC television services and some may have conducted surveys to verify the coverage established for these television services. This planning is likely to have to take into account the following for television services:</w:t>
      </w:r>
    </w:p>
    <w:p w14:paraId="6F85F6C5" w14:textId="77777777" w:rsidR="00F870B3" w:rsidRPr="00C054C3" w:rsidRDefault="00F870B3" w:rsidP="006259BA">
      <w:pPr>
        <w:pStyle w:val="enumlev1"/>
      </w:pPr>
      <w:r w:rsidRPr="00C054C3">
        <w:t>–</w:t>
      </w:r>
      <w:r w:rsidRPr="00C054C3">
        <w:tab/>
        <w:t>suitable propagation prediction model;</w:t>
      </w:r>
    </w:p>
    <w:p w14:paraId="0158C653" w14:textId="77777777" w:rsidR="00F870B3" w:rsidRPr="00C054C3" w:rsidRDefault="00F870B3" w:rsidP="006259BA">
      <w:pPr>
        <w:pStyle w:val="enumlev1"/>
      </w:pPr>
      <w:r w:rsidRPr="00C054C3">
        <w:t>–</w:t>
      </w:r>
      <w:r w:rsidRPr="00C054C3">
        <w:tab/>
        <w:t>target minimum field / signal strengths;</w:t>
      </w:r>
    </w:p>
    <w:p w14:paraId="45BD2137" w14:textId="77777777" w:rsidR="00F870B3" w:rsidRPr="00C054C3" w:rsidRDefault="00F870B3" w:rsidP="006259BA">
      <w:pPr>
        <w:pStyle w:val="enumlev1"/>
      </w:pPr>
      <w:r w:rsidRPr="00C054C3">
        <w:t>–</w:t>
      </w:r>
      <w:r w:rsidRPr="00C054C3">
        <w:tab/>
        <w:t>effective radiated power;</w:t>
      </w:r>
    </w:p>
    <w:p w14:paraId="03B00444" w14:textId="77777777" w:rsidR="00F870B3" w:rsidRPr="00C054C3" w:rsidRDefault="00F870B3" w:rsidP="006259BA">
      <w:pPr>
        <w:pStyle w:val="enumlev1"/>
      </w:pPr>
      <w:r w:rsidRPr="00C054C3">
        <w:t>–</w:t>
      </w:r>
      <w:r w:rsidRPr="00C054C3">
        <w:tab/>
        <w:t>wanted signal characteristics (% time and location availability);</w:t>
      </w:r>
    </w:p>
    <w:p w14:paraId="12A05602" w14:textId="77777777" w:rsidR="00F870B3" w:rsidRPr="00C054C3" w:rsidRDefault="00F870B3" w:rsidP="006259BA">
      <w:pPr>
        <w:pStyle w:val="enumlev1"/>
      </w:pPr>
      <w:r w:rsidRPr="00C054C3">
        <w:t>–</w:t>
      </w:r>
      <w:r w:rsidRPr="00C054C3">
        <w:tab/>
        <w:t>DVB-T and ATSC protection ratios for continuous and tropospheric interference; and</w:t>
      </w:r>
    </w:p>
    <w:p w14:paraId="2C105223" w14:textId="77777777" w:rsidR="00F870B3" w:rsidRPr="00C054C3" w:rsidRDefault="00F870B3" w:rsidP="006259BA">
      <w:pPr>
        <w:pStyle w:val="enumlev1"/>
      </w:pPr>
      <w:r w:rsidRPr="00C054C3">
        <w:t>–</w:t>
      </w:r>
      <w:r w:rsidRPr="00C054C3">
        <w:tab/>
        <w:t>other parameter values of importance within certain geographic areas.</w:t>
      </w:r>
    </w:p>
    <w:p w14:paraId="092BC02A" w14:textId="77777777" w:rsidR="00F870B3" w:rsidRPr="00C054C3" w:rsidRDefault="00F870B3" w:rsidP="006259BA">
      <w:pPr>
        <w:rPr>
          <w:rFonts w:cs="Segoe UI"/>
          <w:color w:val="000000"/>
        </w:rPr>
      </w:pPr>
      <w:r w:rsidRPr="00C054C3">
        <w:t xml:space="preserve">Recommendation </w:t>
      </w:r>
      <w:hyperlink r:id="rId19" w:history="1">
        <w:r w:rsidRPr="00C054C3">
          <w:rPr>
            <w:rStyle w:val="Hyperlink"/>
            <w:color w:val="auto"/>
            <w:u w:val="none"/>
          </w:rPr>
          <w:t>ITU-R BT.1306</w:t>
        </w:r>
      </w:hyperlink>
      <w:r w:rsidRPr="00C054C3">
        <w:rPr>
          <w:rStyle w:val="Hyperlink"/>
          <w:color w:val="auto"/>
          <w:u w:val="none"/>
        </w:rPr>
        <w:t xml:space="preserve"> </w:t>
      </w:r>
      <w:r w:rsidRPr="00C054C3">
        <w:t xml:space="preserve">provides parameters which allow for different levels of modulation and different code rates to be used to trade bit rate versus ruggedness. For countries within Region 1, as some variants can be selected as representative of the much larger set of all variants, it is necessary to select such a sub-set suitable for GE06. </w:t>
      </w:r>
    </w:p>
    <w:p w14:paraId="6E77CE9E" w14:textId="77777777" w:rsidR="00F870B3" w:rsidRPr="00C054C3" w:rsidRDefault="00F870B3" w:rsidP="006259BA">
      <w:pPr>
        <w:rPr>
          <w:rFonts w:cs="Segoe UI"/>
          <w:bCs/>
          <w:color w:val="000000"/>
        </w:rPr>
      </w:pPr>
      <w:r w:rsidRPr="00C054C3">
        <w:rPr>
          <w:rFonts w:cs="Segoe UI"/>
        </w:rPr>
        <w:t xml:space="preserve">Report </w:t>
      </w:r>
      <w:hyperlink r:id="rId20" w:history="1">
        <w:r w:rsidRPr="00C054C3">
          <w:rPr>
            <w:rStyle w:val="Hyperlink"/>
            <w:rFonts w:cs="Segoe UI"/>
            <w:color w:val="auto"/>
            <w:u w:val="none"/>
          </w:rPr>
          <w:t>ITU-R BT.2140</w:t>
        </w:r>
      </w:hyperlink>
      <w:r w:rsidRPr="00C054C3">
        <w:rPr>
          <w:rFonts w:cs="Segoe UI"/>
          <w:color w:val="000000"/>
        </w:rPr>
        <w:t xml:space="preserve"> – </w:t>
      </w:r>
      <w:r w:rsidRPr="00C054C3">
        <w:rPr>
          <w:iCs/>
        </w:rPr>
        <w:t>Transition from analogue to digital terrestrial broadcasting</w:t>
      </w:r>
      <w:r w:rsidRPr="00C054C3">
        <w:rPr>
          <w:rFonts w:cs="Segoe UI"/>
          <w:color w:val="000000"/>
        </w:rPr>
        <w:t xml:space="preserve">, provides advice on deployment scenarios of digital television broadcasting </w:t>
      </w:r>
      <w:r w:rsidRPr="00C054C3">
        <w:t xml:space="preserve">in use throughout the world. </w:t>
      </w:r>
      <w:r w:rsidRPr="00C054C3">
        <w:rPr>
          <w:rFonts w:cs="Segoe UI"/>
          <w:bCs/>
          <w:color w:val="000000"/>
        </w:rPr>
        <w:t>Report ITU</w:t>
      </w:r>
      <w:r w:rsidRPr="00C054C3">
        <w:rPr>
          <w:rFonts w:cs="Segoe UI"/>
          <w:bCs/>
          <w:color w:val="000000"/>
        </w:rPr>
        <w:noBreakHyphen/>
        <w:t>R BT.2140-9 (07/2015) specifically for DVB-T provides deployment scenarios in Australia, Bulgaria, Germany, Guinea, Italy, Kenya, Russian Federation and Rwanda. Report ITU</w:t>
      </w:r>
      <w:r w:rsidRPr="00C054C3">
        <w:rPr>
          <w:rFonts w:cs="Segoe UI"/>
          <w:bCs/>
          <w:color w:val="000000"/>
        </w:rPr>
        <w:noBreakHyphen/>
      </w:r>
      <w:r w:rsidRPr="00C054C3">
        <w:rPr>
          <w:rFonts w:cs="Segoe UI"/>
          <w:bCs/>
        </w:rPr>
        <w:t xml:space="preserve">R </w:t>
      </w:r>
      <w:hyperlink r:id="rId21" w:history="1">
        <w:r w:rsidRPr="00C054C3">
          <w:rPr>
            <w:rStyle w:val="Hyperlink"/>
            <w:rFonts w:cs="Segoe UI"/>
            <w:bCs/>
            <w:color w:val="auto"/>
            <w:u w:val="none"/>
          </w:rPr>
          <w:t>BT.2140-12</w:t>
        </w:r>
      </w:hyperlink>
      <w:r w:rsidRPr="00C054C3">
        <w:rPr>
          <w:rFonts w:cs="Segoe UI"/>
          <w:bCs/>
          <w:color w:val="000000"/>
        </w:rPr>
        <w:t xml:space="preserve"> describes ATSC deployment scenarios for Canada, Mexico, the United States and the Republic of Korea.</w:t>
      </w:r>
    </w:p>
    <w:p w14:paraId="053E688E" w14:textId="77777777" w:rsidR="00F870B3" w:rsidRPr="00C054C3" w:rsidRDefault="00F870B3" w:rsidP="006259BA">
      <w:pPr>
        <w:rPr>
          <w:rFonts w:cs="Segoe UI"/>
          <w:bCs/>
          <w:color w:val="000000"/>
        </w:rPr>
      </w:pPr>
      <w:r w:rsidRPr="00C054C3">
        <w:rPr>
          <w:rFonts w:cs="Segoe UI"/>
          <w:bCs/>
          <w:color w:val="000000"/>
        </w:rPr>
        <w:t>In some countries, the recent DVB-T planning was based upon requirements also for DVB-T2.</w:t>
      </w:r>
    </w:p>
    <w:p w14:paraId="463DCB74" w14:textId="77777777" w:rsidR="00F870B3" w:rsidRPr="00C054C3" w:rsidRDefault="00F870B3" w:rsidP="006259BA">
      <w:pPr>
        <w:rPr>
          <w:szCs w:val="22"/>
        </w:rPr>
      </w:pPr>
      <w:r w:rsidRPr="00C054C3">
        <w:rPr>
          <w:szCs w:val="22"/>
        </w:rPr>
        <w:t>DVB-T has been deployed in VHF Band III (174-230 MHz) and UHF Bands IV/V (470-862 MHz). Where Band III has been considered for DVB-T in some countries, Band III propagation is particularly suitable for portable and mobile reception, because of the uniform field strength distribution that can be achieved in that band, together with the possibility of achieving large area coverage with lower power than would be needed using UHF frequencies.</w:t>
      </w:r>
    </w:p>
    <w:p w14:paraId="4BB30000" w14:textId="77777777" w:rsidR="00F870B3" w:rsidRPr="00C054C3" w:rsidRDefault="00F870B3" w:rsidP="006259BA">
      <w:pPr>
        <w:rPr>
          <w:szCs w:val="22"/>
        </w:rPr>
      </w:pPr>
      <w:r w:rsidRPr="00C054C3">
        <w:rPr>
          <w:iCs/>
        </w:rPr>
        <w:t xml:space="preserve">The objective of identifying </w:t>
      </w:r>
      <w:r w:rsidRPr="00C054C3">
        <w:t>parameters for the 1</w:t>
      </w:r>
      <w:r w:rsidRPr="007D35B3">
        <w:rPr>
          <w:vertAlign w:val="superscript"/>
        </w:rPr>
        <w:t>st</w:t>
      </w:r>
      <w:r w:rsidRPr="00C054C3">
        <w:t xml:space="preserve"> generation digital television broadcasting system is to ensure the coverage of the 2</w:t>
      </w:r>
      <w:r w:rsidRPr="007D35B3">
        <w:rPr>
          <w:vertAlign w:val="superscript"/>
        </w:rPr>
        <w:t>nd</w:t>
      </w:r>
      <w:r w:rsidRPr="00C054C3">
        <w:t xml:space="preserve"> generation </w:t>
      </w:r>
      <w:r w:rsidRPr="00C054C3">
        <w:rPr>
          <w:rFonts w:cs="Segoe UI"/>
          <w:color w:val="000000"/>
        </w:rPr>
        <w:t xml:space="preserve">digital television broadcasting service reliably meets the coverage boundary of the existing </w:t>
      </w:r>
      <w:r w:rsidRPr="00C054C3">
        <w:t>1</w:t>
      </w:r>
      <w:r w:rsidRPr="007D35B3">
        <w:rPr>
          <w:vertAlign w:val="superscript"/>
        </w:rPr>
        <w:t>st</w:t>
      </w:r>
      <w:r w:rsidRPr="00C054C3">
        <w:t xml:space="preserve"> generation digital television broadcasting </w:t>
      </w:r>
      <w:r w:rsidRPr="00C054C3">
        <w:rPr>
          <w:rFonts w:cs="Segoe UI"/>
          <w:color w:val="000000"/>
        </w:rPr>
        <w:t>service which may have been established previously</w:t>
      </w:r>
      <w:r w:rsidRPr="00C054C3">
        <w:t>.</w:t>
      </w:r>
    </w:p>
    <w:p w14:paraId="2D13D831" w14:textId="77777777" w:rsidR="00F870B3" w:rsidRPr="00C054C3" w:rsidRDefault="00F870B3" w:rsidP="00F870B3">
      <w:pPr>
        <w:pStyle w:val="Headingb"/>
      </w:pPr>
      <w:r w:rsidRPr="00C054C3">
        <w:t>c)</w:t>
      </w:r>
      <w:r w:rsidRPr="00C054C3">
        <w:tab/>
        <w:t>Single frequency networks</w:t>
      </w:r>
    </w:p>
    <w:p w14:paraId="6D59A19F" w14:textId="77777777" w:rsidR="00F870B3" w:rsidRPr="00C054C3" w:rsidRDefault="00F870B3" w:rsidP="00F870B3">
      <w:r w:rsidRPr="00C054C3">
        <w:t>Digital broadcasting techniques, that have been massively developed during the last 15 years, allowing the use of single frequency networks (SFN), in which the same frequency is assigned to all transmitters in a given service area in order to broadcast the same programme(s).</w:t>
      </w:r>
    </w:p>
    <w:p w14:paraId="229A3817" w14:textId="77777777" w:rsidR="00F870B3" w:rsidRPr="00C054C3" w:rsidRDefault="00F870B3" w:rsidP="00F870B3">
      <w:r w:rsidRPr="00C054C3">
        <w:t xml:space="preserve">Although the implementation of SFNs permits a use of the spectrum in a more efficient way, SFNs are not the panacea for the resolution of the increasing spectrum demand. </w:t>
      </w:r>
    </w:p>
    <w:p w14:paraId="1166906B" w14:textId="77777777" w:rsidR="00F870B3" w:rsidRPr="00C054C3" w:rsidRDefault="00F870B3" w:rsidP="00F870B3">
      <w:r w:rsidRPr="00C054C3">
        <w:t xml:space="preserve">Report </w:t>
      </w:r>
      <w:hyperlink r:id="rId22" w:history="1">
        <w:r w:rsidRPr="00C054C3">
          <w:rPr>
            <w:rStyle w:val="Hyperlink"/>
            <w:rFonts w:cs="Segoe UI"/>
            <w:color w:val="auto"/>
            <w:u w:val="none"/>
          </w:rPr>
          <w:t>ITU-R BT.2386</w:t>
        </w:r>
      </w:hyperlink>
      <w:r w:rsidRPr="00C054C3">
        <w:rPr>
          <w:rFonts w:cs="Segoe UI"/>
        </w:rPr>
        <w:t xml:space="preserve"> – Digital terrestrial broadcasting: Design and implementation of single frequency networks (SFN),</w:t>
      </w:r>
      <w:r w:rsidRPr="00C054C3">
        <w:rPr>
          <w:rFonts w:cs="Segoe UI"/>
          <w:color w:val="000000"/>
        </w:rPr>
        <w:t xml:space="preserve"> provides analysis of</w:t>
      </w:r>
      <w:r w:rsidRPr="00C054C3">
        <w:t xml:space="preserve"> benefits and drawbacks of SFNs. Many practical examples are described with the aim to share experiences and to give guidance in design and implementation to those have the intention to start the deployment of this kind of network.</w:t>
      </w:r>
    </w:p>
    <w:p w14:paraId="26BF05FB" w14:textId="77777777" w:rsidR="00F870B3" w:rsidRPr="00C054C3" w:rsidRDefault="00F870B3" w:rsidP="00F870B3">
      <w:pPr>
        <w:rPr>
          <w:rFonts w:cs="Segoe UI"/>
          <w:color w:val="000000"/>
        </w:rPr>
      </w:pPr>
      <w:r w:rsidRPr="00C054C3">
        <w:t>Various DVB-T2 modes allow for a SFN Guard Interval not less than 256 µs (76.75 km) and are considered in the simulations, excluding some tuneable features which affect the system robustness.</w:t>
      </w:r>
    </w:p>
    <w:p w14:paraId="09552F00" w14:textId="77777777" w:rsidR="00F870B3" w:rsidRPr="00C054C3" w:rsidRDefault="00F870B3" w:rsidP="00F870B3">
      <w:pPr>
        <w:pStyle w:val="Headingb"/>
      </w:pPr>
      <w:r w:rsidRPr="00C054C3">
        <w:lastRenderedPageBreak/>
        <w:t>d)</w:t>
      </w:r>
      <w:r w:rsidRPr="00C054C3">
        <w:tab/>
        <w:t>Coverage prediction methods for DTTB</w:t>
      </w:r>
    </w:p>
    <w:p w14:paraId="23F8CB0C" w14:textId="77777777" w:rsidR="00F870B3" w:rsidRPr="00C054C3" w:rsidRDefault="00F870B3" w:rsidP="00F870B3">
      <w:pPr>
        <w:overflowPunct/>
        <w:textAlignment w:val="auto"/>
        <w:rPr>
          <w:szCs w:val="24"/>
          <w:lang w:eastAsia="zh-CN"/>
        </w:rPr>
      </w:pPr>
      <w:r w:rsidRPr="00C054C3">
        <w:rPr>
          <w:szCs w:val="24"/>
          <w:lang w:eastAsia="zh-CN"/>
        </w:rPr>
        <w:t>The implementation of DTTB services in parallel with existing analogue services in several countries has created the need to refine some of the traditional computer-based frequency planning techniques to enable a greater degree of accuracy in coverage predictions.</w:t>
      </w:r>
    </w:p>
    <w:p w14:paraId="1A92601B" w14:textId="77777777" w:rsidR="00F870B3" w:rsidRPr="00C054C3" w:rsidRDefault="00F870B3" w:rsidP="00F870B3">
      <w:pPr>
        <w:overflowPunct/>
        <w:textAlignment w:val="auto"/>
        <w:rPr>
          <w:szCs w:val="24"/>
          <w:lang w:eastAsia="zh-CN"/>
        </w:rPr>
      </w:pPr>
      <w:r w:rsidRPr="00C054C3">
        <w:rPr>
          <w:szCs w:val="24"/>
          <w:lang w:eastAsia="zh-CN"/>
        </w:rPr>
        <w:t>Whereas analogue systems fail rather gracefully, the ‘cliff-edge’ failure characteristics of digital systems can mean that in some situations ‘holes’ in DTTB coverage will result from the various factors that affect signal coverage. These include, but may not be restricted to, propagation characteristics of the bands used for DTTB transmissions, limits imposed on DTTB transmission power in order to protect the existing analogue services, terrain obstruction and man-made clutter.</w:t>
      </w:r>
    </w:p>
    <w:p w14:paraId="7C7DAFFD" w14:textId="77777777" w:rsidR="00F870B3" w:rsidRPr="00C054C3" w:rsidRDefault="00F870B3" w:rsidP="00F870B3">
      <w:pPr>
        <w:overflowPunct/>
        <w:textAlignment w:val="auto"/>
        <w:rPr>
          <w:szCs w:val="24"/>
          <w:lang w:eastAsia="zh-CN"/>
        </w:rPr>
      </w:pPr>
      <w:r w:rsidRPr="00C054C3">
        <w:rPr>
          <w:szCs w:val="24"/>
          <w:lang w:eastAsia="zh-CN"/>
        </w:rPr>
        <w:t>Clearly the identification of geographic areas where such holes might be expected is important for coverage planning as well as for the receiver retail trade, where clear advice to potential viewers is essential.</w:t>
      </w:r>
    </w:p>
    <w:p w14:paraId="7CD58859" w14:textId="77777777" w:rsidR="00F870B3" w:rsidRPr="00C054C3" w:rsidRDefault="00F870B3" w:rsidP="00F870B3">
      <w:pPr>
        <w:overflowPunct/>
        <w:textAlignment w:val="auto"/>
        <w:rPr>
          <w:rFonts w:cs="Segoe UI"/>
          <w:bCs/>
          <w:color w:val="000000"/>
        </w:rPr>
      </w:pPr>
      <w:r w:rsidRPr="00C054C3">
        <w:rPr>
          <w:szCs w:val="24"/>
          <w:lang w:eastAsia="zh-CN"/>
        </w:rPr>
        <w:t>It is for these reasons that improved coverage prediction methods have been introduced in a number of countries with considerable success, and that it is considered important that the new methods being developed are studied and documented by ITU with a view to achieving an appropriate degree of standardization worldwide.</w:t>
      </w:r>
    </w:p>
    <w:p w14:paraId="26DCBFE3" w14:textId="77777777" w:rsidR="00F870B3" w:rsidRPr="00C054C3" w:rsidRDefault="00F870B3" w:rsidP="00F870B3">
      <w:r w:rsidRPr="00C054C3">
        <w:t xml:space="preserve">Recommendation </w:t>
      </w:r>
      <w:hyperlink r:id="rId23" w:history="1">
        <w:r w:rsidRPr="00C054C3">
          <w:rPr>
            <w:rStyle w:val="Hyperlink"/>
            <w:color w:val="auto"/>
            <w:u w:val="none"/>
          </w:rPr>
          <w:t>ITU-R P.1546</w:t>
        </w:r>
      </w:hyperlink>
      <w:r w:rsidRPr="00C054C3">
        <w:t xml:space="preserve"> – Method for point-to-area predictions for terrestrial services in the frequency range 30 MHz to 3 000 MHz, has been widely used by administrations for field strength prediction methods and clutter height for field evaluation of DVB-T and ATSC.</w:t>
      </w:r>
    </w:p>
    <w:p w14:paraId="7DBA1D2F" w14:textId="5484BF74" w:rsidR="00F870B3" w:rsidRPr="007D35B3" w:rsidRDefault="00F870B3" w:rsidP="00F870B3">
      <w:pPr>
        <w:rPr>
          <w:rFonts w:cs="Segoe UI"/>
        </w:rPr>
      </w:pPr>
      <w:r w:rsidRPr="007D35B3">
        <w:t xml:space="preserve">Recommendation </w:t>
      </w:r>
      <w:hyperlink r:id="rId24" w:history="1">
        <w:r w:rsidRPr="007D35B3">
          <w:rPr>
            <w:rStyle w:val="Hyperlink"/>
            <w:color w:val="auto"/>
            <w:u w:val="none"/>
          </w:rPr>
          <w:t>ITU-R SM.1682-1</w:t>
        </w:r>
      </w:hyperlink>
      <w:r w:rsidRPr="007D35B3">
        <w:t xml:space="preserve"> (09/2011) – Methods for measurements on digital broadcasting signals, specifies parameters and methods for measurements on digital broadcasting signals coverage evaluation.</w:t>
      </w:r>
    </w:p>
    <w:p w14:paraId="67FE9D57" w14:textId="77777777" w:rsidR="00F870B3" w:rsidRPr="00C054C3" w:rsidRDefault="00F870B3" w:rsidP="00F870B3">
      <w:pPr>
        <w:rPr>
          <w:rFonts w:cs="Segoe UI"/>
          <w:color w:val="000000"/>
        </w:rPr>
      </w:pPr>
      <w:r w:rsidRPr="007D35B3">
        <w:rPr>
          <w:rFonts w:cs="Segoe UI"/>
          <w:bCs/>
        </w:rPr>
        <w:t xml:space="preserve">Report </w:t>
      </w:r>
      <w:hyperlink r:id="rId25" w:history="1">
        <w:r w:rsidRPr="007D35B3">
          <w:rPr>
            <w:rStyle w:val="Hyperlink"/>
            <w:rFonts w:cs="Segoe UI"/>
            <w:bCs/>
            <w:color w:val="auto"/>
            <w:u w:val="none"/>
          </w:rPr>
          <w:t>ITU-R BT.2137-0</w:t>
        </w:r>
      </w:hyperlink>
      <w:r w:rsidRPr="007D35B3">
        <w:rPr>
          <w:rFonts w:cs="Segoe UI"/>
          <w:bCs/>
        </w:rPr>
        <w:t xml:space="preserve"> </w:t>
      </w:r>
      <w:r w:rsidRPr="007D35B3">
        <w:rPr>
          <w:rFonts w:cs="Segoe UI"/>
          <w:bCs/>
          <w:color w:val="000000"/>
        </w:rPr>
        <w:t xml:space="preserve">(11/2008) </w:t>
      </w:r>
      <w:r w:rsidRPr="007D35B3">
        <w:t>–</w:t>
      </w:r>
      <w:r w:rsidRPr="007D35B3">
        <w:rPr>
          <w:rFonts w:cs="Segoe UI"/>
          <w:bCs/>
          <w:color w:val="000000"/>
        </w:rPr>
        <w:t xml:space="preserve"> Coverage prediction methods and planning software for digital</w:t>
      </w:r>
      <w:r w:rsidRPr="00C054C3">
        <w:rPr>
          <w:rFonts w:cs="Segoe UI"/>
          <w:bCs/>
          <w:color w:val="000000"/>
        </w:rPr>
        <w:t xml:space="preserve"> terrestrial television broadcasting (DTTB) networks, </w:t>
      </w:r>
      <w:r w:rsidRPr="00C054C3">
        <w:rPr>
          <w:szCs w:val="24"/>
          <w:lang w:eastAsia="zh-CN"/>
        </w:rPr>
        <w:t>provides a brief outline of the results of comparisons between predicted and measured signal levels as reported by some administrations. These results show wide divergences between predicted and measured signal levels in terms of both mean error and standard deviation of errors. While these variations may have been acceptable in analogue television planning, the rapid failure of digital television signals means that a much closer match of predictions with measurements is required. An approach is discussed for predicting received field strength with particular discussion of profile extraction, radial prediction and the use of clutter data to take into account the effect of terrain, buildings and trees. Transmitter and population databases are also discussed.</w:t>
      </w:r>
    </w:p>
    <w:p w14:paraId="2DE709D1" w14:textId="5AF89E9E" w:rsidR="00F870B3" w:rsidRPr="00C054C3" w:rsidRDefault="00F870B3" w:rsidP="00F870B3">
      <w:r w:rsidRPr="00C054C3">
        <w:rPr>
          <w:rFonts w:cs="Segoe UI"/>
          <w:bCs/>
          <w:color w:val="000000"/>
        </w:rPr>
        <w:t xml:space="preserve">Report </w:t>
      </w:r>
      <w:hyperlink r:id="rId26" w:history="1">
        <w:r w:rsidRPr="00C054C3">
          <w:rPr>
            <w:rStyle w:val="Hyperlink"/>
            <w:rFonts w:cs="Segoe UI"/>
            <w:bCs/>
            <w:color w:val="auto"/>
            <w:u w:val="none"/>
          </w:rPr>
          <w:t>ITU-R BT.2143-2</w:t>
        </w:r>
      </w:hyperlink>
      <w:r w:rsidRPr="00C054C3">
        <w:rPr>
          <w:rStyle w:val="Hyperlink"/>
          <w:rFonts w:cs="Segoe UI"/>
          <w:bCs/>
          <w:color w:val="auto"/>
          <w:u w:val="none"/>
        </w:rPr>
        <w:t xml:space="preserve"> </w:t>
      </w:r>
      <w:r w:rsidRPr="00C054C3">
        <w:t>–</w:t>
      </w:r>
      <w:r w:rsidRPr="00C054C3">
        <w:rPr>
          <w:rFonts w:cs="Segoe UI"/>
          <w:bCs/>
        </w:rPr>
        <w:t xml:space="preserve"> </w:t>
      </w:r>
      <w:r w:rsidRPr="00C054C3">
        <w:rPr>
          <w:rFonts w:cs="Segoe UI"/>
          <w:bCs/>
          <w:color w:val="000000"/>
        </w:rPr>
        <w:t>Boundary coverage assessment of digital terrestrial television broadcasting signals,</w:t>
      </w:r>
      <w:r w:rsidRPr="00C054C3">
        <w:rPr>
          <w:rFonts w:cs="Segoe UI"/>
          <w:color w:val="000000"/>
        </w:rPr>
        <w:t xml:space="preserve"> provides guidance on methods for </w:t>
      </w:r>
      <w:r w:rsidRPr="00C054C3">
        <w:t xml:space="preserve">boundary coverage assessment of digital terrestrial television broadcasting signals based upon characteristics of the DTTB systems parameters and the reception conditions at the coverage area boundary. </w:t>
      </w:r>
    </w:p>
    <w:p w14:paraId="13707065" w14:textId="37FAE32B" w:rsidR="00F870B3" w:rsidRPr="00C054C3" w:rsidRDefault="00F870B3" w:rsidP="00F870B3">
      <w:pPr>
        <w:rPr>
          <w:rFonts w:cs="Segoe UI"/>
          <w:color w:val="000000"/>
        </w:rPr>
      </w:pPr>
      <w:r w:rsidRPr="00C054C3">
        <w:rPr>
          <w:iCs/>
        </w:rPr>
        <w:t xml:space="preserve">The objective of identifying </w:t>
      </w:r>
      <w:r w:rsidRPr="00C054C3">
        <w:t xml:space="preserve">parameters for the </w:t>
      </w:r>
      <w:r w:rsidRPr="00C054C3">
        <w:rPr>
          <w:rFonts w:cs="Segoe UI"/>
          <w:color w:val="000000"/>
        </w:rPr>
        <w:t>coverage prediction methods for DTTB</w:t>
      </w:r>
      <w:r w:rsidRPr="00C054C3">
        <w:rPr>
          <w:szCs w:val="22"/>
        </w:rPr>
        <w:t xml:space="preserve"> </w:t>
      </w:r>
      <w:r w:rsidRPr="00C054C3">
        <w:t xml:space="preserve">is </w:t>
      </w:r>
      <w:r w:rsidRPr="00C054C3">
        <w:rPr>
          <w:szCs w:val="24"/>
        </w:rPr>
        <w:t xml:space="preserve">to recognize that coverage prediction methods </w:t>
      </w:r>
      <w:r w:rsidRPr="00C054C3">
        <w:rPr>
          <w:color w:val="000000"/>
          <w:szCs w:val="24"/>
          <w:shd w:val="clear" w:color="auto" w:fill="FFFFFF"/>
        </w:rPr>
        <w:t>for point-to-area predictions for</w:t>
      </w:r>
      <w:r w:rsidRPr="00C054C3">
        <w:rPr>
          <w:szCs w:val="24"/>
        </w:rPr>
        <w:t xml:space="preserve"> terrestrial television broadcasting have been improved over time to take account of path loss due to both signal enhancements and fading </w:t>
      </w:r>
      <w:r w:rsidRPr="00C054C3">
        <w:rPr>
          <w:color w:val="000000"/>
          <w:szCs w:val="24"/>
          <w:shd w:val="clear" w:color="auto" w:fill="FFFFFF"/>
        </w:rPr>
        <w:t>in the frequency range 30 MHz to 3</w:t>
      </w:r>
      <w:r w:rsidR="00AD5E92" w:rsidRPr="00C054C3">
        <w:rPr>
          <w:color w:val="000000"/>
          <w:szCs w:val="24"/>
          <w:shd w:val="clear" w:color="auto" w:fill="FFFFFF"/>
        </w:rPr>
        <w:t> </w:t>
      </w:r>
      <w:r w:rsidRPr="00C054C3">
        <w:rPr>
          <w:color w:val="000000"/>
          <w:szCs w:val="24"/>
          <w:shd w:val="clear" w:color="auto" w:fill="FFFFFF"/>
        </w:rPr>
        <w:t>000 MHz. What may have been applied for analogue and 1</w:t>
      </w:r>
      <w:r w:rsidR="004815BC" w:rsidRPr="007D35B3">
        <w:rPr>
          <w:color w:val="000000"/>
          <w:szCs w:val="24"/>
          <w:shd w:val="clear" w:color="auto" w:fill="FFFFFF"/>
          <w:vertAlign w:val="superscript"/>
        </w:rPr>
        <w:t>st</w:t>
      </w:r>
      <w:r w:rsidR="004815BC" w:rsidRPr="00C054C3">
        <w:rPr>
          <w:color w:val="000000"/>
          <w:szCs w:val="24"/>
          <w:shd w:val="clear" w:color="auto" w:fill="FFFFFF"/>
        </w:rPr>
        <w:t> </w:t>
      </w:r>
      <w:r w:rsidRPr="00C054C3">
        <w:rPr>
          <w:color w:val="000000"/>
          <w:szCs w:val="24"/>
          <w:shd w:val="clear" w:color="auto" w:fill="FFFFFF"/>
        </w:rPr>
        <w:t xml:space="preserve">generation </w:t>
      </w:r>
      <w:r w:rsidRPr="00C054C3">
        <w:rPr>
          <w:szCs w:val="24"/>
        </w:rPr>
        <w:t>terrestrial television broadcasting services have been surpassed by those now available for 2</w:t>
      </w:r>
      <w:r w:rsidRPr="007D35B3">
        <w:rPr>
          <w:szCs w:val="24"/>
          <w:vertAlign w:val="superscript"/>
        </w:rPr>
        <w:t>nd</w:t>
      </w:r>
      <w:r w:rsidRPr="00C054C3">
        <w:rPr>
          <w:szCs w:val="24"/>
        </w:rPr>
        <w:t xml:space="preserve"> generation terrestrial television broadcasting</w:t>
      </w:r>
      <w:r w:rsidRPr="00C054C3">
        <w:t xml:space="preserve">. This should be considered when comparing coverage characteristics between the implementations of </w:t>
      </w:r>
      <w:r w:rsidRPr="00C054C3">
        <w:rPr>
          <w:szCs w:val="24"/>
        </w:rPr>
        <w:t>terrestrial television broadcasting</w:t>
      </w:r>
      <w:r w:rsidRPr="00C054C3">
        <w:t>.</w:t>
      </w:r>
    </w:p>
    <w:p w14:paraId="5B948185" w14:textId="77777777" w:rsidR="00F870B3" w:rsidRPr="00C054C3" w:rsidRDefault="00F870B3" w:rsidP="00F870B3">
      <w:pPr>
        <w:pStyle w:val="Heading1"/>
      </w:pPr>
      <w:bookmarkStart w:id="22" w:name="_Toc14365394"/>
      <w:bookmarkStart w:id="23" w:name="_Toc185573777"/>
      <w:r w:rsidRPr="00C054C3">
        <w:lastRenderedPageBreak/>
        <w:t>4</w:t>
      </w:r>
      <w:r w:rsidRPr="00C054C3">
        <w:tab/>
        <w:t>Selection of reception mode for 2</w:t>
      </w:r>
      <w:r w:rsidRPr="007D35B3">
        <w:rPr>
          <w:vertAlign w:val="superscript"/>
        </w:rPr>
        <w:t>nd</w:t>
      </w:r>
      <w:r w:rsidRPr="00C054C3">
        <w:t xml:space="preserve"> generation digital television broadcasting – fixed, portable, mobile</w:t>
      </w:r>
      <w:bookmarkEnd w:id="22"/>
      <w:bookmarkEnd w:id="23"/>
    </w:p>
    <w:p w14:paraId="6B39B94F" w14:textId="77777777" w:rsidR="00F870B3" w:rsidRPr="00C054C3" w:rsidRDefault="00F870B3" w:rsidP="00F870B3">
      <w:pPr>
        <w:pStyle w:val="Heading2"/>
        <w:rPr>
          <w:lang w:eastAsia="en-AU"/>
        </w:rPr>
      </w:pPr>
      <w:bookmarkStart w:id="24" w:name="_Toc26360804"/>
      <w:bookmarkStart w:id="25" w:name="_Toc185573778"/>
      <w:r w:rsidRPr="00C054C3">
        <w:rPr>
          <w:lang w:eastAsia="en-AU"/>
        </w:rPr>
        <w:t>4.1</w:t>
      </w:r>
      <w:r w:rsidRPr="00C054C3">
        <w:rPr>
          <w:lang w:eastAsia="en-AU"/>
        </w:rPr>
        <w:tab/>
        <w:t>Reception modes for DVB-T2</w:t>
      </w:r>
      <w:bookmarkEnd w:id="24"/>
      <w:bookmarkEnd w:id="25"/>
    </w:p>
    <w:p w14:paraId="2086FE6B" w14:textId="3545728A" w:rsidR="00F870B3" w:rsidRPr="00C054C3" w:rsidRDefault="00F870B3" w:rsidP="00D84EA1">
      <w:pPr>
        <w:rPr>
          <w:lang w:eastAsia="en-AU"/>
        </w:rPr>
      </w:pPr>
      <w:r w:rsidRPr="00C054C3">
        <w:rPr>
          <w:lang w:eastAsia="en-AU"/>
        </w:rPr>
        <w:t>DVB-T2 is a 2</w:t>
      </w:r>
      <w:r w:rsidRPr="007D35B3">
        <w:rPr>
          <w:vertAlign w:val="superscript"/>
          <w:lang w:eastAsia="en-AU"/>
        </w:rPr>
        <w:t>nd</w:t>
      </w:r>
      <w:r w:rsidRPr="00C054C3">
        <w:rPr>
          <w:lang w:eastAsia="en-AU"/>
        </w:rPr>
        <w:t xml:space="preserve"> generation terrestrial broadcast transmission system developed by DVB project since</w:t>
      </w:r>
      <w:r w:rsidR="00D84EA1" w:rsidRPr="00C054C3">
        <w:rPr>
          <w:lang w:eastAsia="en-AU"/>
        </w:rPr>
        <w:t> </w:t>
      </w:r>
      <w:r w:rsidRPr="00C054C3">
        <w:rPr>
          <w:lang w:eastAsia="en-AU"/>
        </w:rPr>
        <w:t>2006. The main purpose was to increase capacity, ruggedness and flexibility to the DVB-T system. The first version was published by ETSI as EN 302 755 in 2009.</w:t>
      </w:r>
    </w:p>
    <w:p w14:paraId="75DB05F1" w14:textId="2B81443E" w:rsidR="00F870B3" w:rsidRPr="00C054C3" w:rsidRDefault="00F870B3" w:rsidP="00D84EA1">
      <w:pPr>
        <w:rPr>
          <w:lang w:eastAsia="en-AU"/>
        </w:rPr>
      </w:pPr>
      <w:r w:rsidRPr="00C054C3">
        <w:rPr>
          <w:rFonts w:cs="Segoe UI"/>
        </w:rPr>
        <w:t xml:space="preserve">Report </w:t>
      </w:r>
      <w:hyperlink r:id="rId27" w:history="1">
        <w:r w:rsidRPr="00C054C3">
          <w:rPr>
            <w:rStyle w:val="Hyperlink"/>
            <w:rFonts w:cs="Segoe UI"/>
            <w:color w:val="auto"/>
            <w:u w:val="none"/>
          </w:rPr>
          <w:t>ITU-R BT.2254</w:t>
        </w:r>
      </w:hyperlink>
      <w:r w:rsidRPr="00C054C3">
        <w:rPr>
          <w:lang w:eastAsia="en-AU"/>
        </w:rPr>
        <w:t xml:space="preserve"> </w:t>
      </w:r>
      <w:r w:rsidRPr="00C054C3">
        <w:t>– Frequency and network planning aspects of DVB-T2, has been developed by European Broadcasting Union members involved in planning of DVB-T2 networks. It provides guidance on frequency and network planning of DVB-T2, including reception modes in planning of</w:t>
      </w:r>
      <w:r w:rsidR="00D84EA1" w:rsidRPr="00C054C3">
        <w:t> </w:t>
      </w:r>
      <w:r w:rsidRPr="00C054C3">
        <w:t>DVB-T2 networks. It is intended to help broadcast ne</w:t>
      </w:r>
      <w:r w:rsidRPr="00C054C3">
        <w:rPr>
          <w:lang w:eastAsia="en-AU"/>
        </w:rPr>
        <w:t>twork operators in their planning and administrations in defining the most suitable set of parameters from the large possibilities offered by the DVB-T2 system.</w:t>
      </w:r>
    </w:p>
    <w:p w14:paraId="6E7FDBCB" w14:textId="77777777" w:rsidR="00F870B3" w:rsidRPr="00C054C3" w:rsidRDefault="00F870B3" w:rsidP="00D84EA1">
      <w:pPr>
        <w:rPr>
          <w:rFonts w:cs="Segoe UI"/>
          <w:color w:val="000000"/>
        </w:rPr>
      </w:pPr>
      <w:r w:rsidRPr="00C054C3">
        <w:rPr>
          <w:iCs/>
        </w:rPr>
        <w:t xml:space="preserve">The objective of </w:t>
      </w:r>
      <w:r w:rsidRPr="00C054C3">
        <w:t>selecting reception modes for 2</w:t>
      </w:r>
      <w:r w:rsidRPr="007D35B3">
        <w:rPr>
          <w:vertAlign w:val="superscript"/>
        </w:rPr>
        <w:t>nd</w:t>
      </w:r>
      <w:r w:rsidRPr="00C054C3">
        <w:t xml:space="preserve"> generation digital television broadcasting – fixed, portable, mobile</w:t>
      </w:r>
      <w:r w:rsidRPr="00C054C3">
        <w:rPr>
          <w:szCs w:val="22"/>
        </w:rPr>
        <w:t xml:space="preserve"> </w:t>
      </w:r>
      <w:r w:rsidRPr="00C054C3">
        <w:t>is to ensure the television coverage requirements for television broadcasting are met where previously television coverage may have only focused on one reception mode e.g. fixed rooftop reception.</w:t>
      </w:r>
    </w:p>
    <w:p w14:paraId="3A1FF4A8" w14:textId="77777777" w:rsidR="00F870B3" w:rsidRPr="00C054C3" w:rsidRDefault="00F870B3" w:rsidP="00F870B3">
      <w:pPr>
        <w:pStyle w:val="Heading2"/>
      </w:pPr>
      <w:bookmarkStart w:id="26" w:name="_Toc26360805"/>
      <w:bookmarkStart w:id="27" w:name="_Toc185573779"/>
      <w:bookmarkStart w:id="28" w:name="_Toc14365395"/>
      <w:r w:rsidRPr="00C054C3">
        <w:t>4.2</w:t>
      </w:r>
      <w:r w:rsidRPr="00C054C3">
        <w:tab/>
        <w:t>Reception modes for ATSC 3.0</w:t>
      </w:r>
      <w:bookmarkEnd w:id="26"/>
      <w:bookmarkEnd w:id="27"/>
    </w:p>
    <w:p w14:paraId="76F998E2" w14:textId="77777777" w:rsidR="00F870B3" w:rsidRPr="00C054C3" w:rsidRDefault="00F870B3" w:rsidP="00D84EA1">
      <w:bookmarkStart w:id="29" w:name="4.3_Test_Signals"/>
      <w:bookmarkStart w:id="30" w:name="bookmark6"/>
      <w:bookmarkStart w:id="31" w:name="4.2_ATSC_3.0_Reception_Scenarios,_Goals,"/>
      <w:bookmarkStart w:id="32" w:name="4.2.1_Fixed_Outdoor"/>
      <w:bookmarkEnd w:id="29"/>
      <w:bookmarkEnd w:id="30"/>
      <w:bookmarkEnd w:id="31"/>
      <w:bookmarkEnd w:id="32"/>
      <w:r w:rsidRPr="00C054C3">
        <w:t>ATSC 3.0 is a 2</w:t>
      </w:r>
      <w:r w:rsidRPr="007D35B3">
        <w:rPr>
          <w:vertAlign w:val="superscript"/>
        </w:rPr>
        <w:t>nd</w:t>
      </w:r>
      <w:r w:rsidRPr="00C054C3">
        <w:t xml:space="preserve"> generation terrestrial broadcast transmission system developed by ATSC since 2011. The main purpose was to provide service enhancements over the 1</w:t>
      </w:r>
      <w:r w:rsidRPr="007D35B3">
        <w:rPr>
          <w:vertAlign w:val="superscript"/>
        </w:rPr>
        <w:t>st</w:t>
      </w:r>
      <w:r w:rsidRPr="00C054C3">
        <w:t xml:space="preserve"> generation digital television broadcasting systems. The first version was published by ATSC as A/300:2017 in 2017. ATSC 3.0 should be evaluated across multiple reception modes:</w:t>
      </w:r>
    </w:p>
    <w:p w14:paraId="606B1DB8" w14:textId="4B358C08" w:rsidR="00F870B3" w:rsidRPr="00C054C3" w:rsidRDefault="00F870B3" w:rsidP="00F870B3">
      <w:pPr>
        <w:pStyle w:val="enumlev1"/>
      </w:pPr>
      <w:r w:rsidRPr="00C054C3">
        <w:t>–</w:t>
      </w:r>
      <w:r w:rsidRPr="00C054C3">
        <w:tab/>
      </w:r>
      <w:r w:rsidRPr="00C054C3">
        <w:rPr>
          <w:i/>
          <w:iCs/>
        </w:rPr>
        <w:t xml:space="preserve">Fixed outdoor </w:t>
      </w:r>
      <w:r w:rsidRPr="00C054C3">
        <w:t>reception is defined as reception by a stationary receiver and receive antenna. Typically, this includes either a roof-top mounted antenna (with or without a rotor) or a fixed</w:t>
      </w:r>
      <w:r w:rsidR="00D84EA1" w:rsidRPr="00C054C3">
        <w:noBreakHyphen/>
      </w:r>
      <w:r w:rsidRPr="00C054C3">
        <w:t>location attic antenna. Test site selection is typically chosen to be on radials, arcs, grids and clusters.</w:t>
      </w:r>
    </w:p>
    <w:p w14:paraId="0860135C" w14:textId="77777777" w:rsidR="00F870B3" w:rsidRPr="00C054C3" w:rsidRDefault="00F870B3" w:rsidP="00F870B3">
      <w:pPr>
        <w:pStyle w:val="enumlev1"/>
      </w:pPr>
      <w:bookmarkStart w:id="33" w:name="4.2.2_Fixed_Indoor"/>
      <w:bookmarkEnd w:id="33"/>
      <w:r w:rsidRPr="00C054C3">
        <w:t>–</w:t>
      </w:r>
      <w:r w:rsidRPr="00C054C3">
        <w:tab/>
      </w:r>
      <w:r w:rsidRPr="00C054C3">
        <w:rPr>
          <w:i/>
          <w:iCs/>
        </w:rPr>
        <w:t xml:space="preserve">Fixed indoor </w:t>
      </w:r>
      <w:r w:rsidRPr="00C054C3">
        <w:t>reception is defined as reception by a stationary receiver and a fixed</w:t>
      </w:r>
      <w:r w:rsidRPr="00C054C3">
        <w:noBreakHyphen/>
        <w:t>location receive antenna inside a building structure. Test site selection is always a challenge for indoor testing because it involves finding either public buildings (office building, malls, etc.) with accessible rooms available for testing or private buildings (e.g. houses, condos, apartments, etc.) with owners who are both “willing and able” to meet the challenges of indoor testing and the testing group’s schedule. An additional challenge is that indoor testing requires moving enough equipment into this location to make meaningful tests without it being logistically impractical.</w:t>
      </w:r>
    </w:p>
    <w:p w14:paraId="68D35908" w14:textId="77777777" w:rsidR="00F870B3" w:rsidRPr="00C054C3" w:rsidRDefault="00F870B3" w:rsidP="00F870B3">
      <w:pPr>
        <w:pStyle w:val="enumlev1"/>
      </w:pPr>
      <w:bookmarkStart w:id="34" w:name="4.2.3_Portable"/>
      <w:bookmarkStart w:id="35" w:name="bookmark3"/>
      <w:bookmarkEnd w:id="34"/>
      <w:bookmarkEnd w:id="35"/>
      <w:r w:rsidRPr="00C054C3">
        <w:t>–</w:t>
      </w:r>
      <w:r w:rsidRPr="00C054C3">
        <w:tab/>
        <w:t xml:space="preserve">Portable – </w:t>
      </w:r>
      <w:r w:rsidRPr="00C054C3">
        <w:rPr>
          <w:i/>
          <w:iCs/>
        </w:rPr>
        <w:t xml:space="preserve">Portable </w:t>
      </w:r>
      <w:r w:rsidRPr="00C054C3">
        <w:t xml:space="preserve">reception is defined as reception by a receiver that can be moved from place to place, that uses a </w:t>
      </w:r>
      <w:r w:rsidRPr="00C054C3">
        <w:rPr>
          <w:i/>
          <w:iCs/>
        </w:rPr>
        <w:t>self</w:t>
      </w:r>
      <w:r w:rsidRPr="00C054C3">
        <w:t>-contained receiving antenna, but that remains stationary during operation. Test sites can be either indoor or outdoor, as desired.</w:t>
      </w:r>
    </w:p>
    <w:p w14:paraId="0F0B72FB" w14:textId="1B778781" w:rsidR="00F870B3" w:rsidRPr="00C054C3" w:rsidRDefault="00F870B3" w:rsidP="00F870B3">
      <w:pPr>
        <w:pStyle w:val="enumlev1"/>
      </w:pPr>
      <w:bookmarkStart w:id="36" w:name="4.2.4_Pedestrian"/>
      <w:bookmarkStart w:id="37" w:name="bookmark4"/>
      <w:bookmarkEnd w:id="36"/>
      <w:bookmarkEnd w:id="37"/>
      <w:r w:rsidRPr="00C054C3">
        <w:t>–</w:t>
      </w:r>
      <w:r w:rsidRPr="00C054C3">
        <w:tab/>
        <w:t xml:space="preserve">Pedestrian – </w:t>
      </w:r>
      <w:r w:rsidRPr="00C054C3">
        <w:rPr>
          <w:i/>
          <w:iCs/>
        </w:rPr>
        <w:t xml:space="preserve">Pedestrian </w:t>
      </w:r>
      <w:r w:rsidRPr="00C054C3">
        <w:t>reception is defined as reception by a receiver that is moving at no more than 5 km/hour (3.1 miles/hour). Typically, this is a receiver that may be used while walking, or a hand-held receiver where occasional and frequent short movements occur. As an example, a person walking 3 km/hour (1.9 miles/hour) can create multipath RF signals at</w:t>
      </w:r>
      <w:r w:rsidR="00D84EA1" w:rsidRPr="00C054C3">
        <w:t> </w:t>
      </w:r>
      <w:r w:rsidRPr="00C054C3">
        <w:t>695 MHz with Doppler frequencies of about 2 Hz (Doppler frequencies of 0.5</w:t>
      </w:r>
      <w:r w:rsidR="00D84EA1" w:rsidRPr="00C054C3">
        <w:t> </w:t>
      </w:r>
      <w:r w:rsidRPr="00C054C3">
        <w:t>Hz at</w:t>
      </w:r>
      <w:r w:rsidR="00D84EA1" w:rsidRPr="00C054C3">
        <w:t> </w:t>
      </w:r>
      <w:r w:rsidRPr="00C054C3">
        <w:t>177 MHz). Test sites can be either indoor or outdoor, as desired.</w:t>
      </w:r>
    </w:p>
    <w:p w14:paraId="4546D050" w14:textId="77777777" w:rsidR="00F870B3" w:rsidRPr="00C054C3" w:rsidRDefault="00F870B3" w:rsidP="00D84EA1">
      <w:pPr>
        <w:pStyle w:val="enumlev1"/>
        <w:keepNext/>
        <w:keepLines/>
      </w:pPr>
      <w:bookmarkStart w:id="38" w:name="4.2.5_Mobile"/>
      <w:bookmarkStart w:id="39" w:name="bookmark5"/>
      <w:bookmarkEnd w:id="38"/>
      <w:bookmarkEnd w:id="39"/>
      <w:r w:rsidRPr="00C054C3">
        <w:lastRenderedPageBreak/>
        <w:t>–</w:t>
      </w:r>
      <w:r w:rsidRPr="00C054C3">
        <w:tab/>
        <w:t xml:space="preserve">Mobile – </w:t>
      </w:r>
      <w:r w:rsidRPr="00C054C3">
        <w:rPr>
          <w:i/>
          <w:iCs/>
        </w:rPr>
        <w:t xml:space="preserve">Mobile </w:t>
      </w:r>
      <w:r w:rsidRPr="00C054C3">
        <w:t>reception is defined as reception by a receiver that is moving at greater than 5 km/hour (3.1 mph). Typically, this is a receiver used in a vehicle moving faster than walking speed. As an example, a vehicle traveling 120 km/hour (74.4 miles/hour) can create multipath RF signals at 695 MHz with Doppler frequencies about 77 Hz. A general goal is to study and evaluate mobile system and/or hardware performance in the field in a variety of propagation environments and service (case) models.</w:t>
      </w:r>
    </w:p>
    <w:p w14:paraId="48B271B1" w14:textId="77777777" w:rsidR="00F870B3" w:rsidRPr="00C054C3" w:rsidRDefault="00F870B3" w:rsidP="00F870B3">
      <w:r w:rsidRPr="00C054C3">
        <w:t>To assist in the evaluation of ATSC 3.0, these reception modes are shown in Table 1, along with analogous terms used elsewhere in this Report that refer to Report ITU-R BT.2254.</w:t>
      </w:r>
    </w:p>
    <w:p w14:paraId="00C06AF9" w14:textId="77777777" w:rsidR="00F870B3" w:rsidRPr="00C054C3" w:rsidRDefault="00F870B3" w:rsidP="00F870B3">
      <w:pPr>
        <w:pStyle w:val="TableNo"/>
      </w:pPr>
      <w:r w:rsidRPr="00C054C3">
        <w:t>TABLE 1</w:t>
      </w:r>
    </w:p>
    <w:p w14:paraId="70D4737F" w14:textId="77777777" w:rsidR="00F870B3" w:rsidRPr="00C054C3" w:rsidRDefault="00F870B3" w:rsidP="00F870B3">
      <w:pPr>
        <w:pStyle w:val="Tabletitle"/>
      </w:pPr>
      <w:r w:rsidRPr="00C054C3">
        <w:t>Reception modes for DTTB</w:t>
      </w:r>
    </w:p>
    <w:tbl>
      <w:tblPr>
        <w:tblStyle w:val="TableGrid"/>
        <w:tblW w:w="0" w:type="auto"/>
        <w:tblLook w:val="04A0" w:firstRow="1" w:lastRow="0" w:firstColumn="1" w:lastColumn="0" w:noHBand="0" w:noVBand="1"/>
      </w:tblPr>
      <w:tblGrid>
        <w:gridCol w:w="3055"/>
        <w:gridCol w:w="6570"/>
      </w:tblGrid>
      <w:tr w:rsidR="00F870B3" w:rsidRPr="00C054C3" w14:paraId="01592B7A" w14:textId="77777777" w:rsidTr="00292862">
        <w:tc>
          <w:tcPr>
            <w:tcW w:w="3055" w:type="dxa"/>
            <w:vAlign w:val="center"/>
          </w:tcPr>
          <w:p w14:paraId="215FD350" w14:textId="77777777" w:rsidR="00F870B3" w:rsidRPr="00C054C3" w:rsidRDefault="00F870B3" w:rsidP="00D84EA1">
            <w:pPr>
              <w:pStyle w:val="Tablehead"/>
              <w:rPr>
                <w:rFonts w:ascii="Times New Roman" w:hAnsi="Times New Roman" w:cs="Times New Roman"/>
              </w:rPr>
            </w:pPr>
            <w:r w:rsidRPr="00C054C3">
              <w:rPr>
                <w:rFonts w:ascii="Times New Roman" w:hAnsi="Times New Roman" w:cs="Times New Roman"/>
              </w:rPr>
              <w:t>ATSC 3.0</w:t>
            </w:r>
          </w:p>
        </w:tc>
        <w:tc>
          <w:tcPr>
            <w:tcW w:w="6570" w:type="dxa"/>
            <w:vAlign w:val="center"/>
          </w:tcPr>
          <w:p w14:paraId="743A72F6" w14:textId="77777777" w:rsidR="00F870B3" w:rsidRPr="00C054C3" w:rsidRDefault="00F870B3" w:rsidP="00D84EA1">
            <w:pPr>
              <w:pStyle w:val="Tablehead"/>
              <w:rPr>
                <w:rFonts w:ascii="Times New Roman" w:hAnsi="Times New Roman" w:cs="Times New Roman"/>
              </w:rPr>
            </w:pPr>
            <w:r w:rsidRPr="00C054C3">
              <w:rPr>
                <w:rFonts w:ascii="Times New Roman" w:hAnsi="Times New Roman" w:cs="Times New Roman"/>
              </w:rPr>
              <w:t>Report ITU-R BT.2254</w:t>
            </w:r>
          </w:p>
        </w:tc>
      </w:tr>
      <w:tr w:rsidR="00F870B3" w:rsidRPr="00C054C3" w14:paraId="1D6240E1" w14:textId="77777777" w:rsidTr="00292862">
        <w:tc>
          <w:tcPr>
            <w:tcW w:w="3055" w:type="dxa"/>
            <w:vAlign w:val="center"/>
          </w:tcPr>
          <w:p w14:paraId="54E58E35"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Fixed outdoor reception</w:t>
            </w:r>
          </w:p>
        </w:tc>
        <w:tc>
          <w:tcPr>
            <w:tcW w:w="6570" w:type="dxa"/>
            <w:vAlign w:val="center"/>
          </w:tcPr>
          <w:p w14:paraId="058D6B83"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Fixed reception</w:t>
            </w:r>
          </w:p>
        </w:tc>
      </w:tr>
      <w:tr w:rsidR="00F870B3" w:rsidRPr="00C054C3" w14:paraId="0BC21A9C" w14:textId="77777777" w:rsidTr="00292862">
        <w:tc>
          <w:tcPr>
            <w:tcW w:w="3055" w:type="dxa"/>
            <w:vAlign w:val="center"/>
          </w:tcPr>
          <w:p w14:paraId="5D5FCBBB"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Portable reception</w:t>
            </w:r>
          </w:p>
        </w:tc>
        <w:tc>
          <w:tcPr>
            <w:tcW w:w="6570" w:type="dxa"/>
            <w:vAlign w:val="center"/>
          </w:tcPr>
          <w:p w14:paraId="3F17B686"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 xml:space="preserve">Portable outdoor reception/urban (Class A) </w:t>
            </w:r>
            <w:r w:rsidRPr="00C054C3">
              <w:rPr>
                <w:rFonts w:ascii="Times New Roman" w:hAnsi="Times New Roman" w:cs="Times New Roman"/>
              </w:rPr>
              <w:br/>
              <w:t>Portable indoor reception/urban (Class B)</w:t>
            </w:r>
          </w:p>
        </w:tc>
      </w:tr>
      <w:tr w:rsidR="00F870B3" w:rsidRPr="00C054C3" w14:paraId="24694852" w14:textId="77777777" w:rsidTr="00292862">
        <w:tc>
          <w:tcPr>
            <w:tcW w:w="3055" w:type="dxa"/>
            <w:vAlign w:val="center"/>
          </w:tcPr>
          <w:p w14:paraId="308383AD"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Pedestrian reception</w:t>
            </w:r>
          </w:p>
        </w:tc>
        <w:tc>
          <w:tcPr>
            <w:tcW w:w="6570" w:type="dxa"/>
            <w:vAlign w:val="center"/>
          </w:tcPr>
          <w:p w14:paraId="405F55BF"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Handheld portable outdoor reception (Class H-A)</w:t>
            </w:r>
          </w:p>
        </w:tc>
      </w:tr>
      <w:tr w:rsidR="00F870B3" w:rsidRPr="00C054C3" w14:paraId="5C486E6C" w14:textId="77777777" w:rsidTr="00292862">
        <w:tc>
          <w:tcPr>
            <w:tcW w:w="3055" w:type="dxa"/>
            <w:vAlign w:val="center"/>
          </w:tcPr>
          <w:p w14:paraId="760833A6"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Mobile reception</w:t>
            </w:r>
          </w:p>
        </w:tc>
        <w:tc>
          <w:tcPr>
            <w:tcW w:w="6570" w:type="dxa"/>
            <w:vAlign w:val="center"/>
          </w:tcPr>
          <w:p w14:paraId="33B25A8C" w14:textId="77777777" w:rsidR="00F870B3" w:rsidRPr="00C054C3" w:rsidRDefault="00F870B3" w:rsidP="00D84EA1">
            <w:pPr>
              <w:pStyle w:val="Tabletext"/>
              <w:jc w:val="left"/>
              <w:rPr>
                <w:rFonts w:ascii="Times New Roman" w:hAnsi="Times New Roman" w:cs="Times New Roman"/>
              </w:rPr>
            </w:pPr>
            <w:r w:rsidRPr="00C054C3">
              <w:rPr>
                <w:rFonts w:ascii="Times New Roman" w:hAnsi="Times New Roman" w:cs="Times New Roman"/>
              </w:rPr>
              <w:t>Mobile reception/rural, Handheld mobile reception (Class H-D)</w:t>
            </w:r>
          </w:p>
        </w:tc>
      </w:tr>
    </w:tbl>
    <w:p w14:paraId="61C0FC99" w14:textId="77777777" w:rsidR="00F870B3" w:rsidRPr="00C054C3" w:rsidRDefault="00F870B3" w:rsidP="00F870B3">
      <w:pPr>
        <w:pStyle w:val="Tablefin"/>
      </w:pPr>
    </w:p>
    <w:p w14:paraId="43A771D8" w14:textId="77777777" w:rsidR="00F870B3" w:rsidRPr="00C054C3" w:rsidRDefault="00F870B3" w:rsidP="00F870B3">
      <w:pPr>
        <w:pStyle w:val="Heading1"/>
      </w:pPr>
      <w:bookmarkStart w:id="40" w:name="_Toc185573780"/>
      <w:r w:rsidRPr="00C054C3">
        <w:t>5</w:t>
      </w:r>
      <w:r w:rsidRPr="00C054C3">
        <w:tab/>
        <w:t>Selection of planning parameters for 2</w:t>
      </w:r>
      <w:r w:rsidRPr="007D35B3">
        <w:rPr>
          <w:vertAlign w:val="superscript"/>
        </w:rPr>
        <w:t>nd</w:t>
      </w:r>
      <w:r w:rsidRPr="00C054C3">
        <w:t xml:space="preserve"> generation digital television broadcasting (VHF and UHF bands)</w:t>
      </w:r>
      <w:bookmarkEnd w:id="28"/>
      <w:bookmarkEnd w:id="40"/>
    </w:p>
    <w:p w14:paraId="09C73367" w14:textId="77777777" w:rsidR="00F870B3" w:rsidRPr="00C054C3" w:rsidRDefault="00F870B3" w:rsidP="00D84EA1">
      <w:r w:rsidRPr="00C054C3">
        <w:t xml:space="preserve">For many broadcasting organisations the transition from analogue to digital television required application of accurate planning parameters to ensure the public did not lose television services. </w:t>
      </w:r>
    </w:p>
    <w:p w14:paraId="3A0BB848" w14:textId="77777777" w:rsidR="00F870B3" w:rsidRPr="00C054C3" w:rsidRDefault="00F870B3" w:rsidP="00D84EA1">
      <w:r w:rsidRPr="00C054C3">
        <w:t xml:space="preserve">Recommendation </w:t>
      </w:r>
      <w:hyperlink r:id="rId28" w:history="1">
        <w:r w:rsidRPr="00C054C3">
          <w:rPr>
            <w:rStyle w:val="Hyperlink"/>
            <w:rFonts w:cs="Segoe UI"/>
            <w:color w:val="auto"/>
            <w:szCs w:val="24"/>
            <w:u w:val="none"/>
          </w:rPr>
          <w:t>ITU-R BT.2033</w:t>
        </w:r>
      </w:hyperlink>
      <w:r w:rsidRPr="00C054C3">
        <w:t xml:space="preserve"> – Planning criteria, including protection ratios, for second generation of digital terrestrial television broadcasting systems in the VHF/UHF bands, defines planning criteria, including protection ratios, for various methods of providing second generation digital terrestrial television broadcasting (DTTB) systems in the VHF/UHF bands which can be selected by</w:t>
      </w:r>
      <w:r w:rsidRPr="00C054C3">
        <w:rPr>
          <w:lang w:eastAsia="en-AU"/>
        </w:rPr>
        <w:t xml:space="preserve"> an administration</w:t>
      </w:r>
      <w:r w:rsidRPr="00C054C3">
        <w:t>.</w:t>
      </w:r>
    </w:p>
    <w:p w14:paraId="6EA96F08" w14:textId="77777777" w:rsidR="00F870B3" w:rsidRPr="00C054C3" w:rsidRDefault="00F870B3" w:rsidP="00D84EA1">
      <w:pPr>
        <w:rPr>
          <w:iCs/>
        </w:rPr>
      </w:pPr>
      <w:r w:rsidRPr="00C054C3">
        <w:rPr>
          <w:rFonts w:cs="Segoe UI"/>
        </w:rPr>
        <w:t xml:space="preserve">Report </w:t>
      </w:r>
      <w:hyperlink r:id="rId29" w:history="1">
        <w:r w:rsidRPr="00C054C3">
          <w:rPr>
            <w:rStyle w:val="Hyperlink"/>
            <w:rFonts w:cs="Segoe UI"/>
            <w:color w:val="auto"/>
            <w:u w:val="none"/>
          </w:rPr>
          <w:t>ITU-R BT.2140</w:t>
        </w:r>
      </w:hyperlink>
      <w:r w:rsidRPr="00C054C3">
        <w:rPr>
          <w:rFonts w:cs="Segoe UI"/>
        </w:rPr>
        <w:t xml:space="preserve"> provides advice on deployment scenarios of digital television broadcasting </w:t>
      </w:r>
      <w:r w:rsidRPr="00C054C3">
        <w:t xml:space="preserve">in use throughout the world. </w:t>
      </w:r>
      <w:r w:rsidRPr="00C054C3">
        <w:rPr>
          <w:iCs/>
        </w:rPr>
        <w:t>A number of common applications of DVB-T2 and ATSC 3.0 are considered in Chapter 5 of Report ITU-R BT.2254 and § A2.4 of Report ITU-R BT.2383, respectively, together with some possible parameter sets which may be suitable for each of the scenarios.</w:t>
      </w:r>
    </w:p>
    <w:p w14:paraId="75156DAE" w14:textId="77777777" w:rsidR="00F870B3" w:rsidRPr="00C054C3" w:rsidRDefault="00F870B3" w:rsidP="00D84EA1">
      <w:r w:rsidRPr="00C054C3">
        <w:rPr>
          <w:iCs/>
        </w:rPr>
        <w:t xml:space="preserve">The objective of </w:t>
      </w:r>
      <w:r w:rsidRPr="00C054C3">
        <w:t>selecting planning parameters for 2</w:t>
      </w:r>
      <w:r w:rsidRPr="007D35B3">
        <w:rPr>
          <w:vertAlign w:val="superscript"/>
        </w:rPr>
        <w:t>nd</w:t>
      </w:r>
      <w:r w:rsidRPr="00C054C3">
        <w:t xml:space="preserve"> generation digital television broadcasting (VHF and UHF bands)</w:t>
      </w:r>
      <w:r w:rsidRPr="00C054C3">
        <w:rPr>
          <w:szCs w:val="22"/>
        </w:rPr>
        <w:t xml:space="preserve"> </w:t>
      </w:r>
      <w:r w:rsidRPr="00C054C3">
        <w:t>is to ensure any of the new characteristics of the 2</w:t>
      </w:r>
      <w:r w:rsidRPr="007D35B3">
        <w:rPr>
          <w:vertAlign w:val="superscript"/>
        </w:rPr>
        <w:t>nd</w:t>
      </w:r>
      <w:r w:rsidRPr="00C054C3">
        <w:t xml:space="preserve"> generation system are taken into consideration for the service(s), such as minimum receiver signal levels, protection ratios and impacts on network design. Other considerations include the effect of increasing man-made noise on link budgets, and assumptions made about receiver selectivity in the specification of spectrum masks.</w:t>
      </w:r>
    </w:p>
    <w:p w14:paraId="521D9C14" w14:textId="77777777" w:rsidR="00F870B3" w:rsidRPr="00C054C3" w:rsidRDefault="00F870B3" w:rsidP="00D84EA1">
      <w:pPr>
        <w:pStyle w:val="Heading1"/>
      </w:pPr>
      <w:bookmarkStart w:id="41" w:name="_Toc14365396"/>
      <w:bookmarkStart w:id="42" w:name="_Toc185573781"/>
      <w:r w:rsidRPr="00C054C3">
        <w:lastRenderedPageBreak/>
        <w:t>6</w:t>
      </w:r>
      <w:r w:rsidRPr="00C054C3">
        <w:tab/>
        <w:t>Coverage prediction methods for 2</w:t>
      </w:r>
      <w:r w:rsidRPr="007D35B3">
        <w:rPr>
          <w:vertAlign w:val="superscript"/>
        </w:rPr>
        <w:t>nd</w:t>
      </w:r>
      <w:r w:rsidRPr="00C054C3">
        <w:t xml:space="preserve"> generation digital television broadcasting (VHF and UHF bands)</w:t>
      </w:r>
      <w:bookmarkEnd w:id="41"/>
      <w:bookmarkEnd w:id="42"/>
    </w:p>
    <w:p w14:paraId="54F98C72" w14:textId="77777777" w:rsidR="00F870B3" w:rsidRPr="00C054C3" w:rsidRDefault="00F870B3" w:rsidP="00D84EA1">
      <w:pPr>
        <w:keepNext/>
        <w:keepLines/>
      </w:pPr>
      <w:r w:rsidRPr="00C054C3">
        <w:rPr>
          <w:szCs w:val="24"/>
          <w:lang w:eastAsia="zh-CN"/>
        </w:rPr>
        <w:t xml:space="preserve">The implementation of DVB-T2 in reduced spectrum allocations than was available in some countries for DVB-T has created the need to refine even further the traditional computer-based frequency planning techniques to enable a greater degree of accuracy in coverage prediction, than say for </w:t>
      </w:r>
      <w:r w:rsidRPr="00C054C3">
        <w:t xml:space="preserve">Recommendation </w:t>
      </w:r>
      <w:hyperlink r:id="rId30" w:history="1">
        <w:r w:rsidRPr="00C054C3">
          <w:rPr>
            <w:rStyle w:val="Hyperlink"/>
            <w:color w:val="auto"/>
            <w:u w:val="none"/>
          </w:rPr>
          <w:t>ITU-R P.1546</w:t>
        </w:r>
      </w:hyperlink>
      <w:r w:rsidRPr="00C054C3">
        <w:t xml:space="preserve"> which was widely used by administrations for field strength prediction methods and clutter height for field evaluation for DVB-T and ATSC.</w:t>
      </w:r>
    </w:p>
    <w:p w14:paraId="048DE1CF" w14:textId="77777777" w:rsidR="00F870B3" w:rsidRPr="00C054C3" w:rsidRDefault="00F870B3" w:rsidP="00F870B3">
      <w:r w:rsidRPr="00C054C3">
        <w:t>Addressing this need, ITU-R Study Group 3 continues to develop revisions of:</w:t>
      </w:r>
    </w:p>
    <w:p w14:paraId="521C875B" w14:textId="0C573BE3" w:rsidR="00F870B3" w:rsidRPr="00C054C3" w:rsidRDefault="00F870B3" w:rsidP="00F870B3">
      <w:pPr>
        <w:pStyle w:val="enumlev1"/>
      </w:pPr>
      <w:r w:rsidRPr="00C054C3">
        <w:t>a)</w:t>
      </w:r>
      <w:r w:rsidRPr="00C054C3">
        <w:tab/>
        <w:t xml:space="preserve">Recommendation </w:t>
      </w:r>
      <w:hyperlink r:id="rId31" w:history="1">
        <w:r w:rsidRPr="00C054C3">
          <w:rPr>
            <w:rStyle w:val="Hyperlink"/>
            <w:color w:val="auto"/>
            <w:u w:val="none"/>
          </w:rPr>
          <w:t>ITU-R P.1812</w:t>
        </w:r>
      </w:hyperlink>
      <w:r w:rsidRPr="00C054C3">
        <w:t xml:space="preserve"> – A path-specific propagation prediction method for point</w:t>
      </w:r>
      <w:r w:rsidR="00D84EA1" w:rsidRPr="00C054C3">
        <w:noBreakHyphen/>
      </w:r>
      <w:r w:rsidRPr="00C054C3">
        <w:t>to-area terrestrial services in the VHF and UHF bands.</w:t>
      </w:r>
    </w:p>
    <w:p w14:paraId="2B81A100" w14:textId="77777777" w:rsidR="00F870B3" w:rsidRPr="00C054C3" w:rsidRDefault="00F870B3" w:rsidP="00F870B3">
      <w:pPr>
        <w:pStyle w:val="enumlev1"/>
        <w:rPr>
          <w:rFonts w:cs="Segoe UI"/>
        </w:rPr>
      </w:pPr>
      <w:r w:rsidRPr="00C054C3">
        <w:t>b)</w:t>
      </w:r>
      <w:r w:rsidRPr="00C054C3">
        <w:tab/>
        <w:t xml:space="preserve">Recommendation </w:t>
      </w:r>
      <w:hyperlink r:id="rId32" w:history="1">
        <w:r w:rsidRPr="00C054C3">
          <w:rPr>
            <w:rStyle w:val="Hyperlink"/>
            <w:color w:val="auto"/>
            <w:u w:val="none"/>
          </w:rPr>
          <w:t>ITU-R P.2001</w:t>
        </w:r>
      </w:hyperlink>
      <w:r w:rsidRPr="00C054C3">
        <w:t xml:space="preserve"> – A general purpose wide-range terrestrial propagation model in the frequency range 30 MHz to 50 GHz.</w:t>
      </w:r>
    </w:p>
    <w:p w14:paraId="270A48E7" w14:textId="77777777" w:rsidR="00F870B3" w:rsidRPr="00C054C3" w:rsidRDefault="00F870B3" w:rsidP="003859EC">
      <w:pPr>
        <w:rPr>
          <w:lang w:eastAsia="en-AU"/>
        </w:rPr>
      </w:pPr>
      <w:r w:rsidRPr="00C054C3">
        <w:rPr>
          <w:rFonts w:cs="Segoe UI"/>
        </w:rPr>
        <w:t xml:space="preserve">Report </w:t>
      </w:r>
      <w:hyperlink r:id="rId33" w:history="1">
        <w:r w:rsidRPr="00C054C3">
          <w:rPr>
            <w:rStyle w:val="Hyperlink"/>
            <w:rFonts w:cs="Segoe UI"/>
            <w:color w:val="auto"/>
            <w:u w:val="none"/>
          </w:rPr>
          <w:t>ITU-R BT.2254</w:t>
        </w:r>
      </w:hyperlink>
      <w:r w:rsidRPr="00C054C3">
        <w:rPr>
          <w:lang w:eastAsia="en-AU"/>
        </w:rPr>
        <w:t xml:space="preserve"> </w:t>
      </w:r>
      <w:r w:rsidRPr="00C054C3">
        <w:t>provides</w:t>
      </w:r>
      <w:r w:rsidRPr="00C054C3">
        <w:rPr>
          <w:lang w:eastAsia="en-AU"/>
        </w:rPr>
        <w:t xml:space="preserve"> guidance on frequency and network planning of DVB-T2, including SFN extension.</w:t>
      </w:r>
    </w:p>
    <w:p w14:paraId="509B9FD5" w14:textId="77777777" w:rsidR="00F870B3" w:rsidRPr="00C054C3" w:rsidRDefault="00F870B3" w:rsidP="003859EC">
      <w:pPr>
        <w:rPr>
          <w:rFonts w:cs="Segoe UI"/>
        </w:rPr>
      </w:pPr>
      <w:r w:rsidRPr="007D35B3">
        <w:t xml:space="preserve">Annex 2 to Report </w:t>
      </w:r>
      <w:hyperlink r:id="rId34" w:history="1">
        <w:r w:rsidRPr="007D35B3">
          <w:rPr>
            <w:rStyle w:val="Hyperlink"/>
            <w:color w:val="auto"/>
            <w:u w:val="none"/>
          </w:rPr>
          <w:t>ITU-R BT.1877</w:t>
        </w:r>
      </w:hyperlink>
      <w:r w:rsidRPr="007D35B3">
        <w:t xml:space="preserve"> describes the characteristics of ATSC 3.0, including information</w:t>
      </w:r>
      <w:r w:rsidRPr="00C054C3">
        <w:t xml:space="preserve"> on recommendations for physical layer operating modes impacting frequency and network planning.</w:t>
      </w:r>
    </w:p>
    <w:p w14:paraId="7D4F8704" w14:textId="77777777" w:rsidR="00F870B3" w:rsidRPr="00C054C3" w:rsidRDefault="00F870B3" w:rsidP="003859EC">
      <w:r w:rsidRPr="00C054C3">
        <w:rPr>
          <w:iCs/>
        </w:rPr>
        <w:t xml:space="preserve">The objective of </w:t>
      </w:r>
      <w:r w:rsidRPr="00C054C3">
        <w:t>selecting coverage prediction methods for 2</w:t>
      </w:r>
      <w:r w:rsidRPr="007D35B3">
        <w:rPr>
          <w:vertAlign w:val="superscript"/>
        </w:rPr>
        <w:t>nd</w:t>
      </w:r>
      <w:r w:rsidRPr="00C054C3">
        <w:t xml:space="preserve"> generation digital television broadcasting (VHF and UHF bands) is to ensure any impact of the new 2</w:t>
      </w:r>
      <w:r w:rsidRPr="007D35B3">
        <w:rPr>
          <w:vertAlign w:val="superscript"/>
        </w:rPr>
        <w:t>nd</w:t>
      </w:r>
      <w:r w:rsidRPr="00C054C3">
        <w:t xml:space="preserve"> generation transmission characteristics are fully examined with respect to the planning and coverage predictions for the existing services.</w:t>
      </w:r>
    </w:p>
    <w:p w14:paraId="6EFBA015" w14:textId="77777777" w:rsidR="00F870B3" w:rsidRPr="00C054C3" w:rsidRDefault="00F870B3" w:rsidP="00F870B3">
      <w:pPr>
        <w:pStyle w:val="Heading1"/>
      </w:pPr>
      <w:bookmarkStart w:id="43" w:name="_Toc14365397"/>
      <w:bookmarkStart w:id="44" w:name="_Toc185573782"/>
      <w:r w:rsidRPr="00C054C3">
        <w:t>7</w:t>
      </w:r>
      <w:r w:rsidRPr="00C054C3">
        <w:tab/>
        <w:t>Field measurement campaign to evaluate actual coverage provided by 2</w:t>
      </w:r>
      <w:r w:rsidRPr="007D35B3">
        <w:rPr>
          <w:vertAlign w:val="superscript"/>
        </w:rPr>
        <w:t>nd</w:t>
      </w:r>
      <w:r w:rsidRPr="00C054C3">
        <w:t xml:space="preserve"> generation digital television broadcasting (VHF and UHF bands)</w:t>
      </w:r>
      <w:bookmarkEnd w:id="43"/>
      <w:bookmarkEnd w:id="44"/>
    </w:p>
    <w:p w14:paraId="46393ABE" w14:textId="77777777" w:rsidR="00F870B3" w:rsidRPr="00C054C3" w:rsidRDefault="00F870B3" w:rsidP="00D84EA1">
      <w:r w:rsidRPr="00C054C3">
        <w:t xml:space="preserve">Report </w:t>
      </w:r>
      <w:hyperlink r:id="rId35" w:history="1">
        <w:r w:rsidRPr="00C054C3">
          <w:rPr>
            <w:rStyle w:val="Hyperlink"/>
            <w:color w:val="auto"/>
            <w:szCs w:val="24"/>
            <w:u w:val="none"/>
          </w:rPr>
          <w:t>ITU-R BT.2035</w:t>
        </w:r>
      </w:hyperlink>
      <w:r w:rsidRPr="00C054C3">
        <w:t xml:space="preserve"> – Guidelines and techniques for the evaluation of digital terrestrial television broadcasting systems including assessment of their coverage areas,</w:t>
      </w:r>
      <w:r w:rsidRPr="00C054C3">
        <w:rPr>
          <w:i/>
        </w:rPr>
        <w:t xml:space="preserve"> </w:t>
      </w:r>
      <w:r w:rsidRPr="00C054C3">
        <w:t>includes</w:t>
      </w:r>
      <w:r w:rsidRPr="00C054C3">
        <w:rPr>
          <w:i/>
        </w:rPr>
        <w:t xml:space="preserve"> </w:t>
      </w:r>
      <w:r w:rsidRPr="00C054C3">
        <w:t>a field survey methodology developed for fixed measurement of digital television reception.</w:t>
      </w:r>
    </w:p>
    <w:p w14:paraId="1C8F6145" w14:textId="77777777" w:rsidR="00F870B3" w:rsidRPr="00C054C3" w:rsidRDefault="00F870B3" w:rsidP="00D84EA1">
      <w:r w:rsidRPr="00C054C3">
        <w:t>Each field survey measurement is to be representative of the surrounding localities within a small area (typically 100 m by 100 m). However, actual signal parameters will be statistically distributed, even over such a small area. The signal variations are the result of various characteristics, such as the local environment around the receiver (local clutter such as surrounding buildings, vegetation etc.). In addition to the coverage evaluation at a single measurement location, this methodology incorporates some area specific analysis in order to be representative of the majority of locations in the surrounding (100 m by 100 m) area. It is proposed this methodology is applied to the comparative evaluation of DVB-T and DVB-T2 at each measurement location.</w:t>
      </w:r>
    </w:p>
    <w:p w14:paraId="43934A2A" w14:textId="77777777" w:rsidR="00F870B3" w:rsidRPr="00C054C3" w:rsidRDefault="00F870B3" w:rsidP="00D84EA1">
      <w:pPr>
        <w:rPr>
          <w:rFonts w:cs="Segoe UI"/>
        </w:rPr>
      </w:pPr>
      <w:r w:rsidRPr="00C054C3">
        <w:t xml:space="preserve">It is also proposed a specific set of parameters are contained within the measurement campaign to ensure exhaustive analysis may be undertaken post the field survey and to ensure best practice. </w:t>
      </w:r>
    </w:p>
    <w:p w14:paraId="04910CA5" w14:textId="77777777" w:rsidR="00F870B3" w:rsidRPr="00C054C3" w:rsidRDefault="00F870B3" w:rsidP="00D84EA1">
      <w:bookmarkStart w:id="45" w:name="_Toc14365398"/>
      <w:r w:rsidRPr="00C054C3">
        <w:t xml:space="preserve">The ATSC 3.0 coverage field measurements described in A/326, ATSC Recommended Practice: ATSC 3.0 Field Test Plan include a description and methodology in which coverage (field strength) measurements are conducted along a minimum of eight evenly-spaced radials from the test transmitter site. A minimum of 15 measurements are recommended along each radial, starting at a distance of 16.1 km from the transmitter site and then incrementally increasing by 3.2 km. Depending on the local terrain, each of these measurement sites along the radials may consist of a ‘cluster’ of at least five measurements within a nine-metre square area. The referenced ATSC 3.0 field test plan provides further details on this methodology for determining coverage. Further information regarding field testing also can be found in Report </w:t>
      </w:r>
      <w:hyperlink r:id="rId36" w:history="1">
        <w:r w:rsidRPr="00C054C3">
          <w:rPr>
            <w:rStyle w:val="Hyperlink"/>
            <w:color w:val="auto"/>
            <w:u w:val="none"/>
          </w:rPr>
          <w:t>ITU-R BT.2495</w:t>
        </w:r>
      </w:hyperlink>
      <w:r w:rsidRPr="00C054C3">
        <w:t xml:space="preserve"> – Methods for laboratory and field measurements for the assessment of ATSC 3.0 reception quality.</w:t>
      </w:r>
    </w:p>
    <w:p w14:paraId="4B9ED22F" w14:textId="77777777" w:rsidR="00F870B3" w:rsidRPr="00C054C3" w:rsidRDefault="00F870B3" w:rsidP="00F870B3">
      <w:pPr>
        <w:pStyle w:val="Heading1"/>
      </w:pPr>
      <w:bookmarkStart w:id="46" w:name="_Toc185573783"/>
      <w:r w:rsidRPr="00C054C3">
        <w:lastRenderedPageBreak/>
        <w:t>8</w:t>
      </w:r>
      <w:r w:rsidRPr="00C054C3">
        <w:tab/>
        <w:t>Objective quality assessment methods for 1</w:t>
      </w:r>
      <w:r w:rsidRPr="007D35B3">
        <w:rPr>
          <w:vertAlign w:val="superscript"/>
        </w:rPr>
        <w:t>st</w:t>
      </w:r>
      <w:r w:rsidRPr="00C054C3">
        <w:t xml:space="preserve"> generation digital television broadcasting (VHF and UHF bands)</w:t>
      </w:r>
      <w:bookmarkEnd w:id="45"/>
      <w:bookmarkEnd w:id="46"/>
    </w:p>
    <w:p w14:paraId="26F2306A" w14:textId="77777777" w:rsidR="00F870B3" w:rsidRPr="00C054C3" w:rsidRDefault="00F870B3" w:rsidP="00D84EA1">
      <w:r w:rsidRPr="00C054C3">
        <w:t xml:space="preserve">For many broadcasting organisations the transition from analogue to digital television required application of accurate planning parameters to ensure the public did not lose television services. </w:t>
      </w:r>
    </w:p>
    <w:p w14:paraId="34381618" w14:textId="77777777" w:rsidR="00F870B3" w:rsidRPr="00C054C3" w:rsidRDefault="00F870B3" w:rsidP="00D84EA1">
      <w:r w:rsidRPr="00C054C3">
        <w:rPr>
          <w:rFonts w:cs="Segoe UI"/>
        </w:rPr>
        <w:t xml:space="preserve">Recommendation </w:t>
      </w:r>
      <w:hyperlink r:id="rId37" w:history="1">
        <w:r w:rsidRPr="00C054C3">
          <w:rPr>
            <w:rStyle w:val="Hyperlink"/>
            <w:rFonts w:cs="Segoe UI"/>
            <w:color w:val="auto"/>
            <w:u w:val="none"/>
          </w:rPr>
          <w:t>ITU-R BT.1735</w:t>
        </w:r>
      </w:hyperlink>
      <w:r w:rsidRPr="00C054C3">
        <w:rPr>
          <w:rFonts w:cs="Segoe UI"/>
        </w:rPr>
        <w:t xml:space="preserve"> – </w:t>
      </w:r>
      <w:r w:rsidRPr="00C054C3">
        <w:rPr>
          <w:iCs/>
        </w:rPr>
        <w:t xml:space="preserve">Methods for objective reception quality assessment of digital terrestrial television broadcasting signals of System B specified in Recommendation </w:t>
      </w:r>
      <w:hyperlink r:id="rId38" w:history="1">
        <w:r w:rsidRPr="00C054C3">
          <w:rPr>
            <w:rStyle w:val="Hyperlink"/>
            <w:iCs/>
            <w:color w:val="auto"/>
            <w:u w:val="none"/>
          </w:rPr>
          <w:t>ITU-R BT.1306</w:t>
        </w:r>
      </w:hyperlink>
      <w:r w:rsidRPr="00C054C3">
        <w:rPr>
          <w:szCs w:val="24"/>
        </w:rPr>
        <w:t>,</w:t>
      </w:r>
      <w:r w:rsidRPr="00C054C3">
        <w:rPr>
          <w:i/>
          <w:szCs w:val="24"/>
        </w:rPr>
        <w:t xml:space="preserve"> </w:t>
      </w:r>
      <w:r w:rsidRPr="00C054C3">
        <w:rPr>
          <w:rFonts w:cs="Segoe UI"/>
        </w:rPr>
        <w:t xml:space="preserve">provides </w:t>
      </w:r>
      <w:r w:rsidRPr="00C054C3">
        <w:t>methods to assist in quality assessment of the reception of digital terrestrial television broadcasting services</w:t>
      </w:r>
      <w:r w:rsidRPr="00C054C3" w:rsidDel="008377E8">
        <w:t xml:space="preserve"> </w:t>
      </w:r>
      <w:r w:rsidRPr="00C054C3">
        <w:t>for digital television broadcasting in System B. This Recommendation takes into account relevant ITU</w:t>
      </w:r>
      <w:r w:rsidRPr="00C054C3">
        <w:noBreakHyphen/>
        <w:t xml:space="preserve">R Recommendations. </w:t>
      </w:r>
    </w:p>
    <w:p w14:paraId="66B46A69" w14:textId="77777777" w:rsidR="00F870B3" w:rsidRPr="00C054C3" w:rsidRDefault="00F870B3" w:rsidP="00D84EA1">
      <w:pPr>
        <w:rPr>
          <w:szCs w:val="24"/>
        </w:rPr>
      </w:pPr>
      <w:r w:rsidRPr="00C054C3">
        <w:rPr>
          <w:szCs w:val="24"/>
        </w:rPr>
        <w:t xml:space="preserve">Recommendation </w:t>
      </w:r>
      <w:hyperlink r:id="rId39" w:history="1">
        <w:r w:rsidRPr="00C054C3">
          <w:rPr>
            <w:rStyle w:val="Hyperlink"/>
            <w:color w:val="auto"/>
            <w:szCs w:val="24"/>
            <w:u w:val="none"/>
          </w:rPr>
          <w:t>ITU-R BT.1735</w:t>
        </w:r>
      </w:hyperlink>
      <w:r w:rsidRPr="00C054C3">
        <w:rPr>
          <w:szCs w:val="24"/>
        </w:rPr>
        <w:t xml:space="preserve"> defines the following reception quality grades in terms of the margin to failure of the received signal.</w:t>
      </w:r>
    </w:p>
    <w:p w14:paraId="32633A3A" w14:textId="77777777" w:rsidR="00F870B3" w:rsidRPr="00C054C3" w:rsidDel="00126E83" w:rsidRDefault="00F870B3" w:rsidP="00F870B3">
      <w:pPr>
        <w:pStyle w:val="enumlev1"/>
      </w:pPr>
      <w:r w:rsidRPr="00C054C3" w:rsidDel="00126E83">
        <w:t>Grade Q1 – Signal level is below minimum planning target.</w:t>
      </w:r>
    </w:p>
    <w:p w14:paraId="23BD951E" w14:textId="77777777" w:rsidR="00F870B3" w:rsidRPr="00C054C3" w:rsidDel="00126E83" w:rsidRDefault="00F870B3" w:rsidP="00F870B3">
      <w:pPr>
        <w:pStyle w:val="enumlev1"/>
        <w:ind w:left="0" w:firstLine="0"/>
      </w:pPr>
      <w:r w:rsidRPr="00C054C3" w:rsidDel="00126E83">
        <w:t xml:space="preserve">Grade </w:t>
      </w:r>
      <w:r w:rsidRPr="00C054C3">
        <w:t>Q</w:t>
      </w:r>
      <w:r w:rsidRPr="00C054C3" w:rsidDel="00126E83">
        <w:t>2 – Signal level is below minimum planning target or margin to failure is too low</w:t>
      </w:r>
      <w:r w:rsidRPr="00C054C3">
        <w:t xml:space="preserve"> (reception may be possible but signal is very susceptible to failure)</w:t>
      </w:r>
      <w:r w:rsidRPr="00C054C3" w:rsidDel="00126E83">
        <w:t>.</w:t>
      </w:r>
    </w:p>
    <w:p w14:paraId="3B0E75C4" w14:textId="77777777" w:rsidR="00F870B3" w:rsidRPr="00C054C3" w:rsidDel="00126E83" w:rsidRDefault="00F870B3" w:rsidP="00F870B3">
      <w:pPr>
        <w:pStyle w:val="enumlev1"/>
      </w:pPr>
      <w:r w:rsidRPr="00C054C3" w:rsidDel="00126E83">
        <w:t xml:space="preserve">Grade </w:t>
      </w:r>
      <w:r w:rsidRPr="00C054C3">
        <w:t>Q</w:t>
      </w:r>
      <w:r w:rsidRPr="00C054C3" w:rsidDel="00126E83">
        <w:t xml:space="preserve">3 – Signal level </w:t>
      </w:r>
      <w:r w:rsidRPr="00C054C3">
        <w:t>and</w:t>
      </w:r>
      <w:r w:rsidRPr="00C054C3" w:rsidDel="00126E83">
        <w:t xml:space="preserve"> margin to failure </w:t>
      </w:r>
      <w:r w:rsidRPr="00C054C3">
        <w:t>have some margin above minimum planning targets</w:t>
      </w:r>
      <w:r w:rsidRPr="00C054C3" w:rsidDel="00126E83">
        <w:t>.</w:t>
      </w:r>
    </w:p>
    <w:p w14:paraId="34C8C030" w14:textId="77777777" w:rsidR="00F870B3" w:rsidRPr="00C054C3" w:rsidDel="00126E83" w:rsidRDefault="00F870B3" w:rsidP="00F870B3">
      <w:pPr>
        <w:pStyle w:val="enumlev1"/>
      </w:pPr>
      <w:r w:rsidRPr="00C054C3" w:rsidDel="00126E83">
        <w:t xml:space="preserve">Grade </w:t>
      </w:r>
      <w:r w:rsidRPr="00C054C3">
        <w:t>Q</w:t>
      </w:r>
      <w:r w:rsidRPr="00C054C3" w:rsidDel="00126E83">
        <w:t xml:space="preserve">4 </w:t>
      </w:r>
      <w:r w:rsidRPr="00C054C3">
        <w:t xml:space="preserve">– </w:t>
      </w:r>
      <w:r w:rsidRPr="00C054C3" w:rsidDel="00126E83">
        <w:t>Signal level and margin to failure above planning targets.</w:t>
      </w:r>
    </w:p>
    <w:p w14:paraId="1481BF11" w14:textId="77777777" w:rsidR="00F870B3" w:rsidRPr="00C054C3" w:rsidDel="00126E83" w:rsidRDefault="00F870B3" w:rsidP="00F870B3">
      <w:pPr>
        <w:pStyle w:val="enumlev1"/>
      </w:pPr>
      <w:r w:rsidRPr="00C054C3">
        <w:t>Grade Q</w:t>
      </w:r>
      <w:r w:rsidRPr="00C054C3" w:rsidDel="00126E83">
        <w:t xml:space="preserve">5 – </w:t>
      </w:r>
      <w:r w:rsidRPr="00C054C3">
        <w:t>No measurable defects can be reasonably detected</w:t>
      </w:r>
      <w:r w:rsidRPr="00C054C3" w:rsidDel="00126E83">
        <w:t>.</w:t>
      </w:r>
    </w:p>
    <w:p w14:paraId="508BA98B" w14:textId="77777777" w:rsidR="00F870B3" w:rsidRPr="00C054C3" w:rsidRDefault="00F870B3" w:rsidP="00D84EA1">
      <w:r w:rsidRPr="00C054C3">
        <w:t xml:space="preserve">In Recommendation </w:t>
      </w:r>
      <w:hyperlink r:id="rId40" w:history="1">
        <w:r w:rsidRPr="00C054C3">
          <w:rPr>
            <w:rStyle w:val="Hyperlink"/>
            <w:color w:val="auto"/>
            <w:szCs w:val="24"/>
            <w:u w:val="none"/>
          </w:rPr>
          <w:t>ITU-R BT.1735</w:t>
        </w:r>
      </w:hyperlink>
      <w:r w:rsidRPr="00C054C3">
        <w:t xml:space="preserve"> two methods are available, one for multi-frequency network (MFN) and one for single frequency network (SFN).</w:t>
      </w:r>
    </w:p>
    <w:p w14:paraId="18F42672" w14:textId="77777777" w:rsidR="00F870B3" w:rsidRPr="00C054C3" w:rsidRDefault="00F870B3" w:rsidP="00D84EA1">
      <w:r w:rsidRPr="00C054C3">
        <w:t xml:space="preserve">A number of countries have developed networks based on an SFN configuration, whereby transmitters are placed far apart. In such networks, the use of the maximum permissible guard interval together with high code rate (i.e. 3/4 or 5/6) results in a very complex impulse response with a lot of reflected rays, both natural and artificial falling on the shoulder, or outside, the guard interval. </w:t>
      </w:r>
    </w:p>
    <w:p w14:paraId="69739AEF" w14:textId="77777777" w:rsidR="00F870B3" w:rsidRPr="00C054C3" w:rsidRDefault="00F870B3" w:rsidP="00D84EA1">
      <w:r w:rsidRPr="00C054C3">
        <w:t xml:space="preserve">The situation is further complicated, due to field-strength variations at the receiving point originated by the farthest transmitters. Such variations impact on the positioning of the window in the receiver, depending on the strategy implemented by manufacturers, and sometimes one or more rays of sufficient energy fall outside the guard interval. </w:t>
      </w:r>
    </w:p>
    <w:p w14:paraId="130BB385" w14:textId="77777777" w:rsidR="00F870B3" w:rsidRPr="00C054C3" w:rsidRDefault="00F870B3" w:rsidP="00D84EA1">
      <w:r w:rsidRPr="00C054C3">
        <w:t>In such conditions it may easily happen that different receiving situations are detected during the day and it is not easy to find a simple algorithm to determine coverage quality. Moreover, the relationship between BER measurements taken before and after Viterbi decoding depends on unpredictable factors hence an evaluation of BER before Viterbi decoding does not permit it to be known if BER after Viterbi decoding would fall below the threshold or above it. Furthermore, since MER and BER measurements are based on different aspects of the phenomenon, no close relationship can be identified between them.</w:t>
      </w:r>
    </w:p>
    <w:p w14:paraId="42F2AFFC" w14:textId="77777777" w:rsidR="00F870B3" w:rsidRPr="00C054C3" w:rsidRDefault="00F870B3" w:rsidP="00D84EA1">
      <w:r w:rsidRPr="00C054C3">
        <w:t>It was concluded there is a need for a new multidimensional evaluation system valid for both MFN and SFN networks that would supersede the one specified in Recommendation ITU-R BT.1735 which remains valid for MFN networks.</w:t>
      </w:r>
    </w:p>
    <w:p w14:paraId="73563900" w14:textId="77777777" w:rsidR="00F870B3" w:rsidRPr="00C054C3" w:rsidRDefault="00F870B3" w:rsidP="00D84EA1">
      <w:pPr>
        <w:rPr>
          <w:rFonts w:cs="Segoe UI"/>
        </w:rPr>
      </w:pPr>
      <w:r w:rsidRPr="00C054C3">
        <w:t xml:space="preserve">Report </w:t>
      </w:r>
      <w:hyperlink r:id="rId41" w:history="1">
        <w:r w:rsidRPr="00C054C3">
          <w:rPr>
            <w:rStyle w:val="Hyperlink"/>
            <w:color w:val="auto"/>
            <w:u w:val="none"/>
          </w:rPr>
          <w:t>ITU-R BT.2252</w:t>
        </w:r>
      </w:hyperlink>
      <w:r w:rsidRPr="00C054C3">
        <w:t xml:space="preserve"> – </w:t>
      </w:r>
      <w:r w:rsidRPr="00C054C3">
        <w:rPr>
          <w:rFonts w:cs="Segoe UI"/>
        </w:rPr>
        <w:t>Objective quality coverage assessment of digital terrestrial television broadcasting signals, was developed in support of Recommendation ITU-R BT.1735. It provides information of this methodology from Australia and Italy for DVB-T and from the United States of America for ATSC 1.0.</w:t>
      </w:r>
    </w:p>
    <w:p w14:paraId="4DD5A8C4" w14:textId="77777777" w:rsidR="00F870B3" w:rsidRPr="00C054C3" w:rsidRDefault="00F870B3" w:rsidP="00D84EA1">
      <w:r w:rsidRPr="00C054C3">
        <w:rPr>
          <w:iCs/>
        </w:rPr>
        <w:t xml:space="preserve">The objective of </w:t>
      </w:r>
      <w:r w:rsidRPr="00C054C3">
        <w:t>selecting objective quality assessment methods for 1</w:t>
      </w:r>
      <w:r w:rsidRPr="007D35B3">
        <w:rPr>
          <w:vertAlign w:val="superscript"/>
        </w:rPr>
        <w:t>st</w:t>
      </w:r>
      <w:r w:rsidRPr="00C054C3">
        <w:t xml:space="preserve"> generation digital television broadcasting (VHF and UHF bands) and was to provide a benchmark for the objective quality assessment sought for the 2</w:t>
      </w:r>
      <w:r w:rsidRPr="007D35B3">
        <w:rPr>
          <w:vertAlign w:val="superscript"/>
        </w:rPr>
        <w:t>nd</w:t>
      </w:r>
      <w:r w:rsidRPr="00C054C3">
        <w:t xml:space="preserve"> generation digital television broadcasting service.</w:t>
      </w:r>
    </w:p>
    <w:p w14:paraId="18B8331C" w14:textId="65DDF0F0" w:rsidR="00F870B3" w:rsidRPr="00C054C3" w:rsidRDefault="00F870B3" w:rsidP="00D84EA1">
      <w:r w:rsidRPr="00C054C3">
        <w:lastRenderedPageBreak/>
        <w:t xml:space="preserve">However, Report </w:t>
      </w:r>
      <w:hyperlink r:id="rId42" w:history="1">
        <w:r w:rsidRPr="00C054C3">
          <w:rPr>
            <w:rStyle w:val="Hyperlink"/>
            <w:color w:val="auto"/>
            <w:szCs w:val="24"/>
            <w:u w:val="none"/>
          </w:rPr>
          <w:t>ITU-R BT.2389</w:t>
        </w:r>
      </w:hyperlink>
      <w:r w:rsidRPr="00C054C3">
        <w:t xml:space="preserve"> </w:t>
      </w:r>
      <w:r w:rsidRPr="00C054C3">
        <w:rPr>
          <w:lang w:eastAsia="ja-JP"/>
        </w:rPr>
        <w:t xml:space="preserve">addressed the requirements and methods necessary to maintain the quality </w:t>
      </w:r>
      <w:r w:rsidRPr="00C054C3">
        <w:rPr>
          <w:lang w:eastAsia="zh-CN"/>
        </w:rPr>
        <w:t>of technical operations during the deployment and running of digital terrestrial television broadcasting (DTTB) networks. And in particular, in Table 5.1, bit error rate (</w:t>
      </w:r>
      <w:r w:rsidRPr="00C054C3">
        <w:t>BER) requirements in DVB systems of the first and second generations where currently the generally accepted practice is to estimate the packet error ratio (PER) and the frame error ratio (FER). Section 5.2 of Report ITU</w:t>
      </w:r>
      <w:r w:rsidRPr="00C054C3">
        <w:noBreakHyphen/>
        <w:t>R</w:t>
      </w:r>
      <w:r w:rsidR="00104A58" w:rsidRPr="00C054C3">
        <w:t> </w:t>
      </w:r>
      <w:r w:rsidRPr="00C054C3">
        <w:t>BT.2389 addresses specific measurements for ATSC 1.0.</w:t>
      </w:r>
    </w:p>
    <w:p w14:paraId="6D8D6CB8" w14:textId="77777777" w:rsidR="00F870B3" w:rsidRPr="00C054C3" w:rsidRDefault="00F870B3" w:rsidP="00F870B3">
      <w:pPr>
        <w:pStyle w:val="Heading1"/>
      </w:pPr>
      <w:bookmarkStart w:id="47" w:name="_Toc14365399"/>
      <w:bookmarkStart w:id="48" w:name="_Toc185573784"/>
      <w:r w:rsidRPr="00C054C3">
        <w:t>9</w:t>
      </w:r>
      <w:r w:rsidRPr="00C054C3">
        <w:tab/>
        <w:t>Subjective quality assessment methods for 1</w:t>
      </w:r>
      <w:r w:rsidRPr="007D35B3">
        <w:rPr>
          <w:vertAlign w:val="superscript"/>
        </w:rPr>
        <w:t>st</w:t>
      </w:r>
      <w:r w:rsidRPr="00C054C3">
        <w:t xml:space="preserve"> generation digital television broadcasting (VHF and UHF bands)</w:t>
      </w:r>
      <w:bookmarkEnd w:id="47"/>
      <w:bookmarkEnd w:id="48"/>
    </w:p>
    <w:p w14:paraId="6590CDD8" w14:textId="7E2EBF0D" w:rsidR="00F870B3" w:rsidRPr="00C054C3" w:rsidRDefault="00F870B3" w:rsidP="00F870B3">
      <w:r w:rsidRPr="00C054C3">
        <w:t xml:space="preserve">Subjective quality assessment of DTTB signals have been used for identifying the subjective failure point as an indication of the signal interference threshold necessary to maintain a just error-free picture at the TV screen. The SFP method as defined in Annex 8 to Recommendation </w:t>
      </w:r>
      <w:hyperlink r:id="rId43" w:history="1">
        <w:r w:rsidRPr="00C054C3">
          <w:rPr>
            <w:rStyle w:val="Hyperlink"/>
            <w:color w:val="auto"/>
            <w:szCs w:val="24"/>
            <w:u w:val="none"/>
          </w:rPr>
          <w:t>ITU</w:t>
        </w:r>
        <w:r w:rsidR="00104A58" w:rsidRPr="00C054C3">
          <w:rPr>
            <w:rStyle w:val="Hyperlink"/>
            <w:color w:val="auto"/>
            <w:szCs w:val="24"/>
            <w:u w:val="none"/>
          </w:rPr>
          <w:noBreakHyphen/>
        </w:r>
        <w:r w:rsidRPr="00C054C3">
          <w:rPr>
            <w:rStyle w:val="Hyperlink"/>
            <w:color w:val="auto"/>
            <w:szCs w:val="24"/>
            <w:u w:val="none"/>
          </w:rPr>
          <w:t>R</w:t>
        </w:r>
        <w:r w:rsidR="00104A58" w:rsidRPr="00C054C3">
          <w:rPr>
            <w:rStyle w:val="Hyperlink"/>
            <w:color w:val="auto"/>
            <w:szCs w:val="24"/>
            <w:u w:val="none"/>
          </w:rPr>
          <w:t> </w:t>
        </w:r>
        <w:r w:rsidRPr="00C054C3">
          <w:rPr>
            <w:rStyle w:val="Hyperlink"/>
            <w:color w:val="auto"/>
            <w:szCs w:val="24"/>
            <w:u w:val="none"/>
          </w:rPr>
          <w:t>BT.1368-13</w:t>
        </w:r>
      </w:hyperlink>
      <w:r w:rsidRPr="00C054C3">
        <w:t xml:space="preserve"> corresponds to the picture quality where no more than one error is visible in the picture for an average observation time of 20 seconds.</w:t>
      </w:r>
    </w:p>
    <w:p w14:paraId="7F35D32C" w14:textId="77777777" w:rsidR="00F870B3" w:rsidRPr="00C054C3" w:rsidRDefault="00F870B3" w:rsidP="00F870B3">
      <w:pPr>
        <w:rPr>
          <w:lang w:eastAsia="en-AU"/>
        </w:rPr>
      </w:pPr>
      <w:r w:rsidRPr="00C054C3">
        <w:rPr>
          <w:szCs w:val="22"/>
        </w:rPr>
        <w:t xml:space="preserve">For the purpose of assessing picture quality </w:t>
      </w:r>
      <w:r w:rsidRPr="00C054C3">
        <w:rPr>
          <w:rFonts w:cs="Segoe UI"/>
          <w:color w:val="000000"/>
        </w:rPr>
        <w:t xml:space="preserve">Recommendation ITU-R BT.500 </w:t>
      </w:r>
      <w:r w:rsidRPr="00C054C3">
        <w:t xml:space="preserve">provides methodologies including general methods of test, the grading scales and the viewing conditions. It recommends the double-stimulus impairment scale (DSIS) method and the double-stimulus continuous quality-scale (DSCQS) method as well as alternative assessment methods such as single-stimulus (SS) methods, stimulus-comparison methods, single stimulus continuous quality evaluation (SSCQE) and simultaneous double stimulus for continuous evaluation (SDSCE) method. These methods have been established and implemented by </w:t>
      </w:r>
      <w:r w:rsidRPr="00C054C3">
        <w:rPr>
          <w:lang w:eastAsia="en-AU"/>
        </w:rPr>
        <w:t>many administrations for several decades.</w:t>
      </w:r>
    </w:p>
    <w:p w14:paraId="4EF33AEA" w14:textId="77777777" w:rsidR="00F870B3" w:rsidRPr="00C054C3" w:rsidRDefault="00F870B3" w:rsidP="00F870B3">
      <w:pPr>
        <w:pStyle w:val="Heading1"/>
      </w:pPr>
      <w:bookmarkStart w:id="49" w:name="_Toc14365400"/>
      <w:bookmarkStart w:id="50" w:name="_Toc185573785"/>
      <w:r w:rsidRPr="00C054C3">
        <w:t>10</w:t>
      </w:r>
      <w:r w:rsidRPr="00C054C3">
        <w:tab/>
        <w:t>Evaluation / assessment criterion for performance of 2</w:t>
      </w:r>
      <w:r w:rsidRPr="007D35B3">
        <w:rPr>
          <w:vertAlign w:val="superscript"/>
        </w:rPr>
        <w:t>nd</w:t>
      </w:r>
      <w:r w:rsidRPr="00C054C3">
        <w:t xml:space="preserve"> generation digital television broadcasting (VHF and UHF bands)</w:t>
      </w:r>
      <w:bookmarkEnd w:id="49"/>
      <w:bookmarkEnd w:id="50"/>
    </w:p>
    <w:p w14:paraId="64280DA1" w14:textId="77777777" w:rsidR="00F870B3" w:rsidRPr="00C054C3" w:rsidRDefault="00F870B3" w:rsidP="00F870B3">
      <w:r w:rsidRPr="00C054C3">
        <w:t>Studies on criteria for the evaluation/ assessment for performance of 2</w:t>
      </w:r>
      <w:r w:rsidRPr="007D35B3">
        <w:rPr>
          <w:vertAlign w:val="superscript"/>
        </w:rPr>
        <w:t>nd</w:t>
      </w:r>
      <w:r w:rsidRPr="00C054C3">
        <w:t xml:space="preserve"> generation digital television broadcasting (VHF and UHF bands) can be found in Report ITU-R BT.2467.</w:t>
      </w:r>
    </w:p>
    <w:p w14:paraId="6F9FC588" w14:textId="77777777" w:rsidR="00F870B3" w:rsidRPr="00C054C3" w:rsidRDefault="00F870B3" w:rsidP="00F870B3">
      <w:pPr>
        <w:pStyle w:val="Headingb"/>
      </w:pPr>
      <w:bookmarkStart w:id="51" w:name="_Toc14365401"/>
      <w:r w:rsidRPr="00C054C3">
        <w:t>List of related ITU documents</w:t>
      </w:r>
      <w:bookmarkEnd w:id="51"/>
    </w:p>
    <w:p w14:paraId="5F69EFC2" w14:textId="28C3A14B" w:rsidR="00F870B3" w:rsidRPr="00C054C3" w:rsidRDefault="00F870B3" w:rsidP="000761A2">
      <w:r w:rsidRPr="00C054C3">
        <w:rPr>
          <w:rFonts w:cs="Segoe UI"/>
          <w:szCs w:val="24"/>
        </w:rPr>
        <w:t xml:space="preserve">Recommendation </w:t>
      </w:r>
      <w:hyperlink r:id="rId44" w:history="1">
        <w:r w:rsidRPr="00C054C3">
          <w:rPr>
            <w:rStyle w:val="Hyperlink"/>
            <w:rFonts w:cs="Segoe UI"/>
            <w:color w:val="auto"/>
            <w:szCs w:val="24"/>
            <w:u w:val="none"/>
          </w:rPr>
          <w:t>ITU-R BT.2033</w:t>
        </w:r>
      </w:hyperlink>
      <w:r w:rsidRPr="00C054C3">
        <w:rPr>
          <w:rFonts w:cs="Segoe UI"/>
          <w:szCs w:val="24"/>
        </w:rPr>
        <w:t xml:space="preserve"> </w:t>
      </w:r>
      <w:r w:rsidRPr="00C054C3">
        <w:rPr>
          <w:szCs w:val="24"/>
        </w:rPr>
        <w:t>defines in Annex 5 the s</w:t>
      </w:r>
      <w:r w:rsidRPr="00C054C3">
        <w:t>ubjective failure point (SFP) method for DVB-T2 protection ratio measurements.</w:t>
      </w:r>
    </w:p>
    <w:p w14:paraId="7E1FE154" w14:textId="77777777" w:rsidR="00F870B3" w:rsidRPr="00C054C3" w:rsidRDefault="00F870B3" w:rsidP="000761A2">
      <w:r w:rsidRPr="00C054C3">
        <w:t xml:space="preserve">Recommendation </w:t>
      </w:r>
      <w:hyperlink r:id="rId45" w:history="1">
        <w:r w:rsidRPr="00C054C3">
          <w:rPr>
            <w:rStyle w:val="Hyperlink"/>
            <w:color w:val="auto"/>
            <w:u w:val="none"/>
          </w:rPr>
          <w:t>ITU-R SM.1875</w:t>
        </w:r>
      </w:hyperlink>
      <w:r w:rsidRPr="00C054C3">
        <w:t xml:space="preserve"> describes methods for </w:t>
      </w:r>
      <w:r w:rsidRPr="00C054C3">
        <w:rPr>
          <w:szCs w:val="24"/>
        </w:rPr>
        <w:t xml:space="preserve">DVB-T/T2 coverage measurements and </w:t>
      </w:r>
      <w:r w:rsidRPr="00C054C3">
        <w:t>comparison with coverage predictions.</w:t>
      </w:r>
    </w:p>
    <w:p w14:paraId="28145D63" w14:textId="361B4B4D" w:rsidR="00F870B3" w:rsidRPr="00C054C3" w:rsidRDefault="00F870B3" w:rsidP="000761A2">
      <w:pPr>
        <w:rPr>
          <w:lang w:eastAsia="en-AU"/>
        </w:rPr>
      </w:pPr>
      <w:r w:rsidRPr="00C054C3">
        <w:rPr>
          <w:rFonts w:cs="Segoe UI"/>
        </w:rPr>
        <w:t xml:space="preserve">Report </w:t>
      </w:r>
      <w:hyperlink r:id="rId46" w:history="1">
        <w:r w:rsidRPr="00C054C3">
          <w:rPr>
            <w:rStyle w:val="Hyperlink"/>
            <w:rFonts w:cs="Segoe UI"/>
            <w:color w:val="auto"/>
            <w:u w:val="none"/>
          </w:rPr>
          <w:t>ITU-R BT.2254</w:t>
        </w:r>
      </w:hyperlink>
      <w:r w:rsidRPr="00C054C3">
        <w:rPr>
          <w:lang w:eastAsia="en-AU"/>
        </w:rPr>
        <w:t xml:space="preserve"> provides guidance on frequency and network planning of DVB-T2, including advice on the differences between DVB-T and DVB-T2.</w:t>
      </w:r>
    </w:p>
    <w:p w14:paraId="304F5AD5" w14:textId="61B0296B" w:rsidR="00F870B3" w:rsidRPr="00C054C3" w:rsidRDefault="00F870B3" w:rsidP="000761A2">
      <w:pPr>
        <w:rPr>
          <w:szCs w:val="24"/>
        </w:rPr>
      </w:pPr>
      <w:r w:rsidRPr="00C054C3">
        <w:rPr>
          <w:szCs w:val="24"/>
        </w:rPr>
        <w:t xml:space="preserve">Report </w:t>
      </w:r>
      <w:hyperlink r:id="rId47" w:history="1">
        <w:r w:rsidRPr="00C054C3">
          <w:rPr>
            <w:rStyle w:val="Hyperlink"/>
            <w:color w:val="auto"/>
            <w:szCs w:val="24"/>
            <w:u w:val="none"/>
          </w:rPr>
          <w:t>ITU-R BT.2035</w:t>
        </w:r>
      </w:hyperlink>
      <w:r w:rsidRPr="00C054C3">
        <w:rPr>
          <w:szCs w:val="24"/>
        </w:rPr>
        <w:t xml:space="preserve"> provides a field survey methodology for fixed measurement of digital television reception which can be applied as a methodology for terrestrial television coverage evaluation at a measurement location. The methodology requires measurements of the field strength and the instantaneous signal quality parameters of the digital television signals using an external antenna at 10 m above the ground.</w:t>
      </w:r>
    </w:p>
    <w:p w14:paraId="6F5C7C3C" w14:textId="2DE3A9D1" w:rsidR="00F870B3" w:rsidRPr="00C054C3" w:rsidRDefault="00F870B3" w:rsidP="000761A2">
      <w:r w:rsidRPr="00C054C3">
        <w:t xml:space="preserve">Report </w:t>
      </w:r>
      <w:hyperlink r:id="rId48" w:history="1">
        <w:r w:rsidRPr="00C054C3">
          <w:rPr>
            <w:rStyle w:val="Hyperlink"/>
            <w:color w:val="auto"/>
            <w:u w:val="none"/>
          </w:rPr>
          <w:t>ITU-R BT.2341</w:t>
        </w:r>
      </w:hyperlink>
      <w:r w:rsidRPr="00C054C3">
        <w:t xml:space="preserve"> – TV receiver subjective failure thresholds and the associated minimum quasi error free levels for good quality reception, provides information on the different measurement methods to determine DTT receiver performances in the presence of noise, multipath effects and interferences. It considers only the case where the channel impairment is static in time.</w:t>
      </w:r>
    </w:p>
    <w:p w14:paraId="4A17085A" w14:textId="3BC7AEBC" w:rsidR="00F870B3" w:rsidRPr="00C054C3" w:rsidRDefault="00F870B3" w:rsidP="000761A2">
      <w:pPr>
        <w:rPr>
          <w:iCs/>
        </w:rPr>
      </w:pPr>
      <w:r w:rsidRPr="00C054C3">
        <w:rPr>
          <w:szCs w:val="24"/>
        </w:rPr>
        <w:t xml:space="preserve">Report </w:t>
      </w:r>
      <w:hyperlink r:id="rId49" w:history="1">
        <w:r w:rsidRPr="00C054C3">
          <w:rPr>
            <w:rStyle w:val="Hyperlink"/>
            <w:color w:val="auto"/>
            <w:u w:val="none"/>
          </w:rPr>
          <w:t xml:space="preserve">ITU-R </w:t>
        </w:r>
        <w:r w:rsidRPr="00C054C3">
          <w:rPr>
            <w:rStyle w:val="Hyperlink"/>
            <w:color w:val="auto"/>
            <w:szCs w:val="24"/>
            <w:u w:val="none"/>
          </w:rPr>
          <w:t>BT.2382</w:t>
        </w:r>
      </w:hyperlink>
      <w:r w:rsidRPr="00C054C3">
        <w:rPr>
          <w:szCs w:val="24"/>
        </w:rPr>
        <w:t xml:space="preserve"> – </w:t>
      </w:r>
      <w:r w:rsidRPr="00C054C3">
        <w:rPr>
          <w:iCs/>
          <w:szCs w:val="24"/>
        </w:rPr>
        <w:t>Description of interference into a digital terrestrial television receiver</w:t>
      </w:r>
      <w:r w:rsidRPr="00C054C3">
        <w:t xml:space="preserve">, provides information on </w:t>
      </w:r>
      <w:r w:rsidRPr="00C054C3">
        <w:rPr>
          <w:iCs/>
        </w:rPr>
        <w:t>the effects that limit the ability of DTT receivers from demodulating the wanted signal correctly.</w:t>
      </w:r>
    </w:p>
    <w:p w14:paraId="70A83697" w14:textId="77777777" w:rsidR="00F870B3" w:rsidRPr="00C054C3" w:rsidRDefault="00F870B3" w:rsidP="000761A2">
      <w:pPr>
        <w:rPr>
          <w:iCs/>
        </w:rPr>
      </w:pPr>
      <w:r w:rsidRPr="00C054C3">
        <w:rPr>
          <w:iCs/>
        </w:rPr>
        <w:lastRenderedPageBreak/>
        <w:t xml:space="preserve">Report </w:t>
      </w:r>
      <w:hyperlink r:id="rId50" w:history="1">
        <w:r w:rsidRPr="00C054C3">
          <w:rPr>
            <w:rStyle w:val="Hyperlink"/>
            <w:iCs/>
            <w:color w:val="auto"/>
            <w:u w:val="none"/>
          </w:rPr>
          <w:t>ITU-R BT.2495</w:t>
        </w:r>
      </w:hyperlink>
      <w:r w:rsidRPr="00C054C3">
        <w:rPr>
          <w:iCs/>
        </w:rPr>
        <w:t xml:space="preserve"> – Methods for laboratory and field measurements for the assessment of ATSC 3.0 reception quality, provides useful information regarding broadcast DTV signal coverage, service area, and reception reliability.</w:t>
      </w:r>
    </w:p>
    <w:p w14:paraId="00432D27" w14:textId="77777777" w:rsidR="00F870B3" w:rsidRPr="00C054C3" w:rsidRDefault="00F870B3" w:rsidP="000761A2">
      <w:pPr>
        <w:pStyle w:val="Heading1"/>
      </w:pPr>
      <w:bookmarkStart w:id="52" w:name="_Toc14365402"/>
      <w:bookmarkStart w:id="53" w:name="_Toc185573786"/>
      <w:r w:rsidRPr="00C054C3">
        <w:t>11</w:t>
      </w:r>
      <w:r w:rsidRPr="00C054C3">
        <w:tab/>
        <w:t>References</w:t>
      </w:r>
      <w:bookmarkEnd w:id="52"/>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8"/>
      </w:tblGrid>
      <w:tr w:rsidR="00F870B3" w:rsidRPr="00C054C3" w14:paraId="79DF5CD1" w14:textId="77777777" w:rsidTr="00292862">
        <w:tc>
          <w:tcPr>
            <w:tcW w:w="3681" w:type="dxa"/>
          </w:tcPr>
          <w:p w14:paraId="2C27F308"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1" w:history="1">
              <w:r w:rsidRPr="00C054C3">
                <w:rPr>
                  <w:rStyle w:val="Hyperlink"/>
                  <w:rFonts w:ascii="Times New Roman" w:hAnsi="Times New Roman" w:cs="Times New Roman"/>
                  <w:color w:val="auto"/>
                  <w:u w:val="none"/>
                </w:rPr>
                <w:t>ITU-R BT.500</w:t>
              </w:r>
            </w:hyperlink>
          </w:p>
        </w:tc>
        <w:tc>
          <w:tcPr>
            <w:tcW w:w="5948" w:type="dxa"/>
          </w:tcPr>
          <w:p w14:paraId="13A346CA"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Methodology for the subjective assessment of the quality of television pictures</w:t>
            </w:r>
          </w:p>
        </w:tc>
      </w:tr>
      <w:tr w:rsidR="00F870B3" w:rsidRPr="00C054C3" w14:paraId="1D4822BB" w14:textId="77777777" w:rsidTr="00292862">
        <w:tc>
          <w:tcPr>
            <w:tcW w:w="3681" w:type="dxa"/>
          </w:tcPr>
          <w:p w14:paraId="08F8A8ED"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2" w:history="1">
              <w:r w:rsidRPr="00C054C3">
                <w:rPr>
                  <w:rStyle w:val="Hyperlink"/>
                  <w:rFonts w:ascii="Times New Roman" w:hAnsi="Times New Roman" w:cs="Times New Roman"/>
                  <w:color w:val="auto"/>
                  <w:u w:val="none"/>
                </w:rPr>
                <w:t>ITU-R BT.1306</w:t>
              </w:r>
            </w:hyperlink>
          </w:p>
        </w:tc>
        <w:tc>
          <w:tcPr>
            <w:tcW w:w="5948" w:type="dxa"/>
          </w:tcPr>
          <w:p w14:paraId="46754E42" w14:textId="6E651F09"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Error</w:t>
            </w:r>
            <w:r w:rsidR="00334C7C" w:rsidRPr="00C054C3">
              <w:rPr>
                <w:rFonts w:ascii="Times New Roman" w:hAnsi="Times New Roman" w:cs="Times New Roman"/>
              </w:rPr>
              <w:t>-</w:t>
            </w:r>
            <w:r w:rsidRPr="00C054C3">
              <w:rPr>
                <w:rFonts w:ascii="Times New Roman" w:hAnsi="Times New Roman" w:cs="Times New Roman"/>
              </w:rPr>
              <w:t>correction, data framing, modulation and emission methods for digital terrestrial television broadcasting</w:t>
            </w:r>
          </w:p>
        </w:tc>
      </w:tr>
      <w:tr w:rsidR="00F870B3" w:rsidRPr="00C054C3" w14:paraId="69A63F08" w14:textId="77777777" w:rsidTr="00292862">
        <w:tc>
          <w:tcPr>
            <w:tcW w:w="3681" w:type="dxa"/>
          </w:tcPr>
          <w:p w14:paraId="736910DC"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3" w:history="1">
              <w:r w:rsidRPr="00C054C3">
                <w:rPr>
                  <w:rStyle w:val="Hyperlink"/>
                  <w:rFonts w:ascii="Times New Roman" w:hAnsi="Times New Roman" w:cs="Times New Roman"/>
                  <w:color w:val="auto"/>
                  <w:u w:val="none"/>
                </w:rPr>
                <w:t>ITU-R BT.1701</w:t>
              </w:r>
            </w:hyperlink>
          </w:p>
        </w:tc>
        <w:tc>
          <w:tcPr>
            <w:tcW w:w="5948" w:type="dxa"/>
          </w:tcPr>
          <w:p w14:paraId="20B8B937"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Characteristics of radiated signals of conventional analogue television systems</w:t>
            </w:r>
          </w:p>
        </w:tc>
      </w:tr>
      <w:tr w:rsidR="00F870B3" w:rsidRPr="00C054C3" w14:paraId="1CAD2665" w14:textId="77777777" w:rsidTr="00292862">
        <w:tc>
          <w:tcPr>
            <w:tcW w:w="3681" w:type="dxa"/>
          </w:tcPr>
          <w:p w14:paraId="29CCFDC2"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4" w:history="1">
              <w:r w:rsidRPr="00C054C3">
                <w:rPr>
                  <w:rStyle w:val="Hyperlink"/>
                  <w:rFonts w:ascii="Times New Roman" w:hAnsi="Times New Roman" w:cs="Times New Roman"/>
                  <w:color w:val="auto"/>
                  <w:u w:val="none"/>
                </w:rPr>
                <w:t>ITU-R BT.1735</w:t>
              </w:r>
            </w:hyperlink>
          </w:p>
        </w:tc>
        <w:tc>
          <w:tcPr>
            <w:tcW w:w="5948" w:type="dxa"/>
          </w:tcPr>
          <w:p w14:paraId="382FCBE0"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Methods for objective reception quality assessment of digital terrestrial television broadcasting signals of System B specified in Recommendation ITU-R BT.1306</w:t>
            </w:r>
          </w:p>
        </w:tc>
      </w:tr>
      <w:tr w:rsidR="00F870B3" w:rsidRPr="00C054C3" w14:paraId="65AB0C55" w14:textId="77777777" w:rsidTr="00292862">
        <w:tc>
          <w:tcPr>
            <w:tcW w:w="3681" w:type="dxa"/>
          </w:tcPr>
          <w:p w14:paraId="39A6B840"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5" w:history="1">
              <w:r w:rsidRPr="00C054C3">
                <w:rPr>
                  <w:rStyle w:val="Hyperlink"/>
                  <w:rFonts w:ascii="Times New Roman" w:hAnsi="Times New Roman" w:cs="Times New Roman"/>
                  <w:color w:val="auto"/>
                  <w:u w:val="none"/>
                </w:rPr>
                <w:t>ITU-R BT.1877</w:t>
              </w:r>
            </w:hyperlink>
          </w:p>
        </w:tc>
        <w:tc>
          <w:tcPr>
            <w:tcW w:w="5948" w:type="dxa"/>
          </w:tcPr>
          <w:p w14:paraId="4BF734A2"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Error-correction, data framing, modulation and emission methods for second generation of digital terrestrial television broadcasting systems</w:t>
            </w:r>
          </w:p>
        </w:tc>
      </w:tr>
      <w:tr w:rsidR="00F870B3" w:rsidRPr="00C054C3" w14:paraId="68798FD0" w14:textId="77777777" w:rsidTr="00292862">
        <w:tc>
          <w:tcPr>
            <w:tcW w:w="3681" w:type="dxa"/>
          </w:tcPr>
          <w:p w14:paraId="6E04FEC7"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6" w:history="1">
              <w:r w:rsidRPr="00C054C3">
                <w:rPr>
                  <w:rStyle w:val="Hyperlink"/>
                  <w:rFonts w:ascii="Times New Roman" w:hAnsi="Times New Roman" w:cs="Times New Roman"/>
                  <w:color w:val="auto"/>
                  <w:u w:val="none"/>
                </w:rPr>
                <w:t>ITU-R BT.2033</w:t>
              </w:r>
            </w:hyperlink>
          </w:p>
        </w:tc>
        <w:tc>
          <w:tcPr>
            <w:tcW w:w="5948" w:type="dxa"/>
          </w:tcPr>
          <w:p w14:paraId="50AF19B2"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Planning criteria, including protection ratios, for second generation of digital terrestrial television broadcasting systems in the VHF/UHF bands</w:t>
            </w:r>
          </w:p>
        </w:tc>
      </w:tr>
      <w:tr w:rsidR="00F870B3" w:rsidRPr="00C054C3" w14:paraId="16DC2D7E" w14:textId="77777777" w:rsidTr="00292862">
        <w:tc>
          <w:tcPr>
            <w:tcW w:w="3681" w:type="dxa"/>
          </w:tcPr>
          <w:p w14:paraId="1A8F09B6"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7" w:history="1">
              <w:r w:rsidRPr="00C054C3">
                <w:rPr>
                  <w:rStyle w:val="Hyperlink"/>
                  <w:rFonts w:ascii="Times New Roman" w:hAnsi="Times New Roman" w:cs="Times New Roman"/>
                  <w:color w:val="auto"/>
                  <w:u w:val="none"/>
                </w:rPr>
                <w:t>ITU-R P.1546</w:t>
              </w:r>
            </w:hyperlink>
          </w:p>
        </w:tc>
        <w:tc>
          <w:tcPr>
            <w:tcW w:w="5948" w:type="dxa"/>
          </w:tcPr>
          <w:p w14:paraId="7C745B36"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Method for point-to-area predictions for terrestrial services in the frequency range 30 MHz to 3 000 MHz</w:t>
            </w:r>
          </w:p>
        </w:tc>
      </w:tr>
      <w:tr w:rsidR="00F870B3" w:rsidRPr="00C054C3" w14:paraId="436BEFBF" w14:textId="77777777" w:rsidTr="00292862">
        <w:tc>
          <w:tcPr>
            <w:tcW w:w="3681" w:type="dxa"/>
          </w:tcPr>
          <w:p w14:paraId="17C9EC74" w14:textId="15399FCF"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8" w:history="1">
              <w:r w:rsidRPr="00C054C3">
                <w:rPr>
                  <w:rStyle w:val="Hyperlink"/>
                  <w:rFonts w:ascii="Times New Roman" w:hAnsi="Times New Roman" w:cs="Times New Roman"/>
                  <w:color w:val="auto"/>
                  <w:u w:val="none"/>
                </w:rPr>
                <w:t>ITU-R P.1812</w:t>
              </w:r>
            </w:hyperlink>
          </w:p>
        </w:tc>
        <w:tc>
          <w:tcPr>
            <w:tcW w:w="5948" w:type="dxa"/>
          </w:tcPr>
          <w:p w14:paraId="3880E207"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 path-specific propagation prediction method for point-to-area terrestrial services in the VHF and UHF bands</w:t>
            </w:r>
          </w:p>
        </w:tc>
      </w:tr>
      <w:tr w:rsidR="00F870B3" w:rsidRPr="00C054C3" w14:paraId="142E4081" w14:textId="77777777" w:rsidTr="00292862">
        <w:tc>
          <w:tcPr>
            <w:tcW w:w="3681" w:type="dxa"/>
          </w:tcPr>
          <w:p w14:paraId="1ED95DFC" w14:textId="0729446F"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59" w:history="1">
              <w:r w:rsidRPr="00C054C3">
                <w:rPr>
                  <w:rStyle w:val="Hyperlink"/>
                  <w:rFonts w:ascii="Times New Roman" w:hAnsi="Times New Roman" w:cs="Times New Roman"/>
                  <w:color w:val="auto"/>
                  <w:u w:val="none"/>
                </w:rPr>
                <w:t>ITU-R P.2001</w:t>
              </w:r>
            </w:hyperlink>
          </w:p>
        </w:tc>
        <w:tc>
          <w:tcPr>
            <w:tcW w:w="5948" w:type="dxa"/>
          </w:tcPr>
          <w:p w14:paraId="13F76018"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 general purpose wide-range terrestrial propagation model in the frequency range 30 MHz to 50 GHz</w:t>
            </w:r>
          </w:p>
        </w:tc>
      </w:tr>
      <w:tr w:rsidR="00F870B3" w:rsidRPr="00C054C3" w14:paraId="109A0F88" w14:textId="77777777" w:rsidTr="00292862">
        <w:tc>
          <w:tcPr>
            <w:tcW w:w="3681" w:type="dxa"/>
          </w:tcPr>
          <w:p w14:paraId="4D6D48CA"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60" w:history="1">
              <w:r w:rsidRPr="00C054C3">
                <w:rPr>
                  <w:rStyle w:val="Hyperlink"/>
                  <w:rFonts w:ascii="Times New Roman" w:hAnsi="Times New Roman" w:cs="Times New Roman"/>
                  <w:color w:val="auto"/>
                  <w:u w:val="none"/>
                </w:rPr>
                <w:t>ITU-R SM.1682</w:t>
              </w:r>
            </w:hyperlink>
          </w:p>
        </w:tc>
        <w:tc>
          <w:tcPr>
            <w:tcW w:w="5948" w:type="dxa"/>
          </w:tcPr>
          <w:p w14:paraId="748E4280"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Methods for measurements on digital broadcasting signals</w:t>
            </w:r>
          </w:p>
        </w:tc>
      </w:tr>
      <w:tr w:rsidR="00F870B3" w:rsidRPr="00C054C3" w14:paraId="2F75CCE1" w14:textId="77777777" w:rsidTr="00292862">
        <w:tc>
          <w:tcPr>
            <w:tcW w:w="3681" w:type="dxa"/>
          </w:tcPr>
          <w:p w14:paraId="01527E98"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Recommendation </w:t>
            </w:r>
            <w:hyperlink r:id="rId61" w:history="1">
              <w:r w:rsidRPr="00C054C3">
                <w:rPr>
                  <w:rStyle w:val="Hyperlink"/>
                  <w:rFonts w:ascii="Times New Roman" w:hAnsi="Times New Roman" w:cs="Times New Roman"/>
                  <w:color w:val="auto"/>
                  <w:u w:val="none"/>
                </w:rPr>
                <w:t>ITU-R SM.1875</w:t>
              </w:r>
            </w:hyperlink>
          </w:p>
        </w:tc>
        <w:tc>
          <w:tcPr>
            <w:tcW w:w="5948" w:type="dxa"/>
          </w:tcPr>
          <w:p w14:paraId="54CF4ACF"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DVB-T coverage measurements and verification of planning criteria</w:t>
            </w:r>
          </w:p>
        </w:tc>
      </w:tr>
      <w:tr w:rsidR="00F870B3" w:rsidRPr="00C054C3" w14:paraId="46B69A1B" w14:textId="77777777" w:rsidTr="00292862">
        <w:tc>
          <w:tcPr>
            <w:tcW w:w="3681" w:type="dxa"/>
          </w:tcPr>
          <w:p w14:paraId="5541A556"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2" w:history="1">
              <w:r w:rsidRPr="00C054C3">
                <w:rPr>
                  <w:rStyle w:val="Hyperlink"/>
                  <w:rFonts w:ascii="Times New Roman" w:hAnsi="Times New Roman" w:cs="Times New Roman"/>
                  <w:color w:val="auto"/>
                  <w:u w:val="none"/>
                </w:rPr>
                <w:t>ITU-R BT.2035</w:t>
              </w:r>
            </w:hyperlink>
          </w:p>
        </w:tc>
        <w:tc>
          <w:tcPr>
            <w:tcW w:w="5948" w:type="dxa"/>
          </w:tcPr>
          <w:p w14:paraId="5270A6AA"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Guidelines and techniques for the evaluation of digital terrestrial television broadcasting systems including assessment of their coverage areas</w:t>
            </w:r>
          </w:p>
        </w:tc>
      </w:tr>
      <w:tr w:rsidR="00F870B3" w:rsidRPr="00C054C3" w14:paraId="7949974F" w14:textId="77777777" w:rsidTr="00292862">
        <w:tc>
          <w:tcPr>
            <w:tcW w:w="3681" w:type="dxa"/>
          </w:tcPr>
          <w:p w14:paraId="6642C92F"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3" w:history="1">
              <w:r w:rsidRPr="00C054C3">
                <w:rPr>
                  <w:rStyle w:val="Hyperlink"/>
                  <w:rFonts w:ascii="Times New Roman" w:hAnsi="Times New Roman" w:cs="Times New Roman"/>
                  <w:color w:val="auto"/>
                  <w:u w:val="none"/>
                </w:rPr>
                <w:t>ITU-R BT.2043</w:t>
              </w:r>
            </w:hyperlink>
          </w:p>
        </w:tc>
        <w:tc>
          <w:tcPr>
            <w:tcW w:w="5948" w:type="dxa"/>
          </w:tcPr>
          <w:p w14:paraId="2B2D05F0"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Analogue television systems currently in use throughout the world</w:t>
            </w:r>
          </w:p>
        </w:tc>
      </w:tr>
      <w:tr w:rsidR="00F870B3" w:rsidRPr="00C054C3" w14:paraId="4359F09D" w14:textId="77777777" w:rsidTr="00292862">
        <w:tc>
          <w:tcPr>
            <w:tcW w:w="3681" w:type="dxa"/>
          </w:tcPr>
          <w:p w14:paraId="173EAAB6"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4" w:history="1">
              <w:r w:rsidRPr="00C054C3">
                <w:rPr>
                  <w:rStyle w:val="Hyperlink"/>
                  <w:rFonts w:ascii="Times New Roman" w:hAnsi="Times New Roman" w:cs="Times New Roman"/>
                  <w:color w:val="auto"/>
                  <w:u w:val="none"/>
                </w:rPr>
                <w:t>ITU-R BT.2137</w:t>
              </w:r>
            </w:hyperlink>
          </w:p>
        </w:tc>
        <w:tc>
          <w:tcPr>
            <w:tcW w:w="5948" w:type="dxa"/>
          </w:tcPr>
          <w:p w14:paraId="5A27C914"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Coverage prediction methods and planning software for digital terrestrial television broadcasting (DTTB) networks</w:t>
            </w:r>
          </w:p>
        </w:tc>
      </w:tr>
      <w:tr w:rsidR="00F870B3" w:rsidRPr="00C054C3" w14:paraId="5F560C36" w14:textId="77777777" w:rsidTr="00292862">
        <w:tc>
          <w:tcPr>
            <w:tcW w:w="3681" w:type="dxa"/>
          </w:tcPr>
          <w:p w14:paraId="6C708389"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5" w:history="1">
              <w:r w:rsidRPr="00C054C3">
                <w:rPr>
                  <w:rStyle w:val="Hyperlink"/>
                  <w:rFonts w:ascii="Times New Roman" w:hAnsi="Times New Roman" w:cs="Times New Roman"/>
                  <w:color w:val="auto"/>
                  <w:u w:val="none"/>
                </w:rPr>
                <w:t>ITU-R BT.2140</w:t>
              </w:r>
            </w:hyperlink>
          </w:p>
        </w:tc>
        <w:tc>
          <w:tcPr>
            <w:tcW w:w="5948" w:type="dxa"/>
          </w:tcPr>
          <w:p w14:paraId="33730A11"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Transition from analogue to digital terrestrial broadcasting</w:t>
            </w:r>
          </w:p>
        </w:tc>
      </w:tr>
      <w:tr w:rsidR="00F870B3" w:rsidRPr="00C054C3" w14:paraId="6D1C0F08" w14:textId="77777777" w:rsidTr="00292862">
        <w:tc>
          <w:tcPr>
            <w:tcW w:w="3681" w:type="dxa"/>
          </w:tcPr>
          <w:p w14:paraId="031F4BE3"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6" w:history="1">
              <w:r w:rsidRPr="00C054C3">
                <w:rPr>
                  <w:rStyle w:val="Hyperlink"/>
                  <w:rFonts w:ascii="Times New Roman" w:hAnsi="Times New Roman" w:cs="Times New Roman"/>
                  <w:color w:val="auto"/>
                  <w:u w:val="none"/>
                </w:rPr>
                <w:t>ITU-R BT.2143</w:t>
              </w:r>
            </w:hyperlink>
          </w:p>
        </w:tc>
        <w:tc>
          <w:tcPr>
            <w:tcW w:w="5948" w:type="dxa"/>
          </w:tcPr>
          <w:p w14:paraId="62AEF5E4"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Boundary coverage assessment of digital terrestrial television broadcasting signals</w:t>
            </w:r>
          </w:p>
        </w:tc>
      </w:tr>
      <w:tr w:rsidR="00F870B3" w:rsidRPr="00C054C3" w14:paraId="66D1D575" w14:textId="77777777" w:rsidTr="00292862">
        <w:tc>
          <w:tcPr>
            <w:tcW w:w="3681" w:type="dxa"/>
          </w:tcPr>
          <w:p w14:paraId="6879A9A1"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7" w:history="1">
              <w:r w:rsidRPr="00C054C3">
                <w:rPr>
                  <w:rStyle w:val="Hyperlink"/>
                  <w:rFonts w:ascii="Times New Roman" w:hAnsi="Times New Roman" w:cs="Times New Roman"/>
                  <w:color w:val="auto"/>
                  <w:u w:val="none"/>
                </w:rPr>
                <w:t>ITU-R BT.2252</w:t>
              </w:r>
            </w:hyperlink>
          </w:p>
        </w:tc>
        <w:tc>
          <w:tcPr>
            <w:tcW w:w="5948" w:type="dxa"/>
          </w:tcPr>
          <w:p w14:paraId="1E6D6BEB"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Objective quality coverage assessment of digital terrestrial television broadcasting signals of Systems A, B and D</w:t>
            </w:r>
          </w:p>
        </w:tc>
      </w:tr>
      <w:tr w:rsidR="00F870B3" w:rsidRPr="00C054C3" w14:paraId="47074444" w14:textId="77777777" w:rsidTr="00292862">
        <w:tc>
          <w:tcPr>
            <w:tcW w:w="3681" w:type="dxa"/>
          </w:tcPr>
          <w:p w14:paraId="1AF6E776"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8" w:history="1">
              <w:r w:rsidRPr="00C054C3">
                <w:rPr>
                  <w:rStyle w:val="Hyperlink"/>
                  <w:rFonts w:ascii="Times New Roman" w:hAnsi="Times New Roman" w:cs="Times New Roman"/>
                  <w:color w:val="auto"/>
                  <w:u w:val="none"/>
                </w:rPr>
                <w:t>ITU-R BT.2254</w:t>
              </w:r>
            </w:hyperlink>
          </w:p>
        </w:tc>
        <w:tc>
          <w:tcPr>
            <w:tcW w:w="5948" w:type="dxa"/>
          </w:tcPr>
          <w:p w14:paraId="0D1A5A4F"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Frequency and network planning aspects of DVB-T2</w:t>
            </w:r>
          </w:p>
        </w:tc>
      </w:tr>
      <w:tr w:rsidR="00F870B3" w:rsidRPr="00C054C3" w14:paraId="799D6673" w14:textId="77777777" w:rsidTr="00292862">
        <w:tc>
          <w:tcPr>
            <w:tcW w:w="3681" w:type="dxa"/>
          </w:tcPr>
          <w:p w14:paraId="7CD2CE0D"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69" w:history="1">
              <w:r w:rsidRPr="00C054C3">
                <w:rPr>
                  <w:rStyle w:val="Hyperlink"/>
                  <w:rFonts w:ascii="Times New Roman" w:hAnsi="Times New Roman" w:cs="Times New Roman"/>
                  <w:color w:val="auto"/>
                  <w:u w:val="none"/>
                </w:rPr>
                <w:t>ITU-R BT.2341</w:t>
              </w:r>
            </w:hyperlink>
          </w:p>
        </w:tc>
        <w:tc>
          <w:tcPr>
            <w:tcW w:w="5948" w:type="dxa"/>
          </w:tcPr>
          <w:p w14:paraId="3E37B166"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TV receiver subjective picture failure thresholds and the associated minimum quasi error free levels for good quality reception</w:t>
            </w:r>
          </w:p>
        </w:tc>
      </w:tr>
      <w:tr w:rsidR="00F870B3" w:rsidRPr="00C054C3" w14:paraId="0BDAD987" w14:textId="77777777" w:rsidTr="00292862">
        <w:tc>
          <w:tcPr>
            <w:tcW w:w="3681" w:type="dxa"/>
          </w:tcPr>
          <w:p w14:paraId="26704629" w14:textId="05518506"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lastRenderedPageBreak/>
              <w:t xml:space="preserve">Report </w:t>
            </w:r>
            <w:hyperlink r:id="rId70" w:history="1">
              <w:r w:rsidRPr="00C054C3">
                <w:rPr>
                  <w:rStyle w:val="Hyperlink"/>
                  <w:rFonts w:ascii="Times New Roman" w:hAnsi="Times New Roman" w:cs="Times New Roman"/>
                  <w:color w:val="auto"/>
                  <w:u w:val="none"/>
                </w:rPr>
                <w:t>ITU-R BT.2383</w:t>
              </w:r>
            </w:hyperlink>
          </w:p>
        </w:tc>
        <w:tc>
          <w:tcPr>
            <w:tcW w:w="5948" w:type="dxa"/>
          </w:tcPr>
          <w:p w14:paraId="3C405A74" w14:textId="3B58BDC2"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Typical frequency sharing characteristics for digital terrestrial television broadcasting systems in the frequency band 470</w:t>
            </w:r>
            <w:r w:rsidR="000761A2" w:rsidRPr="00C054C3">
              <w:rPr>
                <w:rFonts w:ascii="Times New Roman" w:hAnsi="Times New Roman" w:cs="Times New Roman"/>
              </w:rPr>
              <w:noBreakHyphen/>
            </w:r>
            <w:r w:rsidRPr="00C054C3">
              <w:rPr>
                <w:rFonts w:ascii="Times New Roman" w:hAnsi="Times New Roman" w:cs="Times New Roman"/>
              </w:rPr>
              <w:t>862</w:t>
            </w:r>
            <w:r w:rsidR="000761A2" w:rsidRPr="00C054C3">
              <w:rPr>
                <w:rFonts w:ascii="Times New Roman" w:hAnsi="Times New Roman" w:cs="Times New Roman"/>
              </w:rPr>
              <w:t> </w:t>
            </w:r>
            <w:r w:rsidRPr="00C054C3">
              <w:rPr>
                <w:rFonts w:ascii="Times New Roman" w:hAnsi="Times New Roman" w:cs="Times New Roman"/>
              </w:rPr>
              <w:t>MHz</w:t>
            </w:r>
          </w:p>
        </w:tc>
      </w:tr>
      <w:tr w:rsidR="00F870B3" w:rsidRPr="00C054C3" w14:paraId="00DF7227" w14:textId="77777777" w:rsidTr="00292862">
        <w:tc>
          <w:tcPr>
            <w:tcW w:w="3681" w:type="dxa"/>
          </w:tcPr>
          <w:p w14:paraId="65D7CB29"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71" w:history="1">
              <w:r w:rsidRPr="00C054C3">
                <w:rPr>
                  <w:rStyle w:val="Hyperlink"/>
                  <w:rFonts w:ascii="Times New Roman" w:hAnsi="Times New Roman" w:cs="Times New Roman"/>
                  <w:color w:val="auto"/>
                  <w:u w:val="none"/>
                </w:rPr>
                <w:t>ITU-R BT.2386</w:t>
              </w:r>
            </w:hyperlink>
          </w:p>
        </w:tc>
        <w:tc>
          <w:tcPr>
            <w:tcW w:w="5948" w:type="dxa"/>
          </w:tcPr>
          <w:p w14:paraId="2299C9CD"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Digital terrestrial broadcasting: Design and implementation of single frequency networks (SFN) </w:t>
            </w:r>
          </w:p>
        </w:tc>
      </w:tr>
      <w:tr w:rsidR="00F870B3" w:rsidRPr="00C054C3" w14:paraId="1BD65718" w14:textId="77777777" w:rsidTr="00292862">
        <w:tc>
          <w:tcPr>
            <w:tcW w:w="3681" w:type="dxa"/>
          </w:tcPr>
          <w:p w14:paraId="172AE9E2"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72" w:history="1">
              <w:r w:rsidRPr="00C054C3">
                <w:rPr>
                  <w:rStyle w:val="Hyperlink"/>
                  <w:rFonts w:ascii="Times New Roman" w:hAnsi="Times New Roman" w:cs="Times New Roman"/>
                  <w:color w:val="auto"/>
                  <w:u w:val="none"/>
                </w:rPr>
                <w:t>ITU-T BT.2389</w:t>
              </w:r>
            </w:hyperlink>
          </w:p>
        </w:tc>
        <w:tc>
          <w:tcPr>
            <w:tcW w:w="5948" w:type="dxa"/>
          </w:tcPr>
          <w:p w14:paraId="645B40EB"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Guidelines on measurements for digital terrestrial television broadcasting systems</w:t>
            </w:r>
          </w:p>
        </w:tc>
      </w:tr>
      <w:tr w:rsidR="00F870B3" w:rsidRPr="00C054C3" w14:paraId="541464A0" w14:textId="77777777" w:rsidTr="00292862">
        <w:tc>
          <w:tcPr>
            <w:tcW w:w="3681" w:type="dxa"/>
          </w:tcPr>
          <w:p w14:paraId="08D7FC1A"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73" w:history="1">
              <w:r w:rsidRPr="00C054C3">
                <w:rPr>
                  <w:rStyle w:val="Hyperlink"/>
                  <w:rFonts w:ascii="Times New Roman" w:hAnsi="Times New Roman" w:cs="Times New Roman"/>
                  <w:color w:val="auto"/>
                  <w:u w:val="none"/>
                </w:rPr>
                <w:t>ITU-R BT.2382</w:t>
              </w:r>
            </w:hyperlink>
          </w:p>
        </w:tc>
        <w:tc>
          <w:tcPr>
            <w:tcW w:w="5948" w:type="dxa"/>
          </w:tcPr>
          <w:p w14:paraId="60EF36C1"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Description of interference into a digital terrestrial television receiver</w:t>
            </w:r>
          </w:p>
        </w:tc>
      </w:tr>
      <w:tr w:rsidR="00F870B3" w:rsidRPr="00C054C3" w14:paraId="5874A131" w14:textId="77777777" w:rsidTr="00292862">
        <w:tc>
          <w:tcPr>
            <w:tcW w:w="3681" w:type="dxa"/>
          </w:tcPr>
          <w:p w14:paraId="2D653826"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 xml:space="preserve">Report </w:t>
            </w:r>
            <w:hyperlink r:id="rId74" w:history="1">
              <w:r w:rsidRPr="00C054C3">
                <w:rPr>
                  <w:rStyle w:val="Hyperlink"/>
                  <w:rFonts w:ascii="Times New Roman" w:hAnsi="Times New Roman" w:cs="Times New Roman"/>
                  <w:color w:val="auto"/>
                  <w:u w:val="none"/>
                </w:rPr>
                <w:t>ITU-R BT.2495</w:t>
              </w:r>
            </w:hyperlink>
          </w:p>
        </w:tc>
        <w:tc>
          <w:tcPr>
            <w:tcW w:w="5948" w:type="dxa"/>
          </w:tcPr>
          <w:p w14:paraId="1F27E478"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Methods for laboratory and field measurements for the assessment of ATSC 3.0 reception quality</w:t>
            </w:r>
          </w:p>
        </w:tc>
      </w:tr>
      <w:tr w:rsidR="00F870B3" w:rsidRPr="00C054C3" w14:paraId="2485CC77" w14:textId="77777777" w:rsidTr="00292862">
        <w:tblPrEx>
          <w:jc w:val="center"/>
        </w:tblPrEx>
        <w:trPr>
          <w:cantSplit/>
          <w:jc w:val="center"/>
        </w:trPr>
        <w:tc>
          <w:tcPr>
            <w:tcW w:w="3681" w:type="dxa"/>
          </w:tcPr>
          <w:p w14:paraId="0D58A73A"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ATSC Standard A53-2007</w:t>
            </w:r>
          </w:p>
        </w:tc>
        <w:tc>
          <w:tcPr>
            <w:tcW w:w="5948" w:type="dxa"/>
          </w:tcPr>
          <w:p w14:paraId="1D14080E"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ATSC Digital Television Standard</w:t>
            </w:r>
          </w:p>
        </w:tc>
      </w:tr>
      <w:tr w:rsidR="00F870B3" w:rsidRPr="00C054C3" w14:paraId="30A23319" w14:textId="77777777" w:rsidTr="00292862">
        <w:tblPrEx>
          <w:jc w:val="center"/>
        </w:tblPrEx>
        <w:trPr>
          <w:cantSplit/>
          <w:jc w:val="center"/>
        </w:trPr>
        <w:tc>
          <w:tcPr>
            <w:tcW w:w="3681" w:type="dxa"/>
          </w:tcPr>
          <w:p w14:paraId="3C01C0BB"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ATSC Standard A/300</w:t>
            </w:r>
          </w:p>
        </w:tc>
        <w:tc>
          <w:tcPr>
            <w:tcW w:w="5948" w:type="dxa"/>
          </w:tcPr>
          <w:p w14:paraId="2A4B950F"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ATSC 3.0 System</w:t>
            </w:r>
          </w:p>
        </w:tc>
      </w:tr>
      <w:tr w:rsidR="00F870B3" w:rsidRPr="00C054C3" w14:paraId="4D421B94" w14:textId="77777777" w:rsidTr="00292862">
        <w:tblPrEx>
          <w:jc w:val="center"/>
        </w:tblPrEx>
        <w:trPr>
          <w:cantSplit/>
          <w:jc w:val="center"/>
        </w:trPr>
        <w:tc>
          <w:tcPr>
            <w:tcW w:w="3681" w:type="dxa"/>
          </w:tcPr>
          <w:p w14:paraId="598F06F8"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ATSC Standard A/322</w:t>
            </w:r>
          </w:p>
        </w:tc>
        <w:tc>
          <w:tcPr>
            <w:tcW w:w="5948" w:type="dxa"/>
          </w:tcPr>
          <w:p w14:paraId="5F0B3D78"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ATSC 3.0 Physical Layer Protocol</w:t>
            </w:r>
          </w:p>
        </w:tc>
      </w:tr>
      <w:tr w:rsidR="00F870B3" w:rsidRPr="00C054C3" w14:paraId="53B0CACB" w14:textId="77777777" w:rsidTr="00292862">
        <w:tblPrEx>
          <w:jc w:val="center"/>
        </w:tblPrEx>
        <w:trPr>
          <w:cantSplit/>
          <w:jc w:val="center"/>
        </w:trPr>
        <w:tc>
          <w:tcPr>
            <w:tcW w:w="3681" w:type="dxa"/>
          </w:tcPr>
          <w:p w14:paraId="7C28E7AF"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ATSC Recommended Practice A/326</w:t>
            </w:r>
          </w:p>
        </w:tc>
        <w:tc>
          <w:tcPr>
            <w:tcW w:w="5948" w:type="dxa"/>
          </w:tcPr>
          <w:p w14:paraId="484D2C7E"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ATSC 3.0 Field Test Plan</w:t>
            </w:r>
          </w:p>
        </w:tc>
      </w:tr>
      <w:tr w:rsidR="00F870B3" w:rsidRPr="00C054C3" w14:paraId="06CAAD94" w14:textId="77777777" w:rsidTr="00292862">
        <w:tblPrEx>
          <w:jc w:val="center"/>
        </w:tblPrEx>
        <w:trPr>
          <w:cantSplit/>
          <w:jc w:val="center"/>
        </w:trPr>
        <w:tc>
          <w:tcPr>
            <w:tcW w:w="3681" w:type="dxa"/>
          </w:tcPr>
          <w:p w14:paraId="4060B29A" w14:textId="77777777" w:rsidR="00F870B3" w:rsidRPr="00C054C3" w:rsidRDefault="00F870B3" w:rsidP="00EA5F75">
            <w:pPr>
              <w:pStyle w:val="Reftext"/>
              <w:rPr>
                <w:rFonts w:ascii="Times New Roman" w:hAnsi="Times New Roman" w:cs="Times New Roman"/>
              </w:rPr>
            </w:pPr>
            <w:r w:rsidRPr="00C054C3">
              <w:rPr>
                <w:rFonts w:ascii="Times New Roman" w:hAnsi="Times New Roman" w:cs="Times New Roman"/>
              </w:rPr>
              <w:t>ATSC Recommended Practice A/327</w:t>
            </w:r>
          </w:p>
        </w:tc>
        <w:tc>
          <w:tcPr>
            <w:tcW w:w="5948" w:type="dxa"/>
          </w:tcPr>
          <w:p w14:paraId="58B08427" w14:textId="77777777" w:rsidR="00F870B3" w:rsidRPr="00C054C3" w:rsidRDefault="00F870B3" w:rsidP="00EA5F75">
            <w:pPr>
              <w:pStyle w:val="Reftext"/>
              <w:ind w:left="0" w:firstLine="0"/>
              <w:rPr>
                <w:rFonts w:ascii="Times New Roman" w:hAnsi="Times New Roman" w:cs="Times New Roman"/>
              </w:rPr>
            </w:pPr>
            <w:r w:rsidRPr="00C054C3">
              <w:rPr>
                <w:rFonts w:ascii="Times New Roman" w:hAnsi="Times New Roman" w:cs="Times New Roman"/>
              </w:rPr>
              <w:t>ATSC Guidelines for the Physical Layer Protocol</w:t>
            </w:r>
          </w:p>
        </w:tc>
      </w:tr>
    </w:tbl>
    <w:p w14:paraId="25A61664" w14:textId="77777777" w:rsidR="00D02D31" w:rsidRPr="00C054C3" w:rsidRDefault="00D02D31" w:rsidP="000761A2">
      <w:pPr>
        <w:pStyle w:val="Line"/>
        <w:spacing w:before="360"/>
      </w:pPr>
    </w:p>
    <w:sectPr w:rsidR="00D02D31" w:rsidRPr="00C054C3" w:rsidSect="00F870B3">
      <w:headerReference w:type="even" r:id="rId75"/>
      <w:headerReference w:type="default" r:id="rId76"/>
      <w:footerReference w:type="default" r:id="rId7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73F5" w14:textId="77777777" w:rsidR="00D02D31" w:rsidRDefault="00D02D31">
      <w:r>
        <w:separator/>
      </w:r>
    </w:p>
  </w:endnote>
  <w:endnote w:type="continuationSeparator" w:id="0">
    <w:p w14:paraId="39C3E60B" w14:textId="77777777" w:rsidR="00D02D31" w:rsidRDefault="00D0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5BC9" w14:textId="77777777" w:rsidR="00D02D31" w:rsidRDefault="00D02D31">
    <w:pPr>
      <w:pStyle w:val="Footer"/>
    </w:pPr>
    <w:r>
      <w:drawing>
        <wp:anchor distT="0" distB="0" distL="0" distR="0" simplePos="0" relativeHeight="251659264" behindDoc="0" locked="0" layoutInCell="1" allowOverlap="1" wp14:anchorId="2716D43C" wp14:editId="31D8D1E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D8B2" w14:textId="732B08A4" w:rsidR="00F870B3" w:rsidRDefault="00F8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3F3E" w14:textId="77777777" w:rsidR="00D02D31" w:rsidRDefault="00D02D31">
      <w:r>
        <w:separator/>
      </w:r>
    </w:p>
  </w:footnote>
  <w:footnote w:type="continuationSeparator" w:id="0">
    <w:p w14:paraId="0FB03087" w14:textId="77777777" w:rsidR="00D02D31" w:rsidRDefault="00D0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C7E0" w14:textId="77777777" w:rsidR="00D02D31" w:rsidRDefault="00D02D3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D02D31" w:rsidRPr="00A239D1" w14:paraId="3C86AE12" w14:textId="77777777" w:rsidTr="0019307B">
      <w:tc>
        <w:tcPr>
          <w:tcW w:w="4634" w:type="dxa"/>
          <w:vAlign w:val="center"/>
        </w:tcPr>
        <w:p w14:paraId="47350BB7" w14:textId="77777777" w:rsidR="00D02D31" w:rsidRPr="005B0371" w:rsidRDefault="00D02D31"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90F56ED" w14:textId="77777777" w:rsidR="00D02D31" w:rsidRPr="00260B24" w:rsidRDefault="00D02D31"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D02D31" w:rsidRPr="00A239D1" w14:paraId="1395985C" w14:textId="77777777" w:rsidTr="0019307B">
      <w:tc>
        <w:tcPr>
          <w:tcW w:w="4634" w:type="dxa"/>
          <w:vAlign w:val="center"/>
        </w:tcPr>
        <w:p w14:paraId="15D0B891" w14:textId="77777777" w:rsidR="00D02D31" w:rsidRPr="00260B24" w:rsidRDefault="00D02D31" w:rsidP="00744F8B">
          <w:pPr>
            <w:pStyle w:val="Header"/>
            <w:jc w:val="left"/>
            <w:rPr>
              <w:rFonts w:asciiTheme="minorBidi" w:hAnsiTheme="minorBidi"/>
              <w:spacing w:val="4"/>
              <w:sz w:val="21"/>
              <w:szCs w:val="21"/>
            </w:rPr>
          </w:pPr>
        </w:p>
      </w:tc>
      <w:tc>
        <w:tcPr>
          <w:tcW w:w="5998" w:type="dxa"/>
          <w:vAlign w:val="center"/>
        </w:tcPr>
        <w:p w14:paraId="034545DB" w14:textId="77777777" w:rsidR="00D02D31" w:rsidRPr="00260B24" w:rsidRDefault="00D02D31"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D02C4EF" w14:textId="77777777" w:rsidR="00D02D31" w:rsidRDefault="00D02D31"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F103F18" wp14:editId="1D5154E3">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543241C9" wp14:editId="27129423">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16E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E49E88E" w14:textId="77777777" w:rsidR="00D02D31" w:rsidRDefault="00D02D31"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0EC9CD92" wp14:editId="6EE01F1F">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B2873" id="Group 7" o:spid="_x0000_s1026" alt="Header separation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DA79" w14:textId="350BCCBF" w:rsidR="00D02D31" w:rsidRPr="00D72623" w:rsidRDefault="00D02D31"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2"  \* MERGEFORMAT </w:instrText>
    </w:r>
    <w:r>
      <w:rPr>
        <w:b/>
        <w:bCs/>
        <w:lang w:val="en-US"/>
      </w:rPr>
      <w:fldChar w:fldCharType="separate"/>
    </w:r>
    <w:r w:rsidR="00053AA2">
      <w:rPr>
        <w:b/>
        <w:bCs/>
        <w:lang w:val="en-US"/>
      </w:rPr>
      <w:t xml:space="preserve">Rep.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053AA2">
      <w:rPr>
        <w:b/>
        <w:bCs/>
        <w:noProof/>
        <w:lang w:val="en-US"/>
      </w:rPr>
      <w:t>ITU-R  BT.2468-2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A808" w14:textId="7331896A" w:rsidR="00D02D31" w:rsidRDefault="00D02D31">
    <w:pPr>
      <w:pStyle w:val="Header"/>
    </w:pPr>
    <w:r>
      <w:tab/>
    </w:r>
    <w:r>
      <w:rPr>
        <w:b/>
        <w:bCs/>
      </w:rPr>
      <w:fldChar w:fldCharType="begin"/>
    </w:r>
    <w:r>
      <w:rPr>
        <w:b/>
        <w:bCs/>
      </w:rPr>
      <w:instrText xml:space="preserve"> DOCPROPERTY  "Header 2"  \* MERGEFORMAT </w:instrText>
    </w:r>
    <w:r>
      <w:rPr>
        <w:b/>
        <w:bCs/>
      </w:rPr>
      <w:fldChar w:fldCharType="separate"/>
    </w:r>
    <w:r w:rsidR="00053AA2">
      <w:rPr>
        <w:b/>
        <w:bCs/>
      </w:rPr>
      <w:t xml:space="preserve">Rep. </w:t>
    </w:r>
    <w:r>
      <w:rPr>
        <w:b/>
        <w:bCs/>
      </w:rPr>
      <w:fldChar w:fldCharType="end"/>
    </w:r>
    <w:r>
      <w:rPr>
        <w:b/>
        <w:bCs/>
      </w:rPr>
      <w:t xml:space="preserve"> </w:t>
    </w:r>
    <w:r>
      <w:rPr>
        <w:b/>
        <w:bCs/>
      </w:rPr>
      <w:fldChar w:fldCharType="begin"/>
    </w:r>
    <w:r>
      <w:rPr>
        <w:b/>
        <w:bCs/>
      </w:rPr>
      <w:instrText>styleref href</w:instrText>
    </w:r>
    <w:r>
      <w:rPr>
        <w:b/>
        <w:bCs/>
      </w:rPr>
      <w:fldChar w:fldCharType="separate"/>
    </w:r>
    <w:r w:rsidR="00053AA2">
      <w:rPr>
        <w:b/>
        <w:bCs/>
        <w:noProof/>
      </w:rPr>
      <w:t>ITU-R  BT.2468-2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4863" w14:textId="195C109D"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DE245D" w:rsidRPr="00DE245D">
      <w:rPr>
        <w:b/>
        <w:bCs/>
      </w:rPr>
      <w:t xml:space="preserve">Rep. </w:t>
    </w:r>
    <w:r>
      <w:rPr>
        <w:b/>
        <w:bCs/>
      </w:rPr>
      <w:fldChar w:fldCharType="begin"/>
    </w:r>
    <w:r>
      <w:rPr>
        <w:b/>
        <w:bCs/>
        <w:lang w:val="en-US"/>
      </w:rPr>
      <w:instrText>styleref href</w:instrText>
    </w:r>
    <w:r>
      <w:rPr>
        <w:b/>
        <w:bCs/>
      </w:rPr>
      <w:fldChar w:fldCharType="separate"/>
    </w:r>
    <w:r w:rsidR="00053AA2">
      <w:rPr>
        <w:b/>
        <w:bCs/>
        <w:noProof/>
        <w:lang w:val="en-US"/>
      </w:rPr>
      <w:t>ITU-R  BT.2468-2</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2BD6" w14:textId="6E7DC5B5" w:rsidR="00607D68" w:rsidRDefault="00607D68">
    <w:pPr>
      <w:pStyle w:val="Header"/>
    </w:pPr>
    <w:r>
      <w:tab/>
    </w:r>
    <w:r w:rsidR="00DE245D" w:rsidRPr="00DE245D">
      <w:rPr>
        <w:b/>
        <w:bCs/>
      </w:rPr>
      <w:t xml:space="preserve">Rep. </w:t>
    </w:r>
    <w:r>
      <w:rPr>
        <w:b/>
        <w:bCs/>
      </w:rPr>
      <w:fldChar w:fldCharType="begin"/>
    </w:r>
    <w:r>
      <w:rPr>
        <w:b/>
        <w:bCs/>
      </w:rPr>
      <w:instrText>styleref href</w:instrText>
    </w:r>
    <w:r>
      <w:rPr>
        <w:b/>
        <w:bCs/>
      </w:rPr>
      <w:fldChar w:fldCharType="separate"/>
    </w:r>
    <w:r w:rsidR="00053AA2">
      <w:rPr>
        <w:b/>
        <w:bCs/>
        <w:noProof/>
      </w:rPr>
      <w:t>ITU-R  BT.2468-2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31"/>
    <w:rsid w:val="00013479"/>
    <w:rsid w:val="00053AA2"/>
    <w:rsid w:val="000634F3"/>
    <w:rsid w:val="000761A2"/>
    <w:rsid w:val="000F7D53"/>
    <w:rsid w:val="00104A58"/>
    <w:rsid w:val="00110ED6"/>
    <w:rsid w:val="00153A25"/>
    <w:rsid w:val="001A4B30"/>
    <w:rsid w:val="001B5017"/>
    <w:rsid w:val="001E663C"/>
    <w:rsid w:val="00217EBF"/>
    <w:rsid w:val="00227448"/>
    <w:rsid w:val="00242AEE"/>
    <w:rsid w:val="002D76C4"/>
    <w:rsid w:val="002E44A9"/>
    <w:rsid w:val="002F4878"/>
    <w:rsid w:val="00334C7C"/>
    <w:rsid w:val="0034404E"/>
    <w:rsid w:val="003859EC"/>
    <w:rsid w:val="0038682F"/>
    <w:rsid w:val="003F69F1"/>
    <w:rsid w:val="004815BC"/>
    <w:rsid w:val="0052529D"/>
    <w:rsid w:val="005957DA"/>
    <w:rsid w:val="00600DE8"/>
    <w:rsid w:val="0060454E"/>
    <w:rsid w:val="00607D68"/>
    <w:rsid w:val="006259BA"/>
    <w:rsid w:val="007108E0"/>
    <w:rsid w:val="00732102"/>
    <w:rsid w:val="00734E03"/>
    <w:rsid w:val="007468DA"/>
    <w:rsid w:val="00752BAD"/>
    <w:rsid w:val="007963D8"/>
    <w:rsid w:val="007A33F8"/>
    <w:rsid w:val="007D35B3"/>
    <w:rsid w:val="008646C1"/>
    <w:rsid w:val="00903FA5"/>
    <w:rsid w:val="009E00A8"/>
    <w:rsid w:val="00A42CA2"/>
    <w:rsid w:val="00A6617B"/>
    <w:rsid w:val="00AA438B"/>
    <w:rsid w:val="00AB0DC8"/>
    <w:rsid w:val="00AD5E92"/>
    <w:rsid w:val="00B02066"/>
    <w:rsid w:val="00B12C5E"/>
    <w:rsid w:val="00B44E24"/>
    <w:rsid w:val="00B9006C"/>
    <w:rsid w:val="00C054C3"/>
    <w:rsid w:val="00C17271"/>
    <w:rsid w:val="00D02D31"/>
    <w:rsid w:val="00D24F67"/>
    <w:rsid w:val="00D84EA1"/>
    <w:rsid w:val="00DC2B47"/>
    <w:rsid w:val="00DE245D"/>
    <w:rsid w:val="00DE51C4"/>
    <w:rsid w:val="00DF4176"/>
    <w:rsid w:val="00E84881"/>
    <w:rsid w:val="00EA5F75"/>
    <w:rsid w:val="00EA66E6"/>
    <w:rsid w:val="00EB36E6"/>
    <w:rsid w:val="00EE47C4"/>
    <w:rsid w:val="00F870B3"/>
    <w:rsid w:val="00FE0B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C1A26"/>
  <w15:docId w15:val="{4D4DD8E8-7FE1-4E8B-96F9-BFE22D91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D3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02D31"/>
    <w:pPr>
      <w:keepNext/>
      <w:keepLines/>
      <w:spacing w:before="480"/>
      <w:ind w:left="794" w:hanging="794"/>
      <w:outlineLvl w:val="0"/>
    </w:pPr>
    <w:rPr>
      <w:b/>
    </w:rPr>
  </w:style>
  <w:style w:type="paragraph" w:styleId="Heading2">
    <w:name w:val="heading 2"/>
    <w:basedOn w:val="Heading1"/>
    <w:next w:val="Normal"/>
    <w:link w:val="Heading2Char"/>
    <w:qFormat/>
    <w:rsid w:val="00D02D31"/>
    <w:pPr>
      <w:spacing w:before="320"/>
      <w:outlineLvl w:val="1"/>
    </w:pPr>
  </w:style>
  <w:style w:type="paragraph" w:styleId="Heading3">
    <w:name w:val="heading 3"/>
    <w:basedOn w:val="Heading1"/>
    <w:next w:val="Normal"/>
    <w:qFormat/>
    <w:rsid w:val="00D02D31"/>
    <w:pPr>
      <w:spacing w:before="200"/>
      <w:outlineLvl w:val="2"/>
    </w:pPr>
  </w:style>
  <w:style w:type="paragraph" w:styleId="Heading4">
    <w:name w:val="heading 4"/>
    <w:basedOn w:val="Heading3"/>
    <w:next w:val="Normal"/>
    <w:qFormat/>
    <w:rsid w:val="00D02D31"/>
    <w:pPr>
      <w:tabs>
        <w:tab w:val="clear" w:pos="794"/>
        <w:tab w:val="left" w:pos="992"/>
      </w:tabs>
      <w:ind w:left="992" w:hanging="992"/>
      <w:outlineLvl w:val="3"/>
    </w:pPr>
  </w:style>
  <w:style w:type="paragraph" w:styleId="Heading5">
    <w:name w:val="heading 5"/>
    <w:basedOn w:val="Heading4"/>
    <w:next w:val="Normal"/>
    <w:qFormat/>
    <w:rsid w:val="00D02D31"/>
    <w:pPr>
      <w:outlineLvl w:val="4"/>
    </w:pPr>
  </w:style>
  <w:style w:type="paragraph" w:styleId="Heading6">
    <w:name w:val="heading 6"/>
    <w:basedOn w:val="Heading4"/>
    <w:next w:val="Normal"/>
    <w:qFormat/>
    <w:rsid w:val="00D02D31"/>
    <w:pPr>
      <w:tabs>
        <w:tab w:val="clear" w:pos="992"/>
        <w:tab w:val="clear" w:pos="1191"/>
      </w:tabs>
      <w:ind w:left="1588" w:hanging="1588"/>
      <w:outlineLvl w:val="5"/>
    </w:pPr>
  </w:style>
  <w:style w:type="paragraph" w:styleId="Heading7">
    <w:name w:val="heading 7"/>
    <w:basedOn w:val="Heading6"/>
    <w:next w:val="Normal"/>
    <w:qFormat/>
    <w:rsid w:val="00D02D31"/>
    <w:pPr>
      <w:outlineLvl w:val="6"/>
    </w:pPr>
  </w:style>
  <w:style w:type="paragraph" w:styleId="Heading8">
    <w:name w:val="heading 8"/>
    <w:basedOn w:val="Heading6"/>
    <w:next w:val="Normal"/>
    <w:qFormat/>
    <w:rsid w:val="00D02D31"/>
    <w:pPr>
      <w:outlineLvl w:val="7"/>
    </w:pPr>
  </w:style>
  <w:style w:type="paragraph" w:styleId="Heading9">
    <w:name w:val="heading 9"/>
    <w:basedOn w:val="Heading6"/>
    <w:next w:val="Normal"/>
    <w:qFormat/>
    <w:rsid w:val="00D02D3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2D3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D02D3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02D31"/>
  </w:style>
  <w:style w:type="paragraph" w:customStyle="1" w:styleId="Headingb">
    <w:name w:val="Heading_b"/>
    <w:basedOn w:val="Heading3"/>
    <w:next w:val="Normal"/>
    <w:link w:val="HeadingbChar"/>
    <w:rsid w:val="00D02D31"/>
    <w:pPr>
      <w:spacing w:before="160"/>
      <w:ind w:left="0" w:firstLine="0"/>
      <w:outlineLvl w:val="9"/>
    </w:pPr>
  </w:style>
  <w:style w:type="paragraph" w:customStyle="1" w:styleId="Headingi">
    <w:name w:val="Heading_i"/>
    <w:basedOn w:val="Heading3"/>
    <w:next w:val="Normal"/>
    <w:rsid w:val="00D02D31"/>
    <w:pPr>
      <w:spacing w:before="160"/>
      <w:ind w:left="0" w:firstLine="0"/>
    </w:pPr>
    <w:rPr>
      <w:b w:val="0"/>
      <w:i/>
    </w:rPr>
  </w:style>
  <w:style w:type="character" w:customStyle="1" w:styleId="href">
    <w:name w:val="href"/>
    <w:basedOn w:val="DefaultParagraphFont"/>
    <w:rsid w:val="00D02D31"/>
  </w:style>
  <w:style w:type="paragraph" w:customStyle="1" w:styleId="enumlev1">
    <w:name w:val="enumlev1"/>
    <w:basedOn w:val="Normal"/>
    <w:link w:val="enumlev1Char"/>
    <w:rsid w:val="00D02D31"/>
    <w:pPr>
      <w:spacing w:before="80"/>
      <w:ind w:left="794" w:hanging="794"/>
    </w:pPr>
  </w:style>
  <w:style w:type="paragraph" w:customStyle="1" w:styleId="enumlev2">
    <w:name w:val="enumlev2"/>
    <w:basedOn w:val="enumlev1"/>
    <w:rsid w:val="00D02D31"/>
    <w:pPr>
      <w:ind w:left="1191" w:hanging="397"/>
    </w:pPr>
  </w:style>
  <w:style w:type="paragraph" w:customStyle="1" w:styleId="enumlev3">
    <w:name w:val="enumlev3"/>
    <w:basedOn w:val="enumlev2"/>
    <w:rsid w:val="00D02D31"/>
    <w:pPr>
      <w:ind w:left="1588"/>
    </w:pPr>
  </w:style>
  <w:style w:type="paragraph" w:customStyle="1" w:styleId="Normalaftertitle">
    <w:name w:val="Normal_after_title"/>
    <w:basedOn w:val="Normal"/>
    <w:next w:val="Normal"/>
    <w:rsid w:val="00D02D31"/>
    <w:pPr>
      <w:spacing w:before="320"/>
    </w:pPr>
  </w:style>
  <w:style w:type="paragraph" w:customStyle="1" w:styleId="Note">
    <w:name w:val="Note"/>
    <w:basedOn w:val="Normal"/>
    <w:rsid w:val="00D02D31"/>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D02D31"/>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D02D31"/>
    <w:pPr>
      <w:spacing w:before="240"/>
    </w:pPr>
    <w:rPr>
      <w:sz w:val="22"/>
      <w:lang w:val="es-ES_tradnl"/>
    </w:rPr>
  </w:style>
  <w:style w:type="paragraph" w:customStyle="1" w:styleId="Recref">
    <w:name w:val="Rec_ref"/>
    <w:basedOn w:val="Normal"/>
    <w:next w:val="Recdate"/>
    <w:rsid w:val="00D02D31"/>
    <w:pPr>
      <w:jc w:val="center"/>
    </w:pPr>
  </w:style>
  <w:style w:type="paragraph" w:customStyle="1" w:styleId="Recdate">
    <w:name w:val="Rec_date"/>
    <w:basedOn w:val="Recref"/>
    <w:next w:val="Normalaftertitle"/>
    <w:rsid w:val="00D02D31"/>
    <w:pPr>
      <w:jc w:val="right"/>
    </w:pPr>
  </w:style>
  <w:style w:type="paragraph" w:customStyle="1" w:styleId="AnnexNoTitle">
    <w:name w:val="Annex_NoTitle"/>
    <w:basedOn w:val="Normal"/>
    <w:next w:val="Normalaftertitle"/>
    <w:rsid w:val="00D02D31"/>
    <w:pPr>
      <w:keepNext/>
      <w:keepLines/>
      <w:spacing w:before="480" w:after="80"/>
      <w:jc w:val="center"/>
    </w:pPr>
    <w:rPr>
      <w:b/>
      <w:sz w:val="28"/>
    </w:rPr>
  </w:style>
  <w:style w:type="paragraph" w:customStyle="1" w:styleId="AppendixNoTitle">
    <w:name w:val="Appendix_NoTitle"/>
    <w:basedOn w:val="AnnexNoTitle"/>
    <w:next w:val="Normal"/>
    <w:rsid w:val="00D02D31"/>
  </w:style>
  <w:style w:type="paragraph" w:customStyle="1" w:styleId="Tablefin">
    <w:name w:val="Table_fin"/>
    <w:basedOn w:val="Normal"/>
    <w:next w:val="Normal"/>
    <w:rsid w:val="00D02D31"/>
    <w:pPr>
      <w:spacing w:before="0"/>
    </w:pPr>
    <w:rPr>
      <w:sz w:val="20"/>
    </w:rPr>
  </w:style>
  <w:style w:type="paragraph" w:customStyle="1" w:styleId="Tablehead">
    <w:name w:val="Table_head"/>
    <w:basedOn w:val="Normal"/>
    <w:next w:val="Normal"/>
    <w:link w:val="TableheadChar"/>
    <w:rsid w:val="00D02D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02D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02D31"/>
    <w:pPr>
      <w:keepNext/>
      <w:spacing w:before="360" w:after="120"/>
      <w:jc w:val="center"/>
    </w:pPr>
  </w:style>
  <w:style w:type="paragraph" w:customStyle="1" w:styleId="Tabletext">
    <w:name w:val="Table_text"/>
    <w:basedOn w:val="Normal"/>
    <w:link w:val="TabletextChar"/>
    <w:rsid w:val="00D02D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02D31"/>
    <w:pPr>
      <w:tabs>
        <w:tab w:val="clear" w:pos="1191"/>
        <w:tab w:val="clear" w:pos="1588"/>
        <w:tab w:val="clear" w:pos="1985"/>
        <w:tab w:val="center" w:pos="4820"/>
        <w:tab w:val="right" w:pos="9639"/>
      </w:tabs>
    </w:pPr>
  </w:style>
  <w:style w:type="paragraph" w:customStyle="1" w:styleId="Equationlegend">
    <w:name w:val="Equation_legend"/>
    <w:basedOn w:val="NormalIndent"/>
    <w:rsid w:val="00D02D3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02D31"/>
    <w:pPr>
      <w:ind w:left="794"/>
    </w:pPr>
  </w:style>
  <w:style w:type="paragraph" w:customStyle="1" w:styleId="Figurelegend">
    <w:name w:val="Figure_legend"/>
    <w:basedOn w:val="Normal"/>
    <w:rsid w:val="00D02D3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02D31"/>
    <w:pPr>
      <w:keepNext/>
      <w:keepLines/>
      <w:spacing w:before="480" w:after="80"/>
      <w:jc w:val="center"/>
    </w:pPr>
    <w:rPr>
      <w:caps/>
      <w:sz w:val="18"/>
    </w:rPr>
  </w:style>
  <w:style w:type="paragraph" w:customStyle="1" w:styleId="tocpart">
    <w:name w:val="tocpart"/>
    <w:basedOn w:val="Normal"/>
    <w:rsid w:val="00D02D3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02D31"/>
    <w:pPr>
      <w:keepNext/>
      <w:keepLines/>
      <w:spacing w:before="480"/>
      <w:jc w:val="center"/>
    </w:pPr>
    <w:rPr>
      <w:sz w:val="28"/>
    </w:rPr>
  </w:style>
  <w:style w:type="paragraph" w:customStyle="1" w:styleId="Arttitle">
    <w:name w:val="Art_title"/>
    <w:basedOn w:val="Normal"/>
    <w:next w:val="Normalaftertitle"/>
    <w:rsid w:val="00D02D31"/>
    <w:pPr>
      <w:keepNext/>
      <w:keepLines/>
      <w:spacing w:before="240"/>
      <w:jc w:val="center"/>
    </w:pPr>
    <w:rPr>
      <w:b/>
      <w:sz w:val="28"/>
    </w:rPr>
  </w:style>
  <w:style w:type="paragraph" w:customStyle="1" w:styleId="Blanc">
    <w:name w:val="Blanc"/>
    <w:basedOn w:val="Normal"/>
    <w:next w:val="Tabletext"/>
    <w:rsid w:val="00D02D31"/>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02D3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D02D31"/>
    <w:pPr>
      <w:keepNext/>
      <w:keepLines/>
      <w:spacing w:before="160"/>
      <w:ind w:left="794"/>
    </w:pPr>
    <w:rPr>
      <w:i/>
    </w:rPr>
  </w:style>
  <w:style w:type="paragraph" w:customStyle="1" w:styleId="ChapNo">
    <w:name w:val="Chap_No"/>
    <w:basedOn w:val="ArtNo"/>
    <w:next w:val="Chaptitle"/>
    <w:rsid w:val="00D02D31"/>
    <w:rPr>
      <w:b/>
    </w:rPr>
  </w:style>
  <w:style w:type="paragraph" w:customStyle="1" w:styleId="Chaptitle">
    <w:name w:val="Chap_title"/>
    <w:basedOn w:val="Arttitle"/>
    <w:next w:val="Normalaftertitle"/>
    <w:rsid w:val="00D02D31"/>
  </w:style>
  <w:style w:type="character" w:styleId="FootnoteReference">
    <w:name w:val="footnote reference"/>
    <w:basedOn w:val="DefaultParagraphFont"/>
    <w:semiHidden/>
    <w:rsid w:val="00D02D31"/>
    <w:rPr>
      <w:position w:val="6"/>
      <w:sz w:val="18"/>
    </w:rPr>
  </w:style>
  <w:style w:type="paragraph" w:styleId="FootnoteText">
    <w:name w:val="footnote text"/>
    <w:basedOn w:val="Normal"/>
    <w:semiHidden/>
    <w:rsid w:val="00D02D31"/>
    <w:pPr>
      <w:keepLines/>
      <w:tabs>
        <w:tab w:val="left" w:pos="255"/>
      </w:tabs>
      <w:ind w:left="255" w:hanging="255"/>
    </w:pPr>
    <w:rPr>
      <w:sz w:val="22"/>
    </w:rPr>
  </w:style>
  <w:style w:type="paragraph" w:styleId="Index1">
    <w:name w:val="index 1"/>
    <w:basedOn w:val="Normal"/>
    <w:next w:val="Normal"/>
    <w:semiHidden/>
    <w:rsid w:val="00D02D31"/>
  </w:style>
  <w:style w:type="paragraph" w:styleId="Index2">
    <w:name w:val="index 2"/>
    <w:basedOn w:val="Normal"/>
    <w:next w:val="Normal"/>
    <w:semiHidden/>
    <w:rsid w:val="00D02D31"/>
    <w:pPr>
      <w:ind w:left="283"/>
    </w:pPr>
  </w:style>
  <w:style w:type="paragraph" w:styleId="Index3">
    <w:name w:val="index 3"/>
    <w:basedOn w:val="Normal"/>
    <w:next w:val="Normal"/>
    <w:semiHidden/>
    <w:rsid w:val="00D02D31"/>
    <w:pPr>
      <w:ind w:left="566"/>
    </w:pPr>
  </w:style>
  <w:style w:type="paragraph" w:styleId="IndexHeading">
    <w:name w:val="index heading"/>
    <w:basedOn w:val="Normal"/>
    <w:next w:val="Index1"/>
    <w:semiHidden/>
    <w:rsid w:val="00D02D31"/>
  </w:style>
  <w:style w:type="paragraph" w:customStyle="1" w:styleId="Line">
    <w:name w:val="Line"/>
    <w:basedOn w:val="Normal"/>
    <w:next w:val="Normal"/>
    <w:rsid w:val="00D02D31"/>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02D3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02D31"/>
  </w:style>
  <w:style w:type="paragraph" w:customStyle="1" w:styleId="Partref">
    <w:name w:val="Part_ref"/>
    <w:basedOn w:val="Normal"/>
    <w:next w:val="Normal"/>
    <w:rsid w:val="00D02D31"/>
    <w:pPr>
      <w:keepNext/>
      <w:keepLines/>
      <w:spacing w:after="280"/>
      <w:jc w:val="center"/>
    </w:pPr>
  </w:style>
  <w:style w:type="paragraph" w:customStyle="1" w:styleId="Parttitle">
    <w:name w:val="Part_title"/>
    <w:basedOn w:val="Normal"/>
    <w:next w:val="Normalaftertitle"/>
    <w:rsid w:val="00D02D31"/>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02D31"/>
  </w:style>
  <w:style w:type="paragraph" w:customStyle="1" w:styleId="QuestionNo">
    <w:name w:val="Question_No"/>
    <w:basedOn w:val="RecNo"/>
    <w:next w:val="Normal"/>
    <w:rsid w:val="00D02D31"/>
  </w:style>
  <w:style w:type="paragraph" w:customStyle="1" w:styleId="Questionref">
    <w:name w:val="Question_ref"/>
    <w:basedOn w:val="Recref"/>
    <w:next w:val="Questiondate"/>
    <w:rsid w:val="00D02D31"/>
  </w:style>
  <w:style w:type="paragraph" w:customStyle="1" w:styleId="Questiontitle">
    <w:name w:val="Question_title"/>
    <w:basedOn w:val="Normal"/>
    <w:next w:val="Questionref"/>
    <w:rsid w:val="00D02D31"/>
  </w:style>
  <w:style w:type="paragraph" w:customStyle="1" w:styleId="Reftext">
    <w:name w:val="Ref_text"/>
    <w:basedOn w:val="Normal"/>
    <w:rsid w:val="00D02D31"/>
    <w:pPr>
      <w:ind w:left="794" w:hanging="794"/>
    </w:pPr>
    <w:rPr>
      <w:sz w:val="22"/>
    </w:rPr>
  </w:style>
  <w:style w:type="paragraph" w:customStyle="1" w:styleId="Reftitle">
    <w:name w:val="Ref_title"/>
    <w:basedOn w:val="Normal"/>
    <w:next w:val="Reftext"/>
    <w:rsid w:val="00D02D31"/>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02D31"/>
  </w:style>
  <w:style w:type="paragraph" w:customStyle="1" w:styleId="RepNo">
    <w:name w:val="Rep_No"/>
    <w:basedOn w:val="RecNo"/>
    <w:next w:val="Reptitle"/>
    <w:rsid w:val="00D02D31"/>
  </w:style>
  <w:style w:type="paragraph" w:customStyle="1" w:styleId="Repref">
    <w:name w:val="Rep_ref"/>
    <w:basedOn w:val="Recref"/>
    <w:next w:val="Repdate"/>
    <w:rsid w:val="00D02D31"/>
  </w:style>
  <w:style w:type="paragraph" w:customStyle="1" w:styleId="Reptitle">
    <w:name w:val="Rep_title"/>
    <w:basedOn w:val="Rectitle"/>
    <w:next w:val="Repref"/>
    <w:rsid w:val="00D02D31"/>
  </w:style>
  <w:style w:type="paragraph" w:customStyle="1" w:styleId="Resdate">
    <w:name w:val="Res_date"/>
    <w:basedOn w:val="Recdate"/>
    <w:next w:val="Normalaftertitle"/>
    <w:rsid w:val="00D02D31"/>
  </w:style>
  <w:style w:type="paragraph" w:customStyle="1" w:styleId="ResNo">
    <w:name w:val="Res_No"/>
    <w:basedOn w:val="RecNo"/>
    <w:next w:val="Restitle"/>
    <w:rsid w:val="00D02D31"/>
  </w:style>
  <w:style w:type="paragraph" w:customStyle="1" w:styleId="Resref">
    <w:name w:val="Res_ref"/>
    <w:basedOn w:val="Recref"/>
    <w:next w:val="Resdate"/>
    <w:rsid w:val="00D02D31"/>
  </w:style>
  <w:style w:type="paragraph" w:customStyle="1" w:styleId="Restitle">
    <w:name w:val="Res_title"/>
    <w:basedOn w:val="Normal"/>
    <w:next w:val="Resref"/>
    <w:rsid w:val="00D02D31"/>
    <w:pPr>
      <w:spacing w:before="240"/>
      <w:jc w:val="center"/>
    </w:pPr>
    <w:rPr>
      <w:b/>
      <w:sz w:val="28"/>
    </w:rPr>
  </w:style>
  <w:style w:type="paragraph" w:customStyle="1" w:styleId="SectionNo">
    <w:name w:val="Section_No"/>
    <w:basedOn w:val="Normal"/>
    <w:next w:val="Normal"/>
    <w:rsid w:val="00D02D31"/>
  </w:style>
  <w:style w:type="paragraph" w:customStyle="1" w:styleId="Sectiontitle">
    <w:name w:val="Section_title"/>
    <w:basedOn w:val="Normal"/>
    <w:next w:val="Normalaftertitle"/>
    <w:rsid w:val="00D02D31"/>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02D31"/>
    <w:pPr>
      <w:tabs>
        <w:tab w:val="clear" w:pos="794"/>
        <w:tab w:val="clear" w:pos="1191"/>
        <w:tab w:val="clear" w:pos="1588"/>
        <w:tab w:val="clear" w:pos="1985"/>
        <w:tab w:val="right" w:pos="9611"/>
      </w:tabs>
    </w:pPr>
    <w:rPr>
      <w:i/>
    </w:rPr>
  </w:style>
  <w:style w:type="paragraph" w:styleId="TOC1">
    <w:name w:val="toc 1"/>
    <w:basedOn w:val="Normal"/>
    <w:uiPriority w:val="39"/>
    <w:rsid w:val="00D02D3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02D31"/>
    <w:pPr>
      <w:tabs>
        <w:tab w:val="clear" w:pos="567"/>
        <w:tab w:val="left" w:pos="1276"/>
      </w:tabs>
      <w:spacing w:before="160"/>
      <w:ind w:left="1276" w:hanging="709"/>
    </w:pPr>
  </w:style>
  <w:style w:type="paragraph" w:styleId="TOC3">
    <w:name w:val="toc 3"/>
    <w:basedOn w:val="TOC2"/>
    <w:rsid w:val="00D02D31"/>
    <w:pPr>
      <w:tabs>
        <w:tab w:val="clear" w:pos="1276"/>
        <w:tab w:val="left" w:pos="2155"/>
      </w:tabs>
      <w:ind w:left="2155" w:hanging="879"/>
    </w:pPr>
  </w:style>
  <w:style w:type="paragraph" w:styleId="TOC4">
    <w:name w:val="toc 4"/>
    <w:basedOn w:val="TOC3"/>
    <w:semiHidden/>
    <w:rsid w:val="00D02D31"/>
    <w:pPr>
      <w:tabs>
        <w:tab w:val="left" w:pos="3261"/>
      </w:tabs>
      <w:spacing w:before="80"/>
      <w:ind w:left="3261" w:hanging="993"/>
    </w:pPr>
  </w:style>
  <w:style w:type="paragraph" w:styleId="TOC5">
    <w:name w:val="toc 5"/>
    <w:basedOn w:val="TOC4"/>
    <w:semiHidden/>
    <w:rsid w:val="00D02D31"/>
  </w:style>
  <w:style w:type="paragraph" w:styleId="TOC6">
    <w:name w:val="toc 6"/>
    <w:basedOn w:val="TOC4"/>
    <w:semiHidden/>
    <w:rsid w:val="00D02D31"/>
  </w:style>
  <w:style w:type="paragraph" w:styleId="TOC7">
    <w:name w:val="toc 7"/>
    <w:basedOn w:val="TOC4"/>
    <w:semiHidden/>
    <w:rsid w:val="00D02D31"/>
  </w:style>
  <w:style w:type="paragraph" w:styleId="TOC8">
    <w:name w:val="toc 8"/>
    <w:basedOn w:val="TOC4"/>
    <w:semiHidden/>
    <w:rsid w:val="00D02D31"/>
  </w:style>
  <w:style w:type="paragraph" w:customStyle="1" w:styleId="Rectitle">
    <w:name w:val="Rec_title"/>
    <w:basedOn w:val="Normal"/>
    <w:next w:val="Recref"/>
    <w:rsid w:val="00D02D31"/>
    <w:pPr>
      <w:keepNext/>
      <w:keepLines/>
      <w:spacing w:before="240"/>
      <w:jc w:val="center"/>
    </w:pPr>
    <w:rPr>
      <w:b/>
      <w:sz w:val="28"/>
    </w:rPr>
  </w:style>
  <w:style w:type="paragraph" w:customStyle="1" w:styleId="Annexref">
    <w:name w:val="Annex_ref"/>
    <w:basedOn w:val="Normal"/>
    <w:next w:val="Normalaftertitle"/>
    <w:rsid w:val="00D02D31"/>
    <w:pPr>
      <w:keepNext/>
      <w:keepLines/>
      <w:spacing w:after="280"/>
      <w:jc w:val="center"/>
    </w:pPr>
  </w:style>
  <w:style w:type="paragraph" w:customStyle="1" w:styleId="Appendixref">
    <w:name w:val="Appendix_ref"/>
    <w:basedOn w:val="Annexref"/>
    <w:next w:val="Normalaftertitle"/>
    <w:rsid w:val="00D02D31"/>
  </w:style>
  <w:style w:type="paragraph" w:customStyle="1" w:styleId="Figuretitle">
    <w:name w:val="Figure_title"/>
    <w:basedOn w:val="Normal"/>
    <w:next w:val="Figure"/>
    <w:rsid w:val="00D02D31"/>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D02D31"/>
    <w:pPr>
      <w:keepNext/>
      <w:spacing w:before="0" w:after="120"/>
      <w:jc w:val="center"/>
    </w:pPr>
    <w:rPr>
      <w:b/>
    </w:rPr>
  </w:style>
  <w:style w:type="paragraph" w:customStyle="1" w:styleId="Summary">
    <w:name w:val="Summary"/>
    <w:basedOn w:val="Normal"/>
    <w:next w:val="Normalaftertitle"/>
    <w:autoRedefine/>
    <w:rsid w:val="00D02D31"/>
    <w:pPr>
      <w:spacing w:after="480"/>
    </w:pPr>
    <w:rPr>
      <w:sz w:val="22"/>
      <w:lang w:val="es-ES_tradnl"/>
    </w:rPr>
  </w:style>
  <w:style w:type="paragraph" w:customStyle="1" w:styleId="TableLegendNote">
    <w:name w:val="Table_Legend_Note"/>
    <w:basedOn w:val="Tablelegend"/>
    <w:next w:val="Tablelegend"/>
    <w:rsid w:val="00D02D31"/>
    <w:pPr>
      <w:ind w:left="-85" w:firstLine="0"/>
    </w:pPr>
    <w:rPr>
      <w:lang w:val="en-US"/>
    </w:rPr>
  </w:style>
  <w:style w:type="paragraph" w:customStyle="1" w:styleId="Figure">
    <w:name w:val="Figure"/>
    <w:basedOn w:val="FigureNo"/>
    <w:next w:val="Normal"/>
    <w:rsid w:val="00D02D31"/>
    <w:pPr>
      <w:keepNext w:val="0"/>
      <w:spacing w:before="0" w:after="240"/>
    </w:pPr>
  </w:style>
  <w:style w:type="character" w:styleId="Hyperlink">
    <w:name w:val="Hyperlink"/>
    <w:aliases w:val="CEO_Hyperlink"/>
    <w:basedOn w:val="DefaultParagraphFont"/>
    <w:uiPriority w:val="99"/>
    <w:rsid w:val="00D02D31"/>
    <w:rPr>
      <w:color w:val="0000FF"/>
      <w:u w:val="single"/>
    </w:rPr>
  </w:style>
  <w:style w:type="character" w:customStyle="1" w:styleId="HeaderChar">
    <w:name w:val="Header Char"/>
    <w:basedOn w:val="DefaultParagraphFont"/>
    <w:link w:val="Header"/>
    <w:rsid w:val="00D02D31"/>
    <w:rPr>
      <w:sz w:val="24"/>
      <w:lang w:val="en-GB" w:eastAsia="en-US"/>
    </w:rPr>
  </w:style>
  <w:style w:type="table" w:styleId="TableGrid">
    <w:name w:val="Table Grid"/>
    <w:basedOn w:val="TableNormal"/>
    <w:qFormat/>
    <w:rsid w:val="00D02D3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D02D31"/>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D02D31"/>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D02D31"/>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D02D31"/>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basedOn w:val="DefaultParagraphFont"/>
    <w:link w:val="Headingb"/>
    <w:locked/>
    <w:rsid w:val="00F870B3"/>
    <w:rPr>
      <w:b/>
      <w:sz w:val="24"/>
      <w:lang w:val="en-GB" w:eastAsia="en-US"/>
    </w:rPr>
  </w:style>
  <w:style w:type="character" w:customStyle="1" w:styleId="Heading1Char">
    <w:name w:val="Heading 1 Char"/>
    <w:basedOn w:val="DefaultParagraphFont"/>
    <w:link w:val="Heading1"/>
    <w:qFormat/>
    <w:rsid w:val="00F870B3"/>
    <w:rPr>
      <w:b/>
      <w:sz w:val="24"/>
      <w:lang w:val="en-GB" w:eastAsia="en-US"/>
    </w:rPr>
  </w:style>
  <w:style w:type="character" w:customStyle="1" w:styleId="Heading2Char">
    <w:name w:val="Heading 2 Char"/>
    <w:basedOn w:val="DefaultParagraphFont"/>
    <w:link w:val="Heading2"/>
    <w:qFormat/>
    <w:rsid w:val="00F870B3"/>
    <w:rPr>
      <w:b/>
      <w:sz w:val="24"/>
      <w:lang w:val="en-GB" w:eastAsia="en-US"/>
    </w:rPr>
  </w:style>
  <w:style w:type="character" w:customStyle="1" w:styleId="TabletitleChar">
    <w:name w:val="Table_title Char"/>
    <w:basedOn w:val="DefaultParagraphFont"/>
    <w:link w:val="Tabletitle"/>
    <w:locked/>
    <w:rsid w:val="00F870B3"/>
    <w:rPr>
      <w:b/>
      <w:sz w:val="24"/>
      <w:lang w:val="en-GB" w:eastAsia="en-US"/>
    </w:rPr>
  </w:style>
  <w:style w:type="character" w:customStyle="1" w:styleId="TabletextChar">
    <w:name w:val="Table_text Char"/>
    <w:basedOn w:val="DefaultParagraphFont"/>
    <w:link w:val="Tabletext"/>
    <w:qFormat/>
    <w:rsid w:val="00F870B3"/>
    <w:rPr>
      <w:sz w:val="22"/>
      <w:lang w:val="en-GB" w:eastAsia="en-US"/>
    </w:rPr>
  </w:style>
  <w:style w:type="character" w:customStyle="1" w:styleId="enumlev1Char">
    <w:name w:val="enumlev1 Char"/>
    <w:basedOn w:val="DefaultParagraphFont"/>
    <w:link w:val="enumlev1"/>
    <w:locked/>
    <w:rsid w:val="00F870B3"/>
    <w:rPr>
      <w:sz w:val="24"/>
      <w:lang w:val="en-GB" w:eastAsia="en-US"/>
    </w:rPr>
  </w:style>
  <w:style w:type="character" w:customStyle="1" w:styleId="TableNoChar">
    <w:name w:val="Table_No Char"/>
    <w:link w:val="TableNo"/>
    <w:qFormat/>
    <w:locked/>
    <w:rsid w:val="00F870B3"/>
    <w:rPr>
      <w:sz w:val="24"/>
      <w:lang w:val="en-GB" w:eastAsia="en-US"/>
    </w:rPr>
  </w:style>
  <w:style w:type="paragraph" w:customStyle="1" w:styleId="NormalText">
    <w:name w:val="NormalText"/>
    <w:basedOn w:val="Normal"/>
    <w:link w:val="NormalTextChar"/>
    <w:qFormat/>
    <w:rsid w:val="00F870B3"/>
    <w:pPr>
      <w:tabs>
        <w:tab w:val="clear" w:pos="794"/>
        <w:tab w:val="clear" w:pos="1191"/>
        <w:tab w:val="clear" w:pos="1588"/>
        <w:tab w:val="clear" w:pos="1985"/>
      </w:tabs>
      <w:overflowPunct/>
      <w:autoSpaceDE/>
      <w:autoSpaceDN/>
      <w:adjustRightInd/>
      <w:spacing w:line="276" w:lineRule="auto"/>
      <w:textAlignment w:val="auto"/>
    </w:pPr>
    <w:rPr>
      <w:rFonts w:ascii="Arial" w:eastAsiaTheme="minorHAnsi" w:hAnsi="Arial" w:cs="Arial"/>
      <w:sz w:val="22"/>
      <w:szCs w:val="22"/>
      <w:lang w:val="en-AU"/>
    </w:rPr>
  </w:style>
  <w:style w:type="character" w:customStyle="1" w:styleId="NormalTextChar">
    <w:name w:val="NormalText Char"/>
    <w:basedOn w:val="DefaultParagraphFont"/>
    <w:link w:val="NormalText"/>
    <w:rsid w:val="00F870B3"/>
    <w:rPr>
      <w:rFonts w:ascii="Arial" w:eastAsiaTheme="minorHAnsi" w:hAnsi="Arial" w:cs="Arial"/>
      <w:sz w:val="22"/>
      <w:szCs w:val="22"/>
      <w:lang w:val="en-AU" w:eastAsia="en-US"/>
    </w:rPr>
  </w:style>
  <w:style w:type="character" w:customStyle="1" w:styleId="TableheadChar">
    <w:name w:val="Table_head Char"/>
    <w:link w:val="Tablehead"/>
    <w:qFormat/>
    <w:locked/>
    <w:rsid w:val="00F870B3"/>
    <w:rPr>
      <w:b/>
      <w:sz w:val="22"/>
      <w:lang w:val="en-GB" w:eastAsia="en-US"/>
    </w:rPr>
  </w:style>
  <w:style w:type="paragraph" w:customStyle="1" w:styleId="Heading20">
    <w:name w:val="Heading_2"/>
    <w:basedOn w:val="Heading2"/>
    <w:rsid w:val="00F870B3"/>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lang w:val="en-US"/>
    </w:rPr>
  </w:style>
  <w:style w:type="character" w:styleId="FollowedHyperlink">
    <w:name w:val="FollowedHyperlink"/>
    <w:basedOn w:val="DefaultParagraphFont"/>
    <w:semiHidden/>
    <w:unhideWhenUsed/>
    <w:rsid w:val="006259BA"/>
    <w:rPr>
      <w:color w:val="800080" w:themeColor="followedHyperlink"/>
      <w:u w:val="single"/>
    </w:rPr>
  </w:style>
  <w:style w:type="character" w:styleId="UnresolvedMention">
    <w:name w:val="Unresolved Mention"/>
    <w:basedOn w:val="DefaultParagraphFont"/>
    <w:uiPriority w:val="99"/>
    <w:semiHidden/>
    <w:unhideWhenUsed/>
    <w:rsid w:val="006259BA"/>
    <w:rPr>
      <w:color w:val="605E5C"/>
      <w:shd w:val="clear" w:color="auto" w:fill="E1DFDD"/>
    </w:rPr>
  </w:style>
  <w:style w:type="character" w:styleId="CommentReference">
    <w:name w:val="annotation reference"/>
    <w:basedOn w:val="DefaultParagraphFont"/>
    <w:semiHidden/>
    <w:unhideWhenUsed/>
    <w:rsid w:val="006259BA"/>
    <w:rPr>
      <w:sz w:val="16"/>
      <w:szCs w:val="16"/>
    </w:rPr>
  </w:style>
  <w:style w:type="paragraph" w:styleId="CommentText">
    <w:name w:val="annotation text"/>
    <w:basedOn w:val="Normal"/>
    <w:link w:val="CommentTextChar"/>
    <w:unhideWhenUsed/>
    <w:rsid w:val="006259BA"/>
    <w:rPr>
      <w:sz w:val="20"/>
    </w:rPr>
  </w:style>
  <w:style w:type="character" w:customStyle="1" w:styleId="CommentTextChar">
    <w:name w:val="Comment Text Char"/>
    <w:basedOn w:val="DefaultParagraphFont"/>
    <w:link w:val="CommentText"/>
    <w:rsid w:val="006259BA"/>
    <w:rPr>
      <w:lang w:val="en-GB" w:eastAsia="en-US"/>
    </w:rPr>
  </w:style>
  <w:style w:type="paragraph" w:styleId="CommentSubject">
    <w:name w:val="annotation subject"/>
    <w:basedOn w:val="CommentText"/>
    <w:next w:val="CommentText"/>
    <w:link w:val="CommentSubjectChar"/>
    <w:semiHidden/>
    <w:unhideWhenUsed/>
    <w:rsid w:val="006259BA"/>
    <w:rPr>
      <w:b/>
      <w:bCs/>
    </w:rPr>
  </w:style>
  <w:style w:type="character" w:customStyle="1" w:styleId="CommentSubjectChar">
    <w:name w:val="Comment Subject Char"/>
    <w:basedOn w:val="CommentTextChar"/>
    <w:link w:val="CommentSubject"/>
    <w:semiHidden/>
    <w:rsid w:val="006259BA"/>
    <w:rPr>
      <w:b/>
      <w:bCs/>
      <w:lang w:val="en-GB" w:eastAsia="en-US"/>
    </w:rPr>
  </w:style>
  <w:style w:type="paragraph" w:styleId="Revision">
    <w:name w:val="Revision"/>
    <w:hidden/>
    <w:uiPriority w:val="99"/>
    <w:semiHidden/>
    <w:rsid w:val="00153A2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P-BT.2143" TargetMode="External"/><Relationship Id="rId21" Type="http://schemas.openxmlformats.org/officeDocument/2006/relationships/hyperlink" Target="https://www.itu.int/pub/R-REP-BT.2140-12-2019" TargetMode="External"/><Relationship Id="rId42" Type="http://schemas.openxmlformats.org/officeDocument/2006/relationships/hyperlink" Target="https://www.itu.int/pub/R-REP-BT.2389-2016" TargetMode="External"/><Relationship Id="rId47" Type="http://schemas.openxmlformats.org/officeDocument/2006/relationships/hyperlink" Target="http://www.itu.int/pub/R-REP-BT.2035" TargetMode="External"/><Relationship Id="rId63" Type="http://schemas.openxmlformats.org/officeDocument/2006/relationships/hyperlink" Target="http://www.itu.int/pub/R-REP-BT.2043" TargetMode="External"/><Relationship Id="rId68" Type="http://schemas.openxmlformats.org/officeDocument/2006/relationships/hyperlink" Target="http://www.itu.int/pub/R-REP-BT.2254" TargetMode="External"/><Relationship Id="rId16" Type="http://schemas.openxmlformats.org/officeDocument/2006/relationships/hyperlink" Target="https://www.itu.int/rec/R-REC-BT.1701-1-200508-I/en" TargetMode="External"/><Relationship Id="rId11" Type="http://schemas.openxmlformats.org/officeDocument/2006/relationships/hyperlink" Target="https://www.itu.int/publ/R-REP/en" TargetMode="External"/><Relationship Id="rId24" Type="http://schemas.openxmlformats.org/officeDocument/2006/relationships/hyperlink" Target="http://www.itu.int/rec/R-REC-SM.1682/en" TargetMode="External"/><Relationship Id="rId32" Type="http://schemas.openxmlformats.org/officeDocument/2006/relationships/hyperlink" Target="https://www.itu.int/rec/R-REC-P.2001/en" TargetMode="External"/><Relationship Id="rId37" Type="http://schemas.openxmlformats.org/officeDocument/2006/relationships/hyperlink" Target="http://www.itu.int/rec/R-REC-BT.1735/en" TargetMode="External"/><Relationship Id="rId40" Type="http://schemas.openxmlformats.org/officeDocument/2006/relationships/hyperlink" Target="http://www.itu.int/rec/R-REC-BT.1735/en" TargetMode="External"/><Relationship Id="rId45" Type="http://schemas.openxmlformats.org/officeDocument/2006/relationships/hyperlink" Target="https://www.itu.int/rec/R-REC-SM.1875/en" TargetMode="External"/><Relationship Id="rId53" Type="http://schemas.openxmlformats.org/officeDocument/2006/relationships/hyperlink" Target="http://www.itu.int/rec/R-REC-BT.1701/en" TargetMode="External"/><Relationship Id="rId58" Type="http://schemas.openxmlformats.org/officeDocument/2006/relationships/hyperlink" Target="https://www.itu.int/rec/R-REC-P.1812/en" TargetMode="External"/><Relationship Id="rId66" Type="http://schemas.openxmlformats.org/officeDocument/2006/relationships/hyperlink" Target="http://www.itu.int/pub/R-REP-BT.2143" TargetMode="External"/><Relationship Id="rId74" Type="http://schemas.openxmlformats.org/officeDocument/2006/relationships/hyperlink" Target="https://www.itu.int/pub/R-REP-BT.2495"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itu.int/rec/R-REC-SM.1875/en" TargetMode="External"/><Relationship Id="rId19" Type="http://schemas.openxmlformats.org/officeDocument/2006/relationships/hyperlink" Target="http://www.itu.int/rec/R-REC-BT.1306/en" TargetMode="External"/><Relationship Id="rId14" Type="http://schemas.openxmlformats.org/officeDocument/2006/relationships/hyperlink" Target="https://www.itu.int/pub/R-QUE-SG06.132" TargetMode="External"/><Relationship Id="rId22" Type="http://schemas.openxmlformats.org/officeDocument/2006/relationships/hyperlink" Target="https://www.itu.int/pub/R-REP-BT.2386-1-2017" TargetMode="External"/><Relationship Id="rId27" Type="http://schemas.openxmlformats.org/officeDocument/2006/relationships/hyperlink" Target="http://www.itu.int/pub/R-REP-BT.2254" TargetMode="External"/><Relationship Id="rId30" Type="http://schemas.openxmlformats.org/officeDocument/2006/relationships/hyperlink" Target="http://www.itu.int/rec/R-REC-P.1546/en" TargetMode="External"/><Relationship Id="rId35" Type="http://schemas.openxmlformats.org/officeDocument/2006/relationships/hyperlink" Target="http://www.itu.int/pub/R-REP-BT.2035" TargetMode="External"/><Relationship Id="rId43" Type="http://schemas.openxmlformats.org/officeDocument/2006/relationships/hyperlink" Target="https://www.itu.int/rec/R-REC-BT.1368" TargetMode="External"/><Relationship Id="rId48" Type="http://schemas.openxmlformats.org/officeDocument/2006/relationships/hyperlink" Target="https://www.itu.int/pub/R-REP-BT.2341" TargetMode="External"/><Relationship Id="rId56" Type="http://schemas.openxmlformats.org/officeDocument/2006/relationships/hyperlink" Target="http://www.itu.int/rec/R-REC-BT.2033/en" TargetMode="External"/><Relationship Id="rId64" Type="http://schemas.openxmlformats.org/officeDocument/2006/relationships/hyperlink" Target="https://www.itu.int/pub/R-REP-BT.2137-2009" TargetMode="External"/><Relationship Id="rId69" Type="http://schemas.openxmlformats.org/officeDocument/2006/relationships/hyperlink" Target="http://www.itu.int/pub/R-REP-BT.2341" TargetMode="External"/><Relationship Id="rId77" Type="http://schemas.openxmlformats.org/officeDocument/2006/relationships/footer" Target="footer2.xml"/><Relationship Id="rId8" Type="http://schemas.openxmlformats.org/officeDocument/2006/relationships/header" Target="header2.xml"/><Relationship Id="rId51" Type="http://schemas.openxmlformats.org/officeDocument/2006/relationships/hyperlink" Target="http://www.itu.int/rec/R-REC-BT.500/en" TargetMode="External"/><Relationship Id="rId72" Type="http://schemas.openxmlformats.org/officeDocument/2006/relationships/hyperlink" Target="https://www.itu.int/pub/R-REP-BT.2389-2016"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itu.int/pub/R-REP-BT.2043" TargetMode="External"/><Relationship Id="rId25" Type="http://schemas.openxmlformats.org/officeDocument/2006/relationships/hyperlink" Target="http://www.itu.int/pub/R-REP-BT.2137" TargetMode="External"/><Relationship Id="rId33" Type="http://schemas.openxmlformats.org/officeDocument/2006/relationships/hyperlink" Target="http://www.itu.int/pub/R-REP-BT.2254" TargetMode="External"/><Relationship Id="rId38" Type="http://schemas.openxmlformats.org/officeDocument/2006/relationships/hyperlink" Target="http://www.itu.int/rec/R-REC-BT.1306/en" TargetMode="External"/><Relationship Id="rId46" Type="http://schemas.openxmlformats.org/officeDocument/2006/relationships/hyperlink" Target="http://www.itu.int/pub/R-REP-BT.2254" TargetMode="External"/><Relationship Id="rId59" Type="http://schemas.openxmlformats.org/officeDocument/2006/relationships/hyperlink" Target="https://www.itu.int/rec/R-REC-P.2001/en" TargetMode="External"/><Relationship Id="rId67" Type="http://schemas.openxmlformats.org/officeDocument/2006/relationships/hyperlink" Target="http://www.itu.int/pub/R-REP-BT.2252" TargetMode="External"/><Relationship Id="rId20" Type="http://schemas.openxmlformats.org/officeDocument/2006/relationships/hyperlink" Target="http://www.itu.int/pub/R-REP-BT.2140" TargetMode="External"/><Relationship Id="rId41" Type="http://schemas.openxmlformats.org/officeDocument/2006/relationships/hyperlink" Target="http://www.itu.int/pub/R-REP-BT.2252" TargetMode="External"/><Relationship Id="rId54" Type="http://schemas.openxmlformats.org/officeDocument/2006/relationships/hyperlink" Target="http://www.itu.int/rec/R-REC-BT.1735/en" TargetMode="External"/><Relationship Id="rId62" Type="http://schemas.openxmlformats.org/officeDocument/2006/relationships/hyperlink" Target="https://www.itu.int/pub/R-REP-BT.2035-2-2008" TargetMode="External"/><Relationship Id="rId70" Type="http://schemas.openxmlformats.org/officeDocument/2006/relationships/hyperlink" Target="https://www.itu.int/pub/R-REP-BT.2383"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pub/R-REP-BT.1877" TargetMode="External"/><Relationship Id="rId23" Type="http://schemas.openxmlformats.org/officeDocument/2006/relationships/hyperlink" Target="http://www.itu.int/rec/R-REC-P.1546/en" TargetMode="External"/><Relationship Id="rId28" Type="http://schemas.openxmlformats.org/officeDocument/2006/relationships/hyperlink" Target="http://www.itu.int/rec/R-REC-BT.2033/en" TargetMode="External"/><Relationship Id="rId36" Type="http://schemas.openxmlformats.org/officeDocument/2006/relationships/hyperlink" Target="https://www.itu.int/pub/R-REP-BT.2495" TargetMode="External"/><Relationship Id="rId49" Type="http://schemas.openxmlformats.org/officeDocument/2006/relationships/hyperlink" Target="https://www.itu.int/pub/R-REP-BT.2382" TargetMode="External"/><Relationship Id="rId57" Type="http://schemas.openxmlformats.org/officeDocument/2006/relationships/hyperlink" Target="https://www.itu.int/rec/R-REC-P.1546-5-201309-I/en" TargetMode="External"/><Relationship Id="rId10" Type="http://schemas.openxmlformats.org/officeDocument/2006/relationships/hyperlink" Target="http://www.itu.int/ITU-R/go/patents/en" TargetMode="External"/><Relationship Id="rId31" Type="http://schemas.openxmlformats.org/officeDocument/2006/relationships/hyperlink" Target="http://www.itu.int/rec/R-REC-P.1812/en" TargetMode="External"/><Relationship Id="rId44" Type="http://schemas.openxmlformats.org/officeDocument/2006/relationships/hyperlink" Target="https://www.itu.int/rec/R-REC-BT.2033/en" TargetMode="External"/><Relationship Id="rId52" Type="http://schemas.openxmlformats.org/officeDocument/2006/relationships/hyperlink" Target="http://www.itu.int/rec/R-REC-BT.1306/en" TargetMode="External"/><Relationship Id="rId60" Type="http://schemas.openxmlformats.org/officeDocument/2006/relationships/hyperlink" Target="http://www.itu.int/rec/R-REC-SM.1682/en" TargetMode="External"/><Relationship Id="rId65" Type="http://schemas.openxmlformats.org/officeDocument/2006/relationships/hyperlink" Target="http://www.itu.int/pub/R-REP-BT.2140" TargetMode="External"/><Relationship Id="rId73" Type="http://schemas.openxmlformats.org/officeDocument/2006/relationships/hyperlink" Target="http://www.itu.int/pub/R-REP-BT.238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www.itu.int/rec/R-REC-BT.1306/en" TargetMode="External"/><Relationship Id="rId39" Type="http://schemas.openxmlformats.org/officeDocument/2006/relationships/hyperlink" Target="http://www.itu.int/rec/R-REC-BT.1735/en" TargetMode="External"/><Relationship Id="rId34" Type="http://schemas.openxmlformats.org/officeDocument/2006/relationships/hyperlink" Target="https://www.itu.int/pub/R-REP-BT.1877" TargetMode="External"/><Relationship Id="rId50" Type="http://schemas.openxmlformats.org/officeDocument/2006/relationships/hyperlink" Target="https://www.itu.int/pub/R-REP-BT.2495" TargetMode="External"/><Relationship Id="rId55" Type="http://schemas.openxmlformats.org/officeDocument/2006/relationships/hyperlink" Target="http://www.itu.int/rec/R-REC-BT.1877/en" TargetMode="External"/><Relationship Id="rId76" Type="http://schemas.openxmlformats.org/officeDocument/2006/relationships/header" Target="header6.xml"/><Relationship Id="rId7" Type="http://schemas.openxmlformats.org/officeDocument/2006/relationships/header" Target="header1.xml"/><Relationship Id="rId71" Type="http://schemas.openxmlformats.org/officeDocument/2006/relationships/hyperlink" Target="https://www.itu.int/pub/R-REP-BT.2386-1-2017" TargetMode="External"/><Relationship Id="rId2" Type="http://schemas.openxmlformats.org/officeDocument/2006/relationships/styles" Target="styles.xml"/><Relationship Id="rId29" Type="http://schemas.openxmlformats.org/officeDocument/2006/relationships/hyperlink" Target="http://www.itu.int/pub/R-REP-BT.21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CD00-D69F-452D-8FDA-C14D7E07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180</TotalTime>
  <Pages>14</Pages>
  <Words>5278</Words>
  <Characters>36282</Characters>
  <Application>Microsoft Office Word</Application>
  <DocSecurity>0</DocSecurity>
  <Lines>980</Lines>
  <Paragraphs>79</Paragraphs>
  <ScaleCrop>false</ScaleCrop>
  <HeadingPairs>
    <vt:vector size="2" baseType="variant">
      <vt:variant>
        <vt:lpstr>Title</vt:lpstr>
      </vt:variant>
      <vt:variant>
        <vt:i4>1</vt:i4>
      </vt:variant>
    </vt:vector>
  </HeadingPairs>
  <TitlesOfParts>
    <vt:vector size="1" baseType="lpstr">
      <vt:lpstr>Report ITU-R BT.2468-2 (11/2024) – Guidance for selection of system parameters and implementation of second generation DTTB systems</vt:lpstr>
    </vt:vector>
  </TitlesOfParts>
  <Manager/>
  <Company>ITU</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BT.2468-2 (11/2024) – Guidance for selection of system parameters and implementation of second generation DTTB systems</dc:title>
  <dc:subject/>
  <dc:creator>French</dc:creator>
  <cp:keywords/>
  <dc:description/>
  <cp:lastModifiedBy>Gachet, Christelle</cp:lastModifiedBy>
  <cp:revision>39</cp:revision>
  <cp:lastPrinted>2025-02-11T13:10:00Z</cp:lastPrinted>
  <dcterms:created xsi:type="dcterms:W3CDTF">2024-12-19T14:48:00Z</dcterms:created>
  <dcterms:modified xsi:type="dcterms:W3CDTF">2025-02-11T13:11:00Z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