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60F6" w14:textId="77777777" w:rsidR="00186BF3" w:rsidRPr="002C7A70" w:rsidRDefault="00186BF3" w:rsidP="00186BF3">
      <w:pPr>
        <w:pStyle w:val="Heading3"/>
        <w:rPr>
          <w:noProof/>
          <w:lang w:val="en-GB"/>
        </w:rPr>
      </w:pPr>
      <w:r>
        <w:rPr>
          <w:noProof/>
          <w:lang w:val="en-GB"/>
        </w:rPr>
        <w:t>CONTENTS</w:t>
      </w:r>
    </w:p>
    <w:p w14:paraId="4C1A8C57" w14:textId="77777777" w:rsidR="00186BF3" w:rsidRPr="0004013F" w:rsidRDefault="00186BF3" w:rsidP="00186BF3">
      <w:r w:rsidRPr="002C7A70">
        <w:rPr>
          <w:noProof/>
        </w:rPr>
        <w:t>Report ITU-R BT.2408-7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Policy on Intellectual Property Right (IPR)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</w:t>
      </w:r>
      <w:r w:rsidRPr="002C7A70">
        <w:rPr>
          <w:noProof/>
        </w:rPr>
        <w:t>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Introduction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</w:t>
      </w:r>
      <w:r w:rsidRPr="002C7A70">
        <w:rPr>
          <w:noProof/>
        </w:rPr>
        <w:t>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Reference levels and signal format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2.1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HDR Reference White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2.2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Signal levels for line-up in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2.3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Bit depth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2.4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Signal range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2.5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Colour representation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</w:t>
      </w:r>
      <w:r w:rsidRPr="002C7A70">
        <w:rPr>
          <w:noProof/>
          <w:lang w:eastAsia="zh-CN"/>
        </w:rPr>
        <w:t>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Monitoring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3.1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Display of PQ signals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3.1.1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Mapping to displays with limited luminance range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3.2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Display of HLG signals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3.2.1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Display of HLG signals on SDR screens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</w:t>
      </w:r>
      <w:r w:rsidRPr="002C7A70">
        <w:rPr>
          <w:noProof/>
        </w:rPr>
        <w:t>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Image brightness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4.1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Comfortable brightness of static images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4.2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Tolerance to programme brightness shifts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</w:t>
      </w:r>
      <w:r w:rsidRPr="002C7A70">
        <w:rPr>
          <w:noProof/>
          <w:lang w:eastAsia="zh-CN"/>
        </w:rPr>
        <w:t>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Integrating standard dynamic range and high dynamic range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5.1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Inclusion of standard dynamic range content in high dynamic range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          </w:t>
      </w:r>
      <w:r w:rsidRPr="002C7A70">
        <w:rPr>
          <w:noProof/>
        </w:rPr>
        <w:t>5.1.1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Display referred mapping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5.1.2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Display referred mapping of SDR into PQ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5.1.3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Display referred mapping of SDR into HLG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          </w:t>
      </w:r>
      <w:r w:rsidRPr="002C7A70">
        <w:rPr>
          <w:noProof/>
        </w:rPr>
        <w:t>5.1.4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Scene referred mapping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5.1.5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Comparing scene-light and display-light direct-mapping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</w:t>
      </w:r>
      <w:r w:rsidRPr="002C7A70">
        <w:rPr>
          <w:noProof/>
          <w:lang w:eastAsia="zh-CN"/>
        </w:rPr>
        <w:t xml:space="preserve">5.2 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HDR to SDR down-mapping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ja-JP"/>
        </w:rPr>
        <w:t xml:space="preserve">        </w:t>
      </w:r>
      <w:r w:rsidRPr="002C7A70">
        <w:rPr>
          <w:noProof/>
          <w:lang w:eastAsia="ja-JP"/>
        </w:rPr>
        <w:t>5.3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ja-JP"/>
        </w:rPr>
        <w:t>Handling negative values in format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ja-JP"/>
        </w:rPr>
        <w:t xml:space="preserve">        </w:t>
      </w:r>
      <w:r w:rsidRPr="002C7A70">
        <w:rPr>
          <w:noProof/>
          <w:lang w:eastAsia="ja-JP"/>
        </w:rPr>
        <w:t>5.4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ja-JP"/>
        </w:rPr>
        <w:t xml:space="preserve">Adjustments to </w:t>
      </w:r>
      <w:r w:rsidRPr="002C7A70">
        <w:rPr>
          <w:noProof/>
          <w:lang w:eastAsia="zh-CN"/>
        </w:rPr>
        <w:t>BT.709</w:t>
      </w:r>
      <w:r w:rsidRPr="002C7A70">
        <w:rPr>
          <w:noProof/>
          <w:lang w:eastAsia="ja-JP"/>
        </w:rPr>
        <w:t xml:space="preserve"> cameras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5.5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Use of 8-bit content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5.6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Mapping of SDR graphics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</w:t>
      </w:r>
      <w:r w:rsidRPr="002C7A70">
        <w:rPr>
          <w:noProof/>
          <w:lang w:eastAsia="zh-CN"/>
        </w:rPr>
        <w:t>6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 xml:space="preserve">Conversion between PQ </w:t>
      </w:r>
      <w:r w:rsidRPr="002C7A70">
        <w:rPr>
          <w:noProof/>
        </w:rPr>
        <w:t>and</w:t>
      </w:r>
      <w:r w:rsidRPr="002C7A70">
        <w:rPr>
          <w:noProof/>
          <w:lang w:eastAsia="zh-CN"/>
        </w:rPr>
        <w:t xml:space="preserve"> HLG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6.1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Transcoding concepts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6.2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Conversion concepts using a reference condition at 1 000 cd/m</w:t>
      </w:r>
      <w:r w:rsidRPr="002C7A70">
        <w:rPr>
          <w:noProof/>
          <w:vertAlign w:val="superscript"/>
        </w:rPr>
        <w:t>2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6.3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Cameras using a common OOTF at a reference peak luminance of 1 000 cd/m</w:t>
      </w:r>
      <w:r w:rsidRPr="002C7A70">
        <w:rPr>
          <w:noProof/>
          <w:vertAlign w:val="superscript"/>
        </w:rPr>
        <w:t>2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6.4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Handling PQ signals with greater than 1 000 cd/m</w:t>
      </w:r>
      <w:r w:rsidRPr="002C7A70">
        <w:rPr>
          <w:noProof/>
          <w:vertAlign w:val="superscript"/>
        </w:rPr>
        <w:t>2</w:t>
      </w:r>
      <w:r w:rsidRPr="002C7A70">
        <w:rPr>
          <w:noProof/>
        </w:rPr>
        <w:t xml:space="preserve"> peak luminance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6.5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Possible colour differences when converting from PQ to HLG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</w:t>
      </w:r>
      <w:r w:rsidRPr="002C7A70">
        <w:rPr>
          <w:noProof/>
        </w:rPr>
        <w:t>7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 xml:space="preserve">Transitioning from SDR </w:t>
      </w:r>
      <w:r w:rsidRPr="002C7A70">
        <w:rPr>
          <w:noProof/>
          <w:lang w:eastAsia="zh-CN"/>
        </w:rPr>
        <w:t>BT.709</w:t>
      </w:r>
      <w:r w:rsidRPr="002C7A70">
        <w:rPr>
          <w:noProof/>
        </w:rPr>
        <w:t xml:space="preserve"> to HDR BT.2100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7.1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HDR focused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</w:t>
      </w:r>
      <w:r w:rsidRPr="002C7A70">
        <w:rPr>
          <w:noProof/>
        </w:rPr>
        <w:t>7.2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SDR focused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          </w:t>
      </w:r>
      <w:r w:rsidRPr="002C7A70">
        <w:rPr>
          <w:noProof/>
        </w:rPr>
        <w:t>7.2.1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PQ production with SDR shading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          </w:t>
      </w:r>
      <w:r w:rsidRPr="002C7A70">
        <w:rPr>
          <w:noProof/>
        </w:rPr>
        <w:t>7.2.2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HLG production with SDR shading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UHD and HD resolution HDR camera outputs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HDR slow-motion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HDR to SDR down-mapping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7.3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SDR-HDR and HDR-SDR format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7.3.1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PQ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7.3.2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HLG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          </w:t>
      </w:r>
      <w:r w:rsidRPr="002C7A70">
        <w:rPr>
          <w:noProof/>
          <w:lang w:eastAsia="zh-CN"/>
        </w:rPr>
        <w:t>7.3.3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The displayed “look” of content following format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           </w:t>
      </w:r>
      <w:r w:rsidRPr="002C7A70">
        <w:rPr>
          <w:noProof/>
        </w:rPr>
        <w:t>7.3.4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Signal range considerations for HDR to SDR conversion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7.4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SDR-HDR-SDR “Round-Tripping”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7.5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Hardware colour matrix compensation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t xml:space="preserve">        </w:t>
      </w:r>
      <w:r w:rsidRPr="002C7A70">
        <w:rPr>
          <w:noProof/>
          <w:lang w:eastAsia="zh-CN"/>
        </w:rPr>
        <w:t>7.6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 xml:space="preserve">Signal </w:t>
      </w:r>
      <w:r w:rsidRPr="002C7A70">
        <w:rPr>
          <w:noProof/>
        </w:rPr>
        <w:t>line</w:t>
      </w:r>
      <w:r w:rsidRPr="002C7A70">
        <w:rPr>
          <w:noProof/>
          <w:lang w:eastAsia="zh-CN"/>
        </w:rPr>
        <w:t>-up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zh-CN"/>
        </w:rPr>
        <w:lastRenderedPageBreak/>
        <w:t xml:space="preserve">        </w:t>
      </w:r>
      <w:r w:rsidRPr="002C7A70">
        <w:rPr>
          <w:noProof/>
          <w:lang w:eastAsia="zh-CN"/>
        </w:rPr>
        <w:t>7.7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zh-CN"/>
        </w:rPr>
        <w:t>Camera painting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</w:t>
      </w:r>
      <w:r w:rsidRPr="002C7A70">
        <w:rPr>
          <w:noProof/>
        </w:rPr>
        <w:t>8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Conversion practices for camera and display RGB colorimetry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Annex 1  Study to evaluate levels for PQ content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Annex 2  Analysis of reference levels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Introduction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Analysis of reference levels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Diffuse white elements in live HLG encoded broadcast content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Diffuse white in an HDR dataset of 1 000 cd/m</w:t>
      </w:r>
      <w:r w:rsidRPr="002C7A70">
        <w:rPr>
          <w:noProof/>
          <w:vertAlign w:val="superscript"/>
        </w:rPr>
        <w:t>2</w:t>
      </w:r>
      <w:r w:rsidRPr="002C7A70">
        <w:rPr>
          <w:noProof/>
        </w:rPr>
        <w:t xml:space="preserve"> PQ encoded images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Discussion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A2.6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Conclusions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 xml:space="preserve">Annex 3  </w:t>
      </w:r>
      <w:r w:rsidRPr="002C7A70">
        <w:rPr>
          <w:noProof/>
        </w:rPr>
        <w:t>Two studies of skin tones, using a reflectance database and using real subjects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A3.1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Study 1: using a skin tone database and an ideal model of a camera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A3.2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Study 2: using human subjects and a RAW recording camera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A3.3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Conclusions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Annex 4  Study of facial skin tones in broadcast content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ja-JP"/>
        </w:rPr>
        <w:t xml:space="preserve">       </w:t>
      </w:r>
      <w:r w:rsidRPr="002C7A70">
        <w:rPr>
          <w:noProof/>
          <w:lang w:eastAsia="ja-JP"/>
        </w:rPr>
        <w:t>A4.1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  <w:lang w:eastAsia="ja-JP"/>
        </w:rPr>
        <w:t xml:space="preserve">Facial </w:t>
      </w:r>
      <w:r w:rsidRPr="002C7A70">
        <w:rPr>
          <w:noProof/>
        </w:rPr>
        <w:t>skin</w:t>
      </w:r>
      <w:r w:rsidRPr="002C7A70">
        <w:rPr>
          <w:noProof/>
          <w:lang w:eastAsia="ja-JP"/>
        </w:rPr>
        <w:t xml:space="preserve"> tones in SDR news and information programmes in studio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ja-JP"/>
        </w:rPr>
        <w:t xml:space="preserve">       </w:t>
      </w:r>
      <w:r w:rsidRPr="002C7A70">
        <w:rPr>
          <w:noProof/>
          <w:lang w:eastAsia="ja-JP"/>
        </w:rPr>
        <w:t>A4.2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Comparison</w:t>
      </w:r>
      <w:r w:rsidRPr="002C7A70">
        <w:rPr>
          <w:noProof/>
          <w:lang w:eastAsia="ja-JP"/>
        </w:rPr>
        <w:t xml:space="preserve"> of facial skin tones in HLG HDR and SDR content in a music programme</w:t>
      </w:r>
      <w:r>
        <w:rPr>
          <w:rFonts w:eastAsiaTheme="minorEastAsia"/>
          <w:noProof/>
          <w:lang w:eastAsia="en-GB"/>
        </w:rPr>
        <w:br/>
      </w:r>
      <w:r>
        <w:rPr>
          <w:noProof/>
          <w:lang w:eastAsia="ja-JP"/>
        </w:rPr>
        <w:t xml:space="preserve">       </w:t>
      </w:r>
      <w:r w:rsidRPr="002C7A70">
        <w:rPr>
          <w:noProof/>
          <w:lang w:eastAsia="ja-JP"/>
        </w:rPr>
        <w:t>A4.3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Conclusion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</w:rPr>
        <w:t>Annex 5  Displaying PQ – calculating the EETF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Annex 6  Comparison of the native looks of HDR and SDR production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A6.1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Differences in chromaticity and saturation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A6.2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Quantifying the total colour differences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A6.3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Comparison with the reference colour pattern data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Annex 7  Calculating the normalized primary matrix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A7.1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Conversion of normalized linear colour signals to Recommendation ITU</w:t>
      </w:r>
      <w:r w:rsidRPr="002C7A70">
        <w:rPr>
          <w:noProof/>
        </w:rPr>
        <w:noBreakHyphen/>
        <w:t>R </w:t>
      </w:r>
      <w:r w:rsidRPr="002C7A70">
        <w:rPr>
          <w:noProof/>
          <w:lang w:eastAsia="zh-CN"/>
        </w:rPr>
        <w:t>BT.2100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A7.2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 xml:space="preserve">Conversion of </w:t>
      </w:r>
      <w:r w:rsidRPr="002C7A70">
        <w:rPr>
          <w:noProof/>
          <w:lang w:eastAsia="zh-CN"/>
        </w:rPr>
        <w:t>BT.2100</w:t>
      </w:r>
      <w:r w:rsidRPr="002C7A70">
        <w:rPr>
          <w:noProof/>
        </w:rPr>
        <w:t xml:space="preserve"> to arbitrary linear colour signals for display systems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 xml:space="preserve">Annex 8  </w:t>
      </w:r>
      <w:r w:rsidRPr="002C7A70">
        <w:rPr>
          <w:noProof/>
        </w:rPr>
        <w:t>4K/8K UHD HDR and HD SDR simul-production and simulcast practice in China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Background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Basic workflows and principles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A8.3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Introduction of related work and research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A8.4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Mapping for conversion between HDR and SDR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A8.5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Parameter settings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A8.6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Converter performance consistency (LUTs usage)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A8.7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Signal range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</w:t>
      </w:r>
      <w:r w:rsidRPr="002C7A70">
        <w:rPr>
          <w:noProof/>
        </w:rPr>
        <w:t xml:space="preserve">A8.8 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Consistency of international exchange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A8.</w:t>
      </w:r>
      <w:r w:rsidRPr="002C7A70">
        <w:rPr>
          <w:noProof/>
          <w:lang w:eastAsia="zh-CN"/>
        </w:rPr>
        <w:t>9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Conclusions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 xml:space="preserve">Annex 9  </w:t>
      </w:r>
      <w:r w:rsidRPr="002C7A70">
        <w:rPr>
          <w:noProof/>
        </w:rPr>
        <w:t>HDR and SDR monitors in close proximity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A9.1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Approach used by BBC</w:t>
      </w:r>
      <w:r>
        <w:rPr>
          <w:rFonts w:eastAsiaTheme="minorEastAsia"/>
          <w:noProof/>
          <w:lang w:eastAsia="en-GB"/>
        </w:rPr>
        <w:br/>
      </w:r>
      <w:r>
        <w:rPr>
          <w:noProof/>
        </w:rPr>
        <w:t xml:space="preserve">       </w:t>
      </w:r>
      <w:r w:rsidRPr="002C7A70">
        <w:rPr>
          <w:noProof/>
        </w:rPr>
        <w:t>A9.2</w:t>
      </w:r>
      <w:r>
        <w:rPr>
          <w:rFonts w:eastAsiaTheme="minorEastAsia"/>
          <w:noProof/>
          <w:lang w:eastAsia="en-GB"/>
        </w:rPr>
        <w:t xml:space="preserve">     </w:t>
      </w:r>
      <w:r w:rsidRPr="002C7A70">
        <w:rPr>
          <w:noProof/>
        </w:rPr>
        <w:t>Approach used by NBCUniversal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 xml:space="preserve">Annex 10  </w:t>
      </w:r>
      <w:r w:rsidRPr="002C7A70">
        <w:rPr>
          <w:noProof/>
        </w:rPr>
        <w:t>NBCUniversal single-master HDR-SDR workflow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Annex 11  Conversion between 203 cd/m</w:t>
      </w:r>
      <w:r w:rsidRPr="002C7A70">
        <w:rPr>
          <w:noProof/>
          <w:vertAlign w:val="superscript"/>
          <w:lang w:eastAsia="zh-CN"/>
        </w:rPr>
        <w:t>2</w:t>
      </w:r>
      <w:r w:rsidRPr="002C7A70">
        <w:rPr>
          <w:noProof/>
          <w:lang w:eastAsia="zh-CN"/>
        </w:rPr>
        <w:t xml:space="preserve"> and 100 cd/m</w:t>
      </w:r>
      <w:r w:rsidRPr="002C7A70">
        <w:rPr>
          <w:noProof/>
          <w:vertAlign w:val="superscript"/>
          <w:lang w:eastAsia="zh-CN"/>
        </w:rPr>
        <w:t>2</w:t>
      </w:r>
      <w:r w:rsidRPr="002C7A70">
        <w:rPr>
          <w:noProof/>
          <w:lang w:eastAsia="zh-CN"/>
        </w:rPr>
        <w:t xml:space="preserve"> (BT.2035) SDR signal formats</w:t>
      </w:r>
      <w:r>
        <w:rPr>
          <w:rFonts w:eastAsiaTheme="minorEastAsia"/>
          <w:noProof/>
          <w:lang w:eastAsia="en-GB"/>
        </w:rPr>
        <w:br/>
      </w:r>
      <w:r w:rsidRPr="002C7A70">
        <w:rPr>
          <w:noProof/>
          <w:lang w:eastAsia="zh-CN"/>
        </w:rPr>
        <w:t>Glossary</w:t>
      </w:r>
      <w:r>
        <w:rPr>
          <w:rFonts w:eastAsiaTheme="minorEastAsia"/>
          <w:noProof/>
          <w:lang w:eastAsia="en-GB"/>
        </w:rPr>
        <w:br/>
      </w:r>
      <w:r>
        <w:br/>
      </w:r>
      <w:r>
        <w:br/>
      </w:r>
    </w:p>
    <w:p w14:paraId="3186D0AE" w14:textId="77777777" w:rsidR="00542A8B" w:rsidRDefault="00542A8B"/>
    <w:sectPr w:rsidR="00542A8B" w:rsidSect="002C7A70">
      <w:footerReference w:type="default" r:id="rId4"/>
      <w:pgSz w:w="11907" w:h="16840" w:code="9"/>
      <w:pgMar w:top="1089" w:right="1089" w:bottom="284" w:left="1089" w:header="737" w:footer="28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FDE7" w14:textId="77777777" w:rsidR="00F94781" w:rsidRDefault="00F947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F3"/>
    <w:rsid w:val="00186BF3"/>
    <w:rsid w:val="00542A8B"/>
    <w:rsid w:val="00566FD7"/>
    <w:rsid w:val="00766BF2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2FE01"/>
  <w14:defaultImageDpi w14:val="32767"/>
  <w15:chartTrackingRefBased/>
  <w15:docId w15:val="{DBB3BAE1-CAF4-4666-BCCA-E6E99E48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186B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line="240" w:lineRule="auto"/>
      <w:ind w:left="794" w:hanging="794"/>
      <w:jc w:val="both"/>
      <w:textAlignment w:val="baseline"/>
      <w:outlineLvl w:val="2"/>
    </w:pPr>
    <w:rPr>
      <w:rFonts w:ascii="Times New Roman" w:eastAsia="MS Mincho" w:hAnsi="Times New Roman" w:cs="Times New Roman"/>
      <w:b/>
      <w:color w:val="auto"/>
      <w:kern w:val="0"/>
      <w:sz w:val="24"/>
      <w:szCs w:val="2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6BF3"/>
    <w:rPr>
      <w:rFonts w:ascii="Times New Roman" w:eastAsia="MS Mincho" w:hAnsi="Times New Roman" w:cs="Times New Roman"/>
      <w:b/>
      <w:kern w:val="0"/>
      <w:sz w:val="24"/>
      <w:szCs w:val="20"/>
      <w:lang w:val="fr-FR"/>
      <w14:ligatures w14:val="none"/>
    </w:rPr>
  </w:style>
  <w:style w:type="paragraph" w:styleId="Footer">
    <w:name w:val="footer"/>
    <w:basedOn w:val="Normal"/>
    <w:link w:val="FooterChar"/>
    <w:rsid w:val="00186BF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noProof/>
      <w:kern w:val="0"/>
      <w:sz w:val="18"/>
      <w:szCs w:val="20"/>
      <w:lang w:val="fr-FR"/>
      <w14:ligatures w14:val="none"/>
    </w:rPr>
  </w:style>
  <w:style w:type="character" w:customStyle="1" w:styleId="FooterChar">
    <w:name w:val="Footer Char"/>
    <w:basedOn w:val="DefaultParagraphFont"/>
    <w:link w:val="Footer"/>
    <w:rsid w:val="00186BF3"/>
    <w:rPr>
      <w:rFonts w:ascii="Times New Roman" w:eastAsia="MS Mincho" w:hAnsi="Times New Roman" w:cs="Times New Roman"/>
      <w:noProof/>
      <w:kern w:val="0"/>
      <w:sz w:val="18"/>
      <w:szCs w:val="20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8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4129</Characters>
  <Application>Microsoft Office Word</Application>
  <DocSecurity>0</DocSecurity>
  <Lines>121</Lines>
  <Paragraphs>2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- REPORT  ITU-R  BT.2408-7 – Guidance for operational practices in HDR television production</dc:title>
  <dc:subject/>
  <dc:creator>Gachet, Christelle</dc:creator>
  <cp:keywords/>
  <dc:description/>
  <cp:lastModifiedBy>Gachet, Christelle</cp:lastModifiedBy>
  <cp:revision>1</cp:revision>
  <dcterms:created xsi:type="dcterms:W3CDTF">2023-10-05T14:41:00Z</dcterms:created>
  <dcterms:modified xsi:type="dcterms:W3CDTF">2023-10-05T14:41:00Z</dcterms:modified>
</cp:coreProperties>
</file>