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2CE54" w14:textId="77777777"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14:paraId="09024635" w14:textId="19E8279B" w:rsidR="00857FBA" w:rsidRPr="00DB387B" w:rsidRDefault="00857FBA" w:rsidP="007A4CCC">
      <w:pPr>
        <w:pStyle w:val="Heading2"/>
        <w:jc w:val="center"/>
        <w:rPr>
          <w:lang w:val="es-ES_tradnl"/>
        </w:rPr>
      </w:pPr>
      <w:r w:rsidRPr="00DB387B">
        <w:rPr>
          <w:lang w:val="es-ES_tradnl"/>
        </w:rPr>
        <w:t xml:space="preserve">ARTÍCULO </w:t>
      </w:r>
      <w:r w:rsidR="0097090C">
        <w:rPr>
          <w:lang w:val="es-ES_tradnl"/>
        </w:rPr>
        <w:t xml:space="preserve"> </w:t>
      </w:r>
      <w:r w:rsidRPr="00DB387B">
        <w:rPr>
          <w:lang w:val="es-ES_tradnl"/>
        </w:rPr>
        <w:t>11 del RR</w:t>
      </w:r>
    </w:p>
    <w:p w14:paraId="21A832BD" w14:textId="333151F4" w:rsidR="00A60C28" w:rsidRPr="003667EC" w:rsidRDefault="00A60C28">
      <w:pPr>
        <w:pStyle w:val="Heading8"/>
        <w:rPr>
          <w:color w:val="000000"/>
          <w:lang w:val="es-ES_tradnl"/>
        </w:rPr>
      </w:pPr>
      <w:r w:rsidRPr="003667EC">
        <w:rPr>
          <w:rStyle w:val="href2"/>
          <w:color w:val="000000"/>
          <w:lang w:val="es-ES_tradnl"/>
        </w:rPr>
        <w:t>11</w:t>
      </w:r>
      <w:r w:rsidRPr="003667EC">
        <w:rPr>
          <w:color w:val="000000"/>
          <w:lang w:val="es-ES_tradnl"/>
        </w:rPr>
        <w:t>.13</w:t>
      </w:r>
    </w:p>
    <w:p w14:paraId="5403C828" w14:textId="3D0040C1" w:rsidR="006159FB" w:rsidRPr="006159FB" w:rsidRDefault="006159FB" w:rsidP="006159FB">
      <w:pPr>
        <w:rPr>
          <w:lang w:val="es-ES"/>
        </w:rPr>
      </w:pPr>
      <w:r w:rsidRPr="006159FB">
        <w:rPr>
          <w:lang w:val="es-ES"/>
        </w:rPr>
        <w:t>1</w:t>
      </w:r>
      <w:r w:rsidRPr="006159FB">
        <w:rPr>
          <w:lang w:val="es-ES"/>
        </w:rPr>
        <w:tab/>
        <w:t>Esta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la Circular Internacional de Información sobre Frecuencias (BR IFIC) en orden de frecuencias (Capítulo VI del Prefacio). Las frecuencias de uso común figuran en el Registro Internacional de Frecuencias (Registro) y en la BR IFIC.</w:t>
      </w:r>
    </w:p>
    <w:p w14:paraId="366FD083" w14:textId="77777777" w:rsidR="006159FB" w:rsidRPr="006159FB" w:rsidRDefault="006159FB" w:rsidP="006159FB">
      <w:pPr>
        <w:rPr>
          <w:lang w:val="es-ES"/>
        </w:rPr>
      </w:pPr>
      <w:r w:rsidRPr="006159FB">
        <w:rPr>
          <w:lang w:val="es-ES"/>
        </w:rPr>
        <w:t>2</w:t>
      </w:r>
      <w:r w:rsidRPr="006159FB">
        <w:rPr>
          <w:lang w:val="es-ES"/>
        </w:rPr>
        <w:tab/>
        <w:t>A continuación se ofrece un resumen de las frecuencias/bandas de frecuencias que se prescriben para uso común:</w:t>
      </w:r>
    </w:p>
    <w:p w14:paraId="7A9F086E" w14:textId="4DC1050D" w:rsidR="006159FB" w:rsidRPr="006159FB" w:rsidRDefault="006159FB" w:rsidP="006159FB">
      <w:pPr>
        <w:pStyle w:val="enumlev1"/>
        <w:rPr>
          <w:lang w:val="es-ES"/>
        </w:rPr>
      </w:pPr>
      <w:r w:rsidRPr="006159FB">
        <w:rPr>
          <w:lang w:val="es-ES"/>
        </w:rPr>
        <w:t>–</w:t>
      </w:r>
      <w:r w:rsidRPr="006159FB">
        <w:rPr>
          <w:lang w:val="es-ES"/>
        </w:rPr>
        <w:tab/>
        <w:t>frecuencias para socorro y llamadas de seguridad del SMSSM que utilizan técnicas de llamada selectiva digital (2 187,5 kHz, 4 207,5 kHz, 6 312 kHz, 8 414,5 kHz, 12 577 kHz, 16 804,5 kHz y 156,525 MHz);</w:t>
      </w:r>
    </w:p>
    <w:p w14:paraId="7A3630C3" w14:textId="6D8666C3" w:rsidR="006159FB" w:rsidRPr="006159FB" w:rsidRDefault="006159FB" w:rsidP="006159FB">
      <w:pPr>
        <w:pStyle w:val="enumlev1"/>
        <w:rPr>
          <w:lang w:val="es-ES"/>
        </w:rPr>
      </w:pPr>
      <w:r w:rsidRPr="006159FB">
        <w:rPr>
          <w:lang w:val="es-ES"/>
        </w:rPr>
        <w:t>–</w:t>
      </w:r>
      <w:r w:rsidRPr="006159FB">
        <w:rPr>
          <w:lang w:val="es-ES"/>
        </w:rPr>
        <w:tab/>
        <w:t>frecuencias para socorro y tráfico de seguridad del SMSSM mediante radiotelefonía (2 182 kHz, 4 125 kHz, 6 215 kHz, 8 291 kHz, 12 290 kHz, 16 420 kHz y 156,8 MHz);</w:t>
      </w:r>
    </w:p>
    <w:p w14:paraId="0BF99C62" w14:textId="582136EF" w:rsidR="006159FB" w:rsidRPr="006159FB" w:rsidRDefault="006159FB" w:rsidP="006159FB">
      <w:pPr>
        <w:pStyle w:val="enumlev1"/>
        <w:rPr>
          <w:lang w:val="es-ES"/>
        </w:rPr>
      </w:pPr>
      <w:r w:rsidRPr="006159FB">
        <w:rPr>
          <w:lang w:val="es-ES"/>
        </w:rPr>
        <w:t>–</w:t>
      </w:r>
      <w:r w:rsidRPr="006159FB">
        <w:rPr>
          <w:lang w:val="es-ES"/>
        </w:rPr>
        <w:tab/>
        <w:t>frecuencias internacionales para operaciones de búsqueda y salvamento (2 182 kHz, 3 023 kHz, 5 680 kHz, 8 364 kHz, 10 003 kHz, 14 993 kHz, 19 993 kHz, 121,5 MHz, 123,1 MHz, 156,3 MHz, 156,8 MHz, 161,975 MHz, 162,025 MHz y 243 MHz);</w:t>
      </w:r>
    </w:p>
    <w:p w14:paraId="01F112AE" w14:textId="0D454A04" w:rsidR="006159FB" w:rsidRPr="006159FB" w:rsidRDefault="006159FB" w:rsidP="006159FB">
      <w:pPr>
        <w:pStyle w:val="enumlev1"/>
        <w:rPr>
          <w:lang w:val="es-ES"/>
        </w:rPr>
      </w:pPr>
      <w:r w:rsidRPr="006159FB">
        <w:rPr>
          <w:lang w:val="es-ES"/>
        </w:rPr>
        <w:t>–</w:t>
      </w:r>
      <w:r w:rsidRPr="006159FB">
        <w:rPr>
          <w:lang w:val="es-ES"/>
        </w:rPr>
        <w:tab/>
        <w:t>frecuencias internacionales para llamada selectiva digital con fines distintos de los de socorro y seguridad (455,5, 458,5, 2 177, 2 189,5, 4 208, 4 208,5, 4 209, 4 219,5, 4 220, 4 220,5, 6 312,5, 6 313, 6 313,5, 6 331, 6 331,5, 6 332, 8 415, 8 415,5, 8 416, 8 436,5, 8 437, 8 437,5, 12 577,5, 12 578, 12 578,5, 12 657, 12 657,5, 12 658, 16 805, 16 805,5, 16 806, 16 903, 16 903,5, 16 904, 18 898,5, 18 899, 18 899,5, 19 703,5, 19 704, 19 704,5, 22 374,5, 22 375, 22 375,5, 22 444, 22 444,5, 22 445, 25 208,5, 25 209, 25 209,5, 26 121, 26 121,5 y 26 122 kHz);</w:t>
      </w:r>
    </w:p>
    <w:p w14:paraId="18663DBC" w14:textId="77777777" w:rsidR="006159FB" w:rsidRPr="006159FB" w:rsidRDefault="006159FB" w:rsidP="006159FB">
      <w:pPr>
        <w:pStyle w:val="enumlev1"/>
        <w:rPr>
          <w:lang w:val="es-ES"/>
        </w:rPr>
      </w:pPr>
      <w:r w:rsidRPr="006159FB">
        <w:rPr>
          <w:lang w:val="es-ES"/>
        </w:rPr>
        <w:t>–</w:t>
      </w:r>
      <w:r w:rsidRPr="006159FB">
        <w:rPr>
          <w:lang w:val="es-ES"/>
        </w:rPr>
        <w:tab/>
        <w:t xml:space="preserve">frecuencias internacionales para el sistema de conexión automática (SCA) mediante llamada selectiva digital de estaciones de barco y estaciones costeras </w:t>
      </w:r>
      <w:r w:rsidRPr="00FA35AF">
        <w:rPr>
          <w:lang w:val="es-ES"/>
        </w:rPr>
        <w:t>(2</w:t>
      </w:r>
      <w:r w:rsidRPr="00A805B4">
        <w:rPr>
          <w:lang w:val="es-ES"/>
        </w:rPr>
        <w:t> </w:t>
      </w:r>
      <w:r w:rsidRPr="00FA35AF">
        <w:rPr>
          <w:lang w:val="es-ES"/>
        </w:rPr>
        <w:t>174</w:t>
      </w:r>
      <w:r w:rsidRPr="00A805B4">
        <w:rPr>
          <w:lang w:val="es-ES"/>
        </w:rPr>
        <w:t>,</w:t>
      </w:r>
      <w:r w:rsidRPr="00FA35AF">
        <w:rPr>
          <w:lang w:val="es-ES"/>
        </w:rPr>
        <w:t>5, 4</w:t>
      </w:r>
      <w:r w:rsidRPr="00A805B4">
        <w:rPr>
          <w:lang w:val="es-ES"/>
        </w:rPr>
        <w:t> </w:t>
      </w:r>
      <w:r w:rsidRPr="00FA35AF">
        <w:rPr>
          <w:lang w:val="es-ES"/>
        </w:rPr>
        <w:t>177</w:t>
      </w:r>
      <w:r w:rsidRPr="00A805B4">
        <w:rPr>
          <w:lang w:val="es-ES"/>
        </w:rPr>
        <w:t>,</w:t>
      </w:r>
      <w:r w:rsidRPr="00FA35AF">
        <w:rPr>
          <w:lang w:val="es-ES"/>
        </w:rPr>
        <w:t>5, 6</w:t>
      </w:r>
      <w:r w:rsidRPr="00A805B4">
        <w:rPr>
          <w:lang w:val="es-ES"/>
        </w:rPr>
        <w:t> </w:t>
      </w:r>
      <w:r w:rsidRPr="00FA35AF">
        <w:rPr>
          <w:lang w:val="es-ES"/>
        </w:rPr>
        <w:t>268, 8</w:t>
      </w:r>
      <w:r w:rsidRPr="00A805B4">
        <w:rPr>
          <w:lang w:val="es-ES"/>
        </w:rPr>
        <w:t> </w:t>
      </w:r>
      <w:r w:rsidRPr="00FA35AF">
        <w:rPr>
          <w:lang w:val="es-ES"/>
        </w:rPr>
        <w:t>376</w:t>
      </w:r>
      <w:r w:rsidRPr="00A805B4">
        <w:rPr>
          <w:lang w:val="es-ES"/>
        </w:rPr>
        <w:t>,</w:t>
      </w:r>
      <w:r w:rsidRPr="00FA35AF">
        <w:rPr>
          <w:lang w:val="es-ES"/>
        </w:rPr>
        <w:t>5, 12</w:t>
      </w:r>
      <w:r w:rsidRPr="00A805B4">
        <w:rPr>
          <w:lang w:val="es-ES"/>
        </w:rPr>
        <w:t> </w:t>
      </w:r>
      <w:r w:rsidRPr="00FA35AF">
        <w:rPr>
          <w:lang w:val="es-ES"/>
        </w:rPr>
        <w:t xml:space="preserve">520 </w:t>
      </w:r>
      <w:r w:rsidRPr="00A805B4">
        <w:rPr>
          <w:lang w:val="es-ES"/>
        </w:rPr>
        <w:t>y</w:t>
      </w:r>
      <w:r w:rsidRPr="00FA35AF">
        <w:rPr>
          <w:lang w:val="es-ES"/>
        </w:rPr>
        <w:t xml:space="preserve"> 16</w:t>
      </w:r>
      <w:r w:rsidRPr="00A805B4">
        <w:rPr>
          <w:lang w:val="es-ES"/>
        </w:rPr>
        <w:t> </w:t>
      </w:r>
      <w:r w:rsidRPr="00FA35AF">
        <w:rPr>
          <w:lang w:val="es-ES"/>
        </w:rPr>
        <w:t>695</w:t>
      </w:r>
      <w:r w:rsidRPr="00A805B4">
        <w:rPr>
          <w:lang w:val="es-ES"/>
        </w:rPr>
        <w:t> </w:t>
      </w:r>
      <w:r w:rsidRPr="00FA35AF">
        <w:rPr>
          <w:lang w:val="es-ES"/>
        </w:rPr>
        <w:t>kHz)</w:t>
      </w:r>
      <w:r w:rsidRPr="006159FB">
        <w:rPr>
          <w:lang w:val="es-ES"/>
        </w:rPr>
        <w:t>;</w:t>
      </w:r>
    </w:p>
    <w:p w14:paraId="55CF2276" w14:textId="76EDD44B" w:rsidR="006159FB" w:rsidRPr="006159FB" w:rsidRDefault="006159FB" w:rsidP="006159FB">
      <w:pPr>
        <w:pStyle w:val="enumlev1"/>
        <w:rPr>
          <w:lang w:val="es-ES"/>
        </w:rPr>
      </w:pPr>
      <w:r w:rsidRPr="006159FB">
        <w:rPr>
          <w:lang w:val="es-ES"/>
        </w:rPr>
        <w:t>–</w:t>
      </w:r>
      <w:r w:rsidRPr="006159FB">
        <w:rPr>
          <w:lang w:val="es-ES"/>
        </w:rPr>
        <w:tab/>
        <w:t>frecuencias internacionales para llamada radiotelefónica (4 125, 4 417, 6 215, 6 516, 8 255, 8 779, 12 290, 12 359, 13 137, 16 420, 16 537, 17 302, 18 795, 19 770, 22 060, 22 756, 25 097 y 26 172 kHz);</w:t>
      </w:r>
    </w:p>
    <w:p w14:paraId="2CDFF0A0" w14:textId="1CF642CD" w:rsidR="009C3798" w:rsidRDefault="006159FB" w:rsidP="006159FB">
      <w:pPr>
        <w:pStyle w:val="enumlev1"/>
        <w:rPr>
          <w:color w:val="000000"/>
          <w:lang w:val="es-ES_tradnl"/>
        </w:rPr>
      </w:pPr>
      <w:r w:rsidRPr="006159FB">
        <w:rPr>
          <w:lang w:val="es-ES"/>
        </w:rPr>
        <w:t>–</w:t>
      </w:r>
      <w:r w:rsidRPr="006159FB">
        <w:rPr>
          <w:lang w:val="es-ES"/>
        </w:rPr>
        <w:tab/>
        <w:t>frecuencias internacionales para funcionamiento barco-costera o entre barcos (2 045, 2 048, 2 635 y 2 638 kHz);</w:t>
      </w:r>
    </w:p>
    <w:p w14:paraId="4572496B" w14:textId="77777777" w:rsidR="00243C1F" w:rsidRDefault="00243C1F" w:rsidP="009C3798">
      <w:pPr>
        <w:pStyle w:val="enumlev1"/>
        <w:rPr>
          <w:color w:val="000000"/>
          <w:lang w:val="es-ES_tradnl"/>
        </w:rPr>
      </w:pPr>
    </w:p>
    <w:p w14:paraId="261EF3EE" w14:textId="77777777" w:rsidR="00B97C02" w:rsidRDefault="00B97C02" w:rsidP="009C3798">
      <w:pPr>
        <w:pStyle w:val="enumlev1"/>
        <w:rPr>
          <w:color w:val="000000"/>
          <w:lang w:val="es-ES_tradnl"/>
        </w:rPr>
        <w:sectPr w:rsidR="00B97C02" w:rsidSect="00E41FDD">
          <w:headerReference w:type="default" r:id="rId7"/>
          <w:footnotePr>
            <w:pos w:val="beneathText"/>
            <w:numFmt w:val="chicago"/>
          </w:footnotePr>
          <w:pgSz w:w="11907" w:h="16840" w:code="9"/>
          <w:pgMar w:top="1701" w:right="851" w:bottom="1134" w:left="1985" w:header="720" w:footer="482" w:gutter="0"/>
          <w:cols w:space="720"/>
          <w:vAlign w:val="both"/>
        </w:sectPr>
      </w:pPr>
    </w:p>
    <w:p w14:paraId="0C80C815" w14:textId="77777777"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14:paraId="43888035"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14:paraId="66AB3C08" w14:textId="77777777"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t>Si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22AE362" w14:textId="77777777" w:rsidR="00A60C28" w:rsidRPr="003667EC" w:rsidRDefault="00A60C28" w:rsidP="007E3FFE">
      <w:pPr>
        <w:pStyle w:val="Heading8"/>
        <w:rPr>
          <w:color w:val="000000"/>
          <w:lang w:val="es-ES_tradnl"/>
        </w:rPr>
      </w:pPr>
      <w:r w:rsidRPr="003667EC">
        <w:rPr>
          <w:color w:val="000000"/>
          <w:lang w:val="es-ES_tradnl"/>
        </w:rPr>
        <w:t>11.14</w:t>
      </w:r>
    </w:p>
    <w:p w14:paraId="526216B2" w14:textId="77777777"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t>Esta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14:paraId="180D7A51"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14:paraId="581A2C1F"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14:paraId="7F1B9206" w14:textId="267E1CDD" w:rsidR="00676B57" w:rsidRDefault="00676B57" w:rsidP="00676B57">
      <w:pPr>
        <w:rPr>
          <w:color w:val="000000"/>
          <w:lang w:val="es-ES_tradnl"/>
        </w:rPr>
      </w:pPr>
      <w:r w:rsidRPr="003667EC">
        <w:rPr>
          <w:color w:val="000000"/>
          <w:lang w:val="es-ES_tradnl"/>
        </w:rPr>
        <w:t>2</w:t>
      </w:r>
      <w:r w:rsidRPr="003667EC">
        <w:rPr>
          <w:color w:val="000000"/>
          <w:lang w:val="es-ES_tradnl"/>
        </w:rPr>
        <w:tab/>
        <w:t>Si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4F261F07" w14:textId="77777777" w:rsidR="00243C1F" w:rsidRPr="003667EC" w:rsidRDefault="00243C1F" w:rsidP="00676B57">
      <w:pPr>
        <w:rPr>
          <w:color w:val="000000"/>
          <w:lang w:val="es-ES_tradnl"/>
        </w:rPr>
      </w:pPr>
    </w:p>
    <w:p w14:paraId="5FBDFE8B" w14:textId="77777777" w:rsidR="00B97C02" w:rsidRDefault="00B97C02" w:rsidP="007E3FFE">
      <w:pPr>
        <w:rPr>
          <w:color w:val="000000"/>
          <w:lang w:val="es-ES_tradnl"/>
        </w:rPr>
        <w:sectPr w:rsidR="00B97C02" w:rsidSect="00E41FDD">
          <w:headerReference w:type="even" r:id="rId8"/>
          <w:footnotePr>
            <w:pos w:val="beneathText"/>
            <w:numFmt w:val="chicago"/>
          </w:footnotePr>
          <w:pgSz w:w="11907" w:h="16840" w:code="9"/>
          <w:pgMar w:top="1701" w:right="851" w:bottom="1134" w:left="1985" w:header="720" w:footer="482" w:gutter="0"/>
          <w:cols w:space="720"/>
          <w:vAlign w:val="both"/>
        </w:sectPr>
      </w:pPr>
    </w:p>
    <w:p w14:paraId="16DAF8D5" w14:textId="77777777"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t>Teniendo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14:paraId="6988D127" w14:textId="77777777" w:rsidR="00A60C28" w:rsidRPr="003667EC" w:rsidRDefault="00A60C28" w:rsidP="00BF0573">
      <w:pPr>
        <w:pStyle w:val="Heading8"/>
        <w:spacing w:before="240"/>
        <w:rPr>
          <w:lang w:val="es-ES_tradnl"/>
        </w:rPr>
      </w:pPr>
      <w:r w:rsidRPr="003667EC">
        <w:rPr>
          <w:lang w:val="es-ES_tradnl"/>
        </w:rPr>
        <w:t>11.17</w:t>
      </w:r>
    </w:p>
    <w:p w14:paraId="40CCB3D6" w14:textId="77777777"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14:paraId="081BFD73" w14:textId="77777777" w:rsidR="00A60C28" w:rsidRPr="003667EC" w:rsidRDefault="00A60C28">
      <w:pPr>
        <w:rPr>
          <w:color w:val="000000"/>
          <w:lang w:val="es-ES_tradnl"/>
        </w:rPr>
      </w:pPr>
      <w:r w:rsidRPr="003667EC">
        <w:rPr>
          <w:color w:val="000000"/>
          <w:lang w:val="es-ES_tradnl"/>
        </w:rPr>
        <w:t>1</w:t>
      </w:r>
      <w:r w:rsidRPr="003667EC">
        <w:rPr>
          <w:color w:val="000000"/>
          <w:lang w:val="es-ES_tradnl"/>
        </w:rPr>
        <w:tab/>
        <w:t>Asignaciones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14:paraId="34D6DD0D" w14:textId="77777777" w:rsidR="00A60C28" w:rsidRPr="003667EC" w:rsidRDefault="00A60C28">
      <w:pPr>
        <w:rPr>
          <w:color w:val="000000"/>
          <w:lang w:val="es-ES_tradnl"/>
        </w:rPr>
      </w:pPr>
      <w:r w:rsidRPr="003667EC">
        <w:rPr>
          <w:color w:val="000000"/>
          <w:lang w:val="es-ES_tradnl"/>
        </w:rPr>
        <w:t>2</w:t>
      </w:r>
      <w:r w:rsidRPr="003667EC">
        <w:rPr>
          <w:color w:val="000000"/>
          <w:lang w:val="es-ES_tradnl"/>
        </w:rPr>
        <w:tab/>
        <w:t>Asignaciones a las estaciones del servicio de radiodifusión en cualquier banda (número </w:t>
      </w:r>
      <w:r w:rsidRPr="003667EC">
        <w:rPr>
          <w:rStyle w:val="Artref"/>
          <w:b/>
          <w:color w:val="000000"/>
          <w:lang w:val="es-ES_tradnl"/>
        </w:rPr>
        <w:t>11.19</w:t>
      </w:r>
      <w:r w:rsidRPr="003667EC">
        <w:rPr>
          <w:color w:val="000000"/>
          <w:lang w:val="es-ES_tradnl"/>
        </w:rPr>
        <w:t>).</w:t>
      </w:r>
    </w:p>
    <w:p w14:paraId="31EAFF02" w14:textId="77777777"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t>Asignaciones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14:paraId="53F949D9" w14:textId="03A86A9B"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w:t>
      </w:r>
      <w:r w:rsidR="00243C1F">
        <w:rPr>
          <w:color w:val="000000"/>
          <w:lang w:val="es-ES_tradnl"/>
        </w:rPr>
        <w:t xml:space="preserve"> </w:t>
      </w:r>
      <w:r w:rsidRPr="003667EC">
        <w:rPr>
          <w:color w:val="000000"/>
          <w:lang w:val="es-ES_tradnl"/>
        </w:rPr>
        <w:t xml:space="preserve">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w:t>
      </w:r>
      <w:r w:rsidRPr="003667EC">
        <w:rPr>
          <w:color w:val="000000"/>
          <w:lang w:val="es-ES_tradnl"/>
        </w:rPr>
        <w:lastRenderedPageBreak/>
        <w:t>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14:paraId="1D92DA62" w14:textId="77777777" w:rsidR="009C3798" w:rsidRDefault="00A60C28" w:rsidP="00E41FDD">
      <w:pPr>
        <w:rPr>
          <w:color w:val="000000"/>
          <w:lang w:val="es-ES_tradnl"/>
        </w:rPr>
      </w:pPr>
      <w:r w:rsidRPr="003667EC">
        <w:rPr>
          <w:color w:val="000000"/>
          <w:lang w:val="es-ES_tradnl"/>
        </w:rPr>
        <w:t>4</w:t>
      </w:r>
      <w:r w:rsidRPr="003667EC">
        <w:rPr>
          <w:color w:val="000000"/>
          <w:lang w:val="es-ES_tradnl"/>
        </w:rPr>
        <w:tab/>
        <w:t>Asignaciones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14:paraId="25D09F32" w14:textId="77777777"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14:paraId="4F78007A" w14:textId="77777777"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14:paraId="49B734D1" w14:textId="63253506"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14:paraId="1472105E" w14:textId="371D304D"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14:paraId="76EAA2D6" w14:textId="77777777"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t>Asignaciones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14:paraId="2275F0E4" w14:textId="77777777"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14:paraId="21A72C21" w14:textId="77777777"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t>Las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14:paraId="2554A48A" w14:textId="77777777" w:rsidR="00E41FDD" w:rsidRDefault="00E41FDD" w:rsidP="00FB6506">
      <w:pPr>
        <w:spacing w:before="120"/>
        <w:rPr>
          <w:color w:val="000000"/>
          <w:lang w:val="es-ES_tradnl"/>
        </w:rPr>
      </w:pPr>
      <w:r>
        <w:rPr>
          <w:color w:val="000000"/>
          <w:lang w:val="es-ES_tradnl"/>
        </w:rPr>
        <w:br w:type="page"/>
      </w:r>
    </w:p>
    <w:p w14:paraId="3B38FE9A" w14:textId="0BEB5887" w:rsidR="00A60C28" w:rsidRPr="003667EC" w:rsidRDefault="00A60C28" w:rsidP="009243FB">
      <w:pPr>
        <w:pStyle w:val="Heading8"/>
        <w:rPr>
          <w:color w:val="000000"/>
          <w:lang w:val="es-ES_tradnl"/>
        </w:rPr>
      </w:pPr>
      <w:r w:rsidRPr="003667EC">
        <w:rPr>
          <w:color w:val="000000"/>
          <w:lang w:val="es-ES_tradnl"/>
        </w:rPr>
        <w:lastRenderedPageBreak/>
        <w:t>11.28</w:t>
      </w:r>
    </w:p>
    <w:p w14:paraId="148C23D4" w14:textId="77777777"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14:paraId="5F47333C" w14:textId="77777777"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14:paraId="49857FFB" w14:textId="77777777"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14:paraId="218B8B57" w14:textId="77777777"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14:paraId="016D4334" w14:textId="77777777"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14:paraId="57B7D703" w14:textId="77777777"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14:paraId="42C085FA" w14:textId="77777777" w:rsidR="00AB7173" w:rsidRDefault="00AB7173" w:rsidP="00AB7173">
      <w:pPr>
        <w:rPr>
          <w:lang w:val="es-ES_tradnl"/>
        </w:rPr>
      </w:pPr>
    </w:p>
    <w:p w14:paraId="6EE09EBC" w14:textId="77777777" w:rsidR="00997054" w:rsidRDefault="00997054" w:rsidP="00FB6506">
      <w:pPr>
        <w:pStyle w:val="enumlev1"/>
        <w:rPr>
          <w:rFonts w:asciiTheme="minorHAnsi" w:hAnsiTheme="minorHAnsi"/>
          <w:color w:val="000000"/>
          <w:lang w:val="es-ES_tradnl"/>
        </w:rPr>
        <w:sectPr w:rsidR="00997054" w:rsidSect="00E41FDD">
          <w:headerReference w:type="even" r:id="rId9"/>
          <w:headerReference w:type="default" r:id="rId10"/>
          <w:footnotePr>
            <w:pos w:val="beneathText"/>
            <w:numFmt w:val="chicago"/>
          </w:footnotePr>
          <w:pgSz w:w="11907" w:h="16840" w:code="9"/>
          <w:pgMar w:top="1701" w:right="851" w:bottom="1134" w:left="1985" w:header="720" w:footer="482" w:gutter="0"/>
          <w:cols w:space="720"/>
          <w:vAlign w:val="both"/>
        </w:sectPr>
      </w:pPr>
    </w:p>
    <w:p w14:paraId="3A36871C" w14:textId="77777777" w:rsidR="00A60C28" w:rsidRPr="003667EC" w:rsidRDefault="00A60C28">
      <w:pPr>
        <w:pStyle w:val="Heading8"/>
        <w:rPr>
          <w:color w:val="000000"/>
          <w:lang w:val="es-ES_tradnl"/>
        </w:rPr>
      </w:pPr>
      <w:r w:rsidRPr="003667EC">
        <w:rPr>
          <w:color w:val="000000"/>
          <w:lang w:val="es-ES_tradnl"/>
        </w:rPr>
        <w:lastRenderedPageBreak/>
        <w:t>11.31</w:t>
      </w:r>
    </w:p>
    <w:p w14:paraId="58EA1DE7" w14:textId="77777777"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t xml:space="preserve">La disposición número </w:t>
      </w:r>
      <w:r w:rsidRPr="003667EC">
        <w:rPr>
          <w:rStyle w:val="Artref"/>
          <w:b/>
          <w:color w:val="000000"/>
          <w:lang w:val="es-ES_tradnl"/>
        </w:rPr>
        <w:t>11.31.2</w:t>
      </w:r>
      <w:r w:rsidRPr="003667EC">
        <w:rPr>
          <w:color w:val="000000"/>
          <w:lang w:val="es-ES_tradnl"/>
        </w:rPr>
        <w:t xml:space="preserve"> estipula que las </w:t>
      </w:r>
      <w:r w:rsidRPr="00364B5B">
        <w:rPr>
          <w:i/>
          <w:iCs/>
          <w:color w:val="000000"/>
          <w:lang w:val="es-ES_tradnl"/>
        </w:rPr>
        <w:t>«demás disposiciones»</w:t>
      </w:r>
      <w:r w:rsidRPr="003667EC">
        <w:rPr>
          <w:color w:val="000000"/>
          <w:lang w:val="es-ES_tradnl"/>
        </w:rPr>
        <w:t xml:space="preserve">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14:paraId="288A13DE" w14:textId="77777777"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14:paraId="5428E32B"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14:paraId="3F9FD950" w14:textId="77777777"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hace mención de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14:paraId="7260B318"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w:t>
      </w:r>
      <w:r w:rsidRPr="00364B5B">
        <w:rPr>
          <w:i/>
          <w:iCs/>
          <w:color w:val="000000"/>
          <w:lang w:val="es-ES_tradnl"/>
        </w:rPr>
        <w:t>«demás disposiciones»</w:t>
      </w:r>
      <w:r w:rsidRPr="003667EC">
        <w:rPr>
          <w:color w:val="000000"/>
          <w:lang w:val="es-ES_tradnl"/>
        </w:rPr>
        <w:t xml:space="preserve">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14:paraId="02C3822E" w14:textId="4F3A42C2"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 xml:space="preserve">A continuación se indica la lista de </w:t>
      </w:r>
      <w:r w:rsidRPr="00364B5B">
        <w:rPr>
          <w:i/>
          <w:iCs/>
          <w:color w:val="000000"/>
          <w:lang w:val="es-ES_tradnl"/>
        </w:rPr>
        <w:t>«las demás disposiciones»</w:t>
      </w:r>
      <w:r w:rsidRPr="003667EC">
        <w:rPr>
          <w:color w:val="000000"/>
          <w:lang w:val="es-ES_tradnl"/>
        </w:rPr>
        <w:t xml:space="preserve">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p>
    <w:p w14:paraId="2165C5E7" w14:textId="77777777"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14:paraId="5865E252" w14:textId="77777777"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14:paraId="57A8457F" w14:textId="70145DEB" w:rsidR="00F064A9"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14:paraId="5863FE2D" w14:textId="77777777" w:rsidR="00243C1F" w:rsidRPr="003667EC" w:rsidRDefault="00243C1F" w:rsidP="007E3FFE">
      <w:pPr>
        <w:rPr>
          <w:color w:val="000000"/>
          <w:lang w:val="es-ES_tradnl"/>
        </w:rPr>
      </w:pPr>
    </w:p>
    <w:p w14:paraId="6D7EED94" w14:textId="77777777" w:rsidR="00997054" w:rsidRDefault="00997054" w:rsidP="004306BF">
      <w:pPr>
        <w:rPr>
          <w:color w:val="000000"/>
          <w:lang w:val="es-ES"/>
        </w:rPr>
        <w:sectPr w:rsidR="00997054" w:rsidSect="00E41FDD">
          <w:headerReference w:type="even" r:id="rId11"/>
          <w:footnotePr>
            <w:pos w:val="beneathText"/>
            <w:numFmt w:val="chicago"/>
          </w:footnotePr>
          <w:pgSz w:w="11907" w:h="16840" w:code="9"/>
          <w:pgMar w:top="1701" w:right="851" w:bottom="1134" w:left="1985" w:header="720" w:footer="482" w:gutter="0"/>
          <w:cols w:space="720"/>
          <w:vAlign w:val="both"/>
        </w:sectPr>
      </w:pPr>
    </w:p>
    <w:p w14:paraId="396D3BCE" w14:textId="77777777"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14:paraId="2E9C1D30" w14:textId="77777777"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14:paraId="40144D98" w14:textId="77777777" w:rsidTr="00700F38">
        <w:trPr>
          <w:cantSplit/>
          <w:jc w:val="center"/>
        </w:trPr>
        <w:tc>
          <w:tcPr>
            <w:tcW w:w="2835" w:type="dxa"/>
            <w:tcBorders>
              <w:top w:val="nil"/>
              <w:left w:val="nil"/>
            </w:tcBorders>
          </w:tcPr>
          <w:p w14:paraId="36187BA0" w14:textId="77777777"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14:paraId="644B8403" w14:textId="77777777"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14:paraId="752E037B" w14:textId="77777777" w:rsidTr="00700F38">
        <w:trPr>
          <w:cantSplit/>
          <w:jc w:val="center"/>
        </w:trPr>
        <w:tc>
          <w:tcPr>
            <w:tcW w:w="2835" w:type="dxa"/>
          </w:tcPr>
          <w:p w14:paraId="65F18646"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14:paraId="7DB92542"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14:paraId="42D76284" w14:textId="77777777"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14:paraId="5BEB4070" w14:textId="77777777"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14:paraId="6B13E466" w14:textId="77777777"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14:paraId="5B711E34" w14:textId="77777777" w:rsidTr="00700F38">
        <w:trPr>
          <w:cantSplit/>
          <w:jc w:val="center"/>
        </w:trPr>
        <w:tc>
          <w:tcPr>
            <w:tcW w:w="2835" w:type="dxa"/>
            <w:tcBorders>
              <w:bottom w:val="single" w:sz="6" w:space="0" w:color="auto"/>
            </w:tcBorders>
          </w:tcPr>
          <w:p w14:paraId="01486B37"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14:paraId="5245D540"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14:paraId="5C12E1E6" w14:textId="77777777"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14:paraId="321D3504" w14:textId="77777777" w:rsidTr="00700F38">
        <w:trPr>
          <w:cantSplit/>
          <w:jc w:val="center"/>
        </w:trPr>
        <w:tc>
          <w:tcPr>
            <w:tcW w:w="2835" w:type="dxa"/>
          </w:tcPr>
          <w:p w14:paraId="1DA08F14" w14:textId="77777777"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14:paraId="339DB21B" w14:textId="77777777"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14:paraId="43C6865B" w14:textId="77777777"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14:paraId="258799C5" w14:textId="77777777" w:rsidR="00F064A9" w:rsidRPr="003667EC" w:rsidRDefault="00F064A9" w:rsidP="00F064A9">
      <w:pPr>
        <w:pStyle w:val="TableFin"/>
        <w:rPr>
          <w:color w:val="000000"/>
          <w:lang w:val="es-ES_tradnl"/>
        </w:rPr>
      </w:pPr>
    </w:p>
    <w:p w14:paraId="5E22E0B3" w14:textId="77777777"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14:paraId="7B130D76" w14:textId="77777777"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14:paraId="24F8714A" w14:textId="77777777" w:rsidR="00F064A9" w:rsidRDefault="00F064A9" w:rsidP="00F064A9">
      <w:pPr>
        <w:rPr>
          <w:lang w:val="es-ES_tradnl"/>
        </w:rPr>
      </w:pPr>
      <w:r w:rsidRPr="003667EC">
        <w:rPr>
          <w:lang w:val="es-ES_tradnl"/>
        </w:rPr>
        <w:t>2.5.2</w:t>
      </w:r>
      <w:r w:rsidRPr="003667EC">
        <w:rPr>
          <w:lang w:val="es-ES_tradnl"/>
        </w:rPr>
        <w:tab/>
        <w:t>conformidad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14:paraId="6A1EDC74" w14:textId="5861D88B" w:rsidR="008036F8" w:rsidRDefault="008036F8" w:rsidP="008036F8">
      <w:pPr>
        <w:rPr>
          <w:color w:val="000000"/>
          <w:lang w:val="es-ES_tradnl"/>
        </w:rPr>
      </w:pPr>
      <w:r w:rsidRPr="003667EC">
        <w:rPr>
          <w:color w:val="000000"/>
          <w:lang w:val="es-ES_tradnl"/>
        </w:rPr>
        <w:t>2.6</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14:paraId="3CBD4462" w14:textId="77777777" w:rsidR="00243C1F" w:rsidRPr="003667EC" w:rsidRDefault="00243C1F" w:rsidP="008036F8">
      <w:pPr>
        <w:rPr>
          <w:color w:val="000000"/>
          <w:lang w:val="es-ES_tradnl"/>
        </w:rPr>
      </w:pPr>
    </w:p>
    <w:p w14:paraId="3CFC2D4D" w14:textId="77777777" w:rsidR="00997054" w:rsidRDefault="00997054" w:rsidP="008036F8">
      <w:pPr>
        <w:rPr>
          <w:color w:val="000000"/>
          <w:lang w:val="es-ES_tradnl"/>
        </w:rPr>
        <w:sectPr w:rsidR="00997054" w:rsidSect="00E41FDD">
          <w:headerReference w:type="default" r:id="rId12"/>
          <w:footnotePr>
            <w:pos w:val="beneathText"/>
            <w:numFmt w:val="chicago"/>
          </w:footnotePr>
          <w:pgSz w:w="11907" w:h="16840" w:code="9"/>
          <w:pgMar w:top="1701" w:right="851" w:bottom="1134" w:left="1985" w:header="720" w:footer="482" w:gutter="0"/>
          <w:cols w:space="720"/>
          <w:vAlign w:val="both"/>
        </w:sectPr>
      </w:pPr>
    </w:p>
    <w:p w14:paraId="3162B0AD" w14:textId="77777777" w:rsidR="00F064A9" w:rsidRPr="003667EC" w:rsidRDefault="00F064A9" w:rsidP="006B1FA3">
      <w:pPr>
        <w:spacing w:before="60"/>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14:paraId="32209E30" w14:textId="77777777" w:rsidR="00F064A9" w:rsidRPr="003667EC" w:rsidRDefault="00F064A9" w:rsidP="006B1FA3">
      <w:pPr>
        <w:spacing w:before="60"/>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14:paraId="286159E7" w14:textId="2A441DA6" w:rsidR="00F064A9" w:rsidRPr="002C5784" w:rsidRDefault="00F064A9" w:rsidP="006B1FA3">
      <w:pPr>
        <w:spacing w:before="60"/>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w:t>
      </w:r>
      <w:r w:rsidR="00151019">
        <w:rPr>
          <w:rStyle w:val="FootnoteReference"/>
          <w:color w:val="000000"/>
          <w:lang w:val="es-ES_tradnl"/>
        </w:rPr>
        <w:footnoteReference w:customMarkFollows="1" w:id="9"/>
        <w:t>9</w:t>
      </w:r>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14:paraId="39C2AAD1" w14:textId="77777777" w:rsidR="00F064A9" w:rsidRPr="003667EC" w:rsidRDefault="00F064A9" w:rsidP="006B1FA3">
      <w:pPr>
        <w:spacing w:before="60"/>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14:paraId="7C1FDABB" w14:textId="7D994923" w:rsidR="00F064A9" w:rsidRDefault="00F064A9" w:rsidP="006B1FA3">
      <w:pPr>
        <w:spacing w:before="60"/>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14:paraId="724DE4EE" w14:textId="3367B517" w:rsidR="0009055E" w:rsidRPr="005E5EFE" w:rsidRDefault="0009055E" w:rsidP="006B1FA3">
      <w:pPr>
        <w:spacing w:before="60" w:line="280" w:lineRule="exact"/>
        <w:rPr>
          <w:i/>
          <w:iCs/>
          <w:szCs w:val="22"/>
          <w:lang w:val="es-ES_tradnl"/>
        </w:rPr>
      </w:pPr>
      <w:r w:rsidRPr="005E5EFE">
        <w:rPr>
          <w:szCs w:val="22"/>
          <w:lang w:val="es-ES_tradnl"/>
        </w:rPr>
        <w:t>2.6.6</w:t>
      </w:r>
      <w:r w:rsidRPr="005E5EFE">
        <w:rPr>
          <w:szCs w:val="22"/>
          <w:lang w:val="es-ES_tradnl"/>
        </w:rPr>
        <w:tab/>
        <w:t xml:space="preserve">conformidad con el límite aplicable a la interferencia de una sola fuente que se especifica en el número </w:t>
      </w:r>
      <w:r w:rsidRPr="005E5EFE">
        <w:rPr>
          <w:b/>
          <w:bCs/>
          <w:szCs w:val="22"/>
          <w:lang w:val="es-ES_tradnl"/>
        </w:rPr>
        <w:t>22.5L</w:t>
      </w:r>
      <w:r w:rsidRPr="005E5EFE">
        <w:rPr>
          <w:szCs w:val="22"/>
          <w:lang w:val="es-ES_tradnl"/>
        </w:rPr>
        <w:t xml:space="preserve"> para los sistemas de satélites no geoestacionarios del servicio fijo por satélite;</w:t>
      </w:r>
    </w:p>
    <w:p w14:paraId="31546B7C" w14:textId="1474C0BF" w:rsidR="0009055E" w:rsidRPr="005E5EFE" w:rsidRDefault="0009055E" w:rsidP="006B1FA3">
      <w:pPr>
        <w:spacing w:before="60" w:line="280" w:lineRule="exact"/>
        <w:rPr>
          <w:szCs w:val="22"/>
          <w:lang w:val="es-ES_tradnl"/>
        </w:rPr>
      </w:pPr>
      <w:r w:rsidRPr="005E5EFE">
        <w:rPr>
          <w:szCs w:val="22"/>
          <w:lang w:val="es-ES_tradnl"/>
        </w:rPr>
        <w:t>2.6.7</w:t>
      </w:r>
      <w:r w:rsidRPr="005E5EFE">
        <w:rPr>
          <w:szCs w:val="22"/>
          <w:lang w:val="es-ES_tradnl"/>
        </w:rPr>
        <w:tab/>
        <w:t xml:space="preserve">conformidad con el límite de densidad de flujo de potencia (dfp) producida por las estaciones terrenas en la OSG, según se indica en el número </w:t>
      </w:r>
      <w:r w:rsidRPr="005E5EFE">
        <w:rPr>
          <w:b/>
          <w:bCs/>
          <w:szCs w:val="22"/>
          <w:lang w:val="es-ES_tradnl"/>
        </w:rPr>
        <w:t>22.40</w:t>
      </w:r>
      <w:r w:rsidRPr="005E5EFE">
        <w:rPr>
          <w:szCs w:val="22"/>
          <w:lang w:val="es-ES_tradnl"/>
        </w:rPr>
        <w:t>;</w:t>
      </w:r>
    </w:p>
    <w:p w14:paraId="0EAC329E" w14:textId="7FC8B54C" w:rsidR="0009055E" w:rsidRPr="00A160F1" w:rsidRDefault="0009055E" w:rsidP="006B1FA3">
      <w:pPr>
        <w:spacing w:before="60" w:line="280" w:lineRule="exact"/>
        <w:rPr>
          <w:rFonts w:eastAsia="SimSun"/>
          <w:szCs w:val="22"/>
          <w:lang w:val="es-ES_tradnl"/>
        </w:rPr>
      </w:pPr>
      <w:r w:rsidRPr="005E5EFE">
        <w:rPr>
          <w:szCs w:val="22"/>
          <w:lang w:val="es-ES_tradnl"/>
        </w:rPr>
        <w:t>2.6.8</w:t>
      </w:r>
      <w:r w:rsidRPr="005E5EFE">
        <w:rPr>
          <w:szCs w:val="22"/>
          <w:lang w:val="es-ES_tradnl"/>
        </w:rPr>
        <w:tab/>
        <w:t xml:space="preserve">conformidad con el límite especificado en los números </w:t>
      </w:r>
      <w:r w:rsidRPr="005E5EFE">
        <w:rPr>
          <w:b/>
          <w:bCs/>
          <w:szCs w:val="22"/>
          <w:lang w:val="es-ES_tradnl"/>
        </w:rPr>
        <w:t>22.8</w:t>
      </w:r>
      <w:r w:rsidRPr="005E5EFE">
        <w:rPr>
          <w:szCs w:val="22"/>
          <w:lang w:val="es-ES_tradnl"/>
        </w:rPr>
        <w:t xml:space="preserve">, </w:t>
      </w:r>
      <w:r w:rsidRPr="005E5EFE">
        <w:rPr>
          <w:b/>
          <w:bCs/>
          <w:szCs w:val="22"/>
          <w:lang w:val="es-ES_tradnl"/>
        </w:rPr>
        <w:t>22.13</w:t>
      </w:r>
      <w:r w:rsidRPr="005E5EFE">
        <w:rPr>
          <w:szCs w:val="22"/>
          <w:lang w:val="es-ES_tradnl"/>
        </w:rPr>
        <w:t xml:space="preserve">, </w:t>
      </w:r>
      <w:r w:rsidRPr="005E5EFE">
        <w:rPr>
          <w:b/>
          <w:bCs/>
          <w:szCs w:val="22"/>
          <w:lang w:val="es-ES_tradnl"/>
        </w:rPr>
        <w:t>22.17</w:t>
      </w:r>
      <w:r w:rsidRPr="005E5EFE">
        <w:rPr>
          <w:szCs w:val="22"/>
          <w:lang w:val="es-ES_tradnl"/>
        </w:rPr>
        <w:t xml:space="preserve"> y </w:t>
      </w:r>
      <w:r w:rsidRPr="005E5EFE">
        <w:rPr>
          <w:b/>
          <w:bCs/>
          <w:szCs w:val="22"/>
          <w:lang w:val="es-ES_tradnl"/>
        </w:rPr>
        <w:t>22.19</w:t>
      </w:r>
      <w:r w:rsidRPr="005E5EFE">
        <w:rPr>
          <w:szCs w:val="22"/>
          <w:lang w:val="es-ES_tradnl"/>
        </w:rPr>
        <w:t>.</w:t>
      </w:r>
    </w:p>
    <w:p w14:paraId="17626D01" w14:textId="77777777" w:rsidR="00F064A9" w:rsidRPr="003667EC" w:rsidRDefault="00F064A9" w:rsidP="006B1FA3">
      <w:pPr>
        <w:spacing w:before="60"/>
        <w:rPr>
          <w:color w:val="000000"/>
          <w:lang w:val="es-ES_tradnl"/>
        </w:rPr>
      </w:pPr>
      <w:r w:rsidRPr="003667EC">
        <w:rPr>
          <w:color w:val="000000"/>
          <w:lang w:val="es-ES_tradnl"/>
        </w:rPr>
        <w:t>3</w:t>
      </w:r>
      <w:r w:rsidRPr="003667EC">
        <w:rPr>
          <w:color w:val="000000"/>
          <w:lang w:val="es-ES_tradnl"/>
        </w:rPr>
        <w:tab/>
        <w:t xml:space="preserve">Otras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14:paraId="35FC77DC" w14:textId="77777777" w:rsidR="00F064A9" w:rsidRPr="003667EC" w:rsidRDefault="00F064A9" w:rsidP="006B1FA3">
      <w:pPr>
        <w:pStyle w:val="Heading1"/>
        <w:spacing w:before="60"/>
        <w:rPr>
          <w:sz w:val="24"/>
          <w:szCs w:val="24"/>
          <w:lang w:val="es-ES_tradnl"/>
        </w:rPr>
      </w:pPr>
      <w:r w:rsidRPr="00376B7F">
        <w:rPr>
          <w:color w:val="000000"/>
          <w:lang w:val="es-ES_tradnl"/>
        </w:rPr>
        <w:t>4</w:t>
      </w:r>
      <w:r w:rsidRPr="00376B7F">
        <w:rPr>
          <w:color w:val="000000"/>
          <w:lang w:val="es-ES_tradnl"/>
        </w:rPr>
        <w:tab/>
      </w:r>
      <w:r w:rsidRPr="003667EC">
        <w:rPr>
          <w:b w:val="0"/>
          <w:bCs/>
          <w:sz w:val="24"/>
          <w:szCs w:val="24"/>
          <w:lang w:val="es-ES_tradnl"/>
        </w:rPr>
        <w:t>(No utilizado)</w:t>
      </w:r>
    </w:p>
    <w:p w14:paraId="318F0B1D" w14:textId="77777777" w:rsidR="00F064A9" w:rsidRPr="003667EC" w:rsidRDefault="00F064A9" w:rsidP="006B1FA3">
      <w:pPr>
        <w:pStyle w:val="Heading1"/>
        <w:spacing w:before="60" w:line="280" w:lineRule="exact"/>
        <w:rPr>
          <w:color w:val="000000"/>
          <w:lang w:val="es-ES_tradnl"/>
        </w:rPr>
      </w:pPr>
      <w:r w:rsidRPr="003667EC">
        <w:rPr>
          <w:color w:val="000000"/>
          <w:lang w:val="es-ES_tradnl"/>
        </w:rPr>
        <w:t>5</w:t>
      </w:r>
      <w:r w:rsidRPr="003667EC">
        <w:rPr>
          <w:color w:val="000000"/>
          <w:lang w:val="es-ES_tradnl"/>
        </w:rPr>
        <w:tab/>
        <w:t>Conformidad con el Cuadro de atribución de bandas de frecuencias</w:t>
      </w:r>
    </w:p>
    <w:p w14:paraId="57AA295B" w14:textId="77777777" w:rsidR="00F064A9" w:rsidRPr="003667EC" w:rsidRDefault="00F064A9" w:rsidP="006B1FA3">
      <w:pPr>
        <w:spacing w:before="60"/>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14:paraId="36016F63" w14:textId="77777777" w:rsidR="00997054" w:rsidRDefault="00997054" w:rsidP="00F064A9">
      <w:pPr>
        <w:rPr>
          <w:color w:val="000000"/>
          <w:lang w:val="es-ES_tradnl"/>
        </w:rPr>
        <w:sectPr w:rsidR="00997054" w:rsidSect="00E41FDD">
          <w:headerReference w:type="even" r:id="rId13"/>
          <w:footnotePr>
            <w:pos w:val="beneathText"/>
            <w:numFmt w:val="chicago"/>
          </w:footnotePr>
          <w:pgSz w:w="11907" w:h="16840" w:code="9"/>
          <w:pgMar w:top="1701" w:right="851" w:bottom="1134" w:left="1985" w:header="720" w:footer="482" w:gutter="0"/>
          <w:cols w:space="720"/>
          <w:vAlign w:val="both"/>
        </w:sectPr>
      </w:pPr>
    </w:p>
    <w:p w14:paraId="701AEEF2" w14:textId="77777777"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14:paraId="544DACC7" w14:textId="77777777"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14:paraId="42EA39AA" w14:textId="77777777"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14:paraId="2EB313C3" w14:textId="77777777"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14:paraId="2709F3FC"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14:paraId="43E1E3B6"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14:paraId="4BE99CCD" w14:textId="77777777" w:rsidR="00F064A9" w:rsidRPr="003667EC" w:rsidRDefault="00F064A9" w:rsidP="00F064A9">
      <w:pPr>
        <w:rPr>
          <w:lang w:val="es-ES_tradnl"/>
        </w:rPr>
      </w:pPr>
      <w:r w:rsidRPr="003667EC">
        <w:rPr>
          <w:lang w:val="es-ES_tradnl"/>
        </w:rPr>
        <w:t>En respuesta a estas preguntas, la Junta llegó a las siguientes conclusiones:</w:t>
      </w:r>
    </w:p>
    <w:p w14:paraId="5C313C96" w14:textId="77777777"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14:paraId="67EE37B5" w14:textId="77777777"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14:paraId="38DC0634" w14:textId="77777777"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14:paraId="6BE6BE7F" w14:textId="77777777" w:rsidR="008036F8" w:rsidRDefault="008036F8" w:rsidP="00141CA8">
      <w:pPr>
        <w:pStyle w:val="enumlev1"/>
        <w:rPr>
          <w:i/>
          <w:color w:val="000000"/>
          <w:lang w:val="es-ES_tradnl"/>
        </w:rPr>
      </w:pPr>
      <w:r>
        <w:rPr>
          <w:i/>
          <w:color w:val="000000"/>
          <w:lang w:val="es-ES_tradnl"/>
        </w:rPr>
        <w:br w:type="page"/>
      </w:r>
    </w:p>
    <w:p w14:paraId="0E270487" w14:textId="77777777"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14:paraId="09E56239" w14:textId="77777777"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14:paraId="3FF5DA82" w14:textId="77777777" w:rsidR="00141CA8" w:rsidRPr="003667EC" w:rsidRDefault="00141CA8" w:rsidP="00141CA8">
      <w:pPr>
        <w:pStyle w:val="enumlev1"/>
        <w:rPr>
          <w:color w:val="000000"/>
          <w:lang w:val="es-ES_tradnl"/>
        </w:rPr>
      </w:pPr>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r w:rsidRPr="003667EC">
        <w:rPr>
          <w:color w:val="000000"/>
          <w:lang w:val="es-ES_tradnl"/>
        </w:rPr>
        <w:tab/>
        <w:t xml:space="preserve">La estación espacial tiene una </w:t>
      </w:r>
      <w:r w:rsidRPr="00402C5C">
        <w:rPr>
          <w:i/>
          <w:iCs/>
          <w:color w:val="000000"/>
          <w:lang w:val="es-ES_tradnl"/>
        </w:rPr>
        <w:t xml:space="preserve">«zona de cobertura» </w:t>
      </w:r>
      <w:r w:rsidRPr="003667EC">
        <w:rPr>
          <w:color w:val="000000"/>
          <w:lang w:val="es-ES_tradnl"/>
        </w:rPr>
        <w:t xml:space="preserve">que generalmente comprende la </w:t>
      </w:r>
      <w:r w:rsidRPr="00402C5C">
        <w:rPr>
          <w:i/>
          <w:iCs/>
          <w:color w:val="000000"/>
          <w:lang w:val="es-ES_tradnl"/>
        </w:rPr>
        <w:t>«zona de servicio»</w:t>
      </w:r>
      <w:r w:rsidRPr="003667EC">
        <w:rPr>
          <w:color w:val="000000"/>
          <w:lang w:val="es-ES_tradnl"/>
        </w:rPr>
        <w:t xml:space="preserve">.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14:paraId="55CC70BC" w14:textId="77777777"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14:paraId="1F0DCF64" w14:textId="77777777"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14:paraId="6FD9E2CD" w14:textId="77777777"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t xml:space="preserve">El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14:paraId="14DECA83" w14:textId="20DCFFA9" w:rsidR="00141CA8" w:rsidRDefault="00141CA8" w:rsidP="00141CA8">
      <w:pPr>
        <w:rPr>
          <w:color w:val="000000"/>
          <w:lang w:val="es-ES_tradnl"/>
        </w:rPr>
      </w:pPr>
      <w:r w:rsidRPr="003667EC">
        <w:rPr>
          <w:color w:val="000000"/>
          <w:lang w:val="es-ES_tradnl"/>
        </w:rPr>
        <w:t>7</w:t>
      </w:r>
      <w:r w:rsidRPr="003667EC">
        <w:rPr>
          <w:b/>
          <w:color w:val="000000"/>
          <w:lang w:val="es-ES_tradnl"/>
        </w:rPr>
        <w:tab/>
      </w:r>
      <w:r w:rsidRPr="003667EC">
        <w:rPr>
          <w:color w:val="000000"/>
          <w:lang w:val="es-ES_tradnl"/>
        </w:rPr>
        <w:t xml:space="preserve">El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solamente cuando se la informe de que existe tal acuerdo. La Oficina trata este acuerdo separadamente del acuerdo de coordinación.</w:t>
      </w:r>
    </w:p>
    <w:p w14:paraId="2DC33962" w14:textId="77777777" w:rsidR="003155E4" w:rsidRDefault="003155E4" w:rsidP="00141CA8">
      <w:pPr>
        <w:rPr>
          <w:color w:val="000000"/>
          <w:lang w:val="es-ES_tradnl"/>
        </w:rPr>
      </w:pPr>
    </w:p>
    <w:p w14:paraId="5769E075" w14:textId="77777777" w:rsidR="006E128E" w:rsidRDefault="006E128E" w:rsidP="00141CA8">
      <w:pPr>
        <w:rPr>
          <w:color w:val="000000"/>
          <w:lang w:val="es-ES_tradnl"/>
        </w:rPr>
        <w:sectPr w:rsidR="006E128E" w:rsidSect="00007AA8">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6F8FA640" w14:textId="00A3F647" w:rsidR="003155E4" w:rsidRPr="003155E4" w:rsidRDefault="003155E4" w:rsidP="003155E4">
      <w:pPr>
        <w:rPr>
          <w:lang w:val="es-ES"/>
        </w:rPr>
      </w:pPr>
      <w:r w:rsidRPr="003155E4">
        <w:rPr>
          <w:lang w:val="es-ES"/>
        </w:rPr>
        <w:lastRenderedPageBreak/>
        <w:t>8</w:t>
      </w:r>
      <w:r w:rsidRPr="003155E4">
        <w:rPr>
          <w:lang w:val="es-ES"/>
        </w:rPr>
        <w:tab/>
        <w:t>Para realizar el examen de la conformidad con los límites de potencia, incluidos los límites de densidad de flujo de potencia y los límites de p.i.r.e., la Junta observó que se utilizan las características de transmisión definidas en el nivel de emisión de la asignación de frecuencias junto con las características de ganancia de las antenas correspondientes. Los niveles de potencia transmitida se obtienen a partir de los puntos C.8.a.1/C.8.b.1 del Apéndice </w:t>
      </w:r>
      <w:r w:rsidRPr="003155E4">
        <w:rPr>
          <w:b/>
          <w:bCs/>
          <w:lang w:val="es-ES"/>
        </w:rPr>
        <w:t>4</w:t>
      </w:r>
      <w:r w:rsidRPr="003155E4">
        <w:rPr>
          <w:lang w:val="es-ES"/>
        </w:rPr>
        <w:t xml:space="preserve"> – potencia envolvente pico máxima/total y los puntos C.8.a.2/C.8.b.2 – la densidad de potencia máxima. La Junta decidió que para calcular la potencia transmitida a efectos del examen con arreglo al número </w:t>
      </w:r>
      <w:r w:rsidRPr="003155E4">
        <w:rPr>
          <w:b/>
          <w:bCs/>
          <w:lang w:val="es-ES"/>
        </w:rPr>
        <w:t>11.31</w:t>
      </w:r>
      <w:r w:rsidRPr="003155E4">
        <w:rPr>
          <w:lang w:val="es-ES"/>
        </w:rPr>
        <w:t xml:space="preserve"> no podrían utilizarse otros puntos del Apéndice </w:t>
      </w:r>
      <w:r w:rsidRPr="003155E4">
        <w:rPr>
          <w:b/>
          <w:bCs/>
          <w:lang w:val="es-ES"/>
        </w:rPr>
        <w:t>4</w:t>
      </w:r>
      <w:r w:rsidRPr="003155E4">
        <w:rPr>
          <w:lang w:val="es-ES"/>
        </w:rPr>
        <w:t xml:space="preserve"> que indican la p.i.r.e. máxima o media del haz como valor único o en función del ángulo de elevación (puntos </w:t>
      </w:r>
      <w:r w:rsidRPr="00A805B4">
        <w:rPr>
          <w:lang w:val="es-ES"/>
        </w:rPr>
        <w:t>B.4.b.4.a</w:t>
      </w:r>
      <w:r w:rsidR="004962F1">
        <w:rPr>
          <w:lang w:val="es-ES"/>
        </w:rPr>
        <w:t>,</w:t>
      </w:r>
      <w:r w:rsidRPr="00A805B4">
        <w:rPr>
          <w:lang w:val="es-ES"/>
        </w:rPr>
        <w:t xml:space="preserve"> B.4.b.4.a</w:t>
      </w:r>
      <w:r w:rsidRPr="00A805B4">
        <w:rPr>
          <w:i/>
          <w:iCs/>
          <w:lang w:val="es-ES"/>
        </w:rPr>
        <w:t>bis</w:t>
      </w:r>
      <w:r w:rsidRPr="00A805B4">
        <w:rPr>
          <w:lang w:val="es-ES"/>
        </w:rPr>
        <w:t>, B.4.b.4.a</w:t>
      </w:r>
      <w:r w:rsidRPr="00A805B4">
        <w:rPr>
          <w:i/>
          <w:iCs/>
          <w:lang w:val="es-ES"/>
        </w:rPr>
        <w:t>ter</w:t>
      </w:r>
      <w:r w:rsidRPr="00A805B4">
        <w:rPr>
          <w:lang w:val="es-ES"/>
        </w:rPr>
        <w:t>, B.4.b.4.b, B.4.b.4.c, B.4.b.4.c</w:t>
      </w:r>
      <w:r w:rsidRPr="00A805B4">
        <w:rPr>
          <w:i/>
          <w:iCs/>
          <w:lang w:val="es-ES"/>
        </w:rPr>
        <w:t>bis</w:t>
      </w:r>
      <w:r w:rsidRPr="00A805B4">
        <w:rPr>
          <w:lang w:val="es-ES"/>
        </w:rPr>
        <w:t>, B.4.b.4.c</w:t>
      </w:r>
      <w:r w:rsidRPr="00A805B4">
        <w:rPr>
          <w:i/>
          <w:iCs/>
          <w:lang w:val="es-ES"/>
        </w:rPr>
        <w:t>ter</w:t>
      </w:r>
      <w:r w:rsidRPr="00A805B4">
        <w:rPr>
          <w:lang w:val="es-ES"/>
        </w:rPr>
        <w:t>, B.4.b.4.d)</w:t>
      </w:r>
      <w:r w:rsidRPr="003155E4">
        <w:rPr>
          <w:lang w:val="es-ES"/>
        </w:rPr>
        <w:t>. Ahora bien, las administraciones podrán utilizar esos datos al realizar la coordinación bilateral.</w:t>
      </w:r>
    </w:p>
    <w:p w14:paraId="05BD91ED" w14:textId="7E4C46F7" w:rsidR="003155E4" w:rsidRPr="003155E4" w:rsidRDefault="003155E4" w:rsidP="003155E4">
      <w:pPr>
        <w:rPr>
          <w:lang w:val="es-ES"/>
        </w:rPr>
      </w:pPr>
      <w:bookmarkStart w:id="0" w:name="_Hlk168064607"/>
      <w:r w:rsidRPr="003155E4">
        <w:rPr>
          <w:lang w:val="es-ES"/>
        </w:rPr>
        <w:t>9</w:t>
      </w:r>
      <w:r w:rsidRPr="003155E4">
        <w:rPr>
          <w:lang w:val="es-ES"/>
        </w:rPr>
        <w:tab/>
        <w:t>En los casos en que la red o el sistema de satélite que contiene las asignaciones de frecuencia al enlace de servicio (véase la información presentada en el punto A.1.c del Anexo 2 al Apéndice </w:t>
      </w:r>
      <w:r w:rsidRPr="003155E4">
        <w:rPr>
          <w:b/>
          <w:bCs/>
          <w:lang w:val="es-ES"/>
        </w:rPr>
        <w:t>4</w:t>
      </w:r>
      <w:r w:rsidRPr="003155E4">
        <w:rPr>
          <w:lang w:val="es-ES"/>
        </w:rPr>
        <w:t>) no pertenezca a la misma administración notificante que las asignaciones de frecuencia al enlace de conexión y la administración notificante de la red o el sistema de satélite que contiene el enlace de servicio no esté de acuerdo con dicha utilización, la Junta decidió que esta última administración informará a la administración notificante del enlace de conexión y a la Oficina. Una vez recibida dicha información y en ausencia de información contraria, la Oficina revisará la conclusión de las asignaciones de frecuencias al enlace de conexión con arreglo al número </w:t>
      </w:r>
      <w:r w:rsidRPr="003155E4">
        <w:rPr>
          <w:b/>
          <w:bCs/>
          <w:lang w:val="es-ES"/>
        </w:rPr>
        <w:t>11.31</w:t>
      </w:r>
      <w:r w:rsidR="00D448F7">
        <w:rPr>
          <w:lang w:val="es-ES"/>
        </w:rPr>
        <w:t>.</w:t>
      </w:r>
    </w:p>
    <w:bookmarkEnd w:id="0"/>
    <w:p w14:paraId="1D77D187" w14:textId="77777777" w:rsidR="003155E4" w:rsidRDefault="003155E4" w:rsidP="00141CA8">
      <w:pPr>
        <w:rPr>
          <w:color w:val="000000"/>
          <w:lang w:val="es-ES_tradnl"/>
        </w:rPr>
      </w:pPr>
    </w:p>
    <w:p w14:paraId="10C82535" w14:textId="77777777" w:rsidR="008D3F16" w:rsidRDefault="008D3F16" w:rsidP="00141CA8">
      <w:pPr>
        <w:rPr>
          <w:color w:val="000000"/>
          <w:lang w:val="es-ES_tradnl"/>
        </w:rPr>
      </w:pPr>
    </w:p>
    <w:p w14:paraId="01098B6A" w14:textId="77777777" w:rsidR="008D3F16" w:rsidRDefault="008D3F16" w:rsidP="00141CA8">
      <w:pPr>
        <w:rPr>
          <w:color w:val="000000"/>
          <w:lang w:val="es-ES_tradnl"/>
        </w:rPr>
      </w:pPr>
    </w:p>
    <w:p w14:paraId="45FD8021" w14:textId="77777777" w:rsidR="008D3F16" w:rsidRDefault="008D3F16" w:rsidP="00141CA8">
      <w:pPr>
        <w:rPr>
          <w:color w:val="000000"/>
          <w:lang w:val="es-ES_tradnl"/>
        </w:rPr>
      </w:pPr>
    </w:p>
    <w:p w14:paraId="32E11813" w14:textId="77777777" w:rsidR="008D3F16" w:rsidRDefault="008D3F16" w:rsidP="00141CA8">
      <w:pPr>
        <w:rPr>
          <w:color w:val="000000"/>
          <w:lang w:val="es-ES_tradnl"/>
        </w:rPr>
      </w:pPr>
    </w:p>
    <w:p w14:paraId="4A39152D" w14:textId="77777777" w:rsidR="008D3F16" w:rsidRDefault="008D3F16" w:rsidP="00141CA8">
      <w:pPr>
        <w:rPr>
          <w:color w:val="000000"/>
          <w:lang w:val="es-ES_tradnl"/>
        </w:rPr>
      </w:pPr>
    </w:p>
    <w:p w14:paraId="6DD8C03B" w14:textId="77777777" w:rsidR="008D3F16" w:rsidRDefault="008D3F16" w:rsidP="00141CA8">
      <w:pPr>
        <w:rPr>
          <w:color w:val="000000"/>
          <w:lang w:val="es-ES_tradnl"/>
        </w:rPr>
      </w:pPr>
    </w:p>
    <w:p w14:paraId="308EEC58" w14:textId="77777777" w:rsidR="008D3F16" w:rsidRDefault="008D3F16" w:rsidP="00141CA8">
      <w:pPr>
        <w:rPr>
          <w:color w:val="000000"/>
          <w:lang w:val="es-ES_tradnl"/>
        </w:rPr>
      </w:pPr>
    </w:p>
    <w:p w14:paraId="0A367EB1" w14:textId="77777777" w:rsidR="008D3F16" w:rsidRDefault="008D3F16" w:rsidP="00141CA8">
      <w:pPr>
        <w:rPr>
          <w:color w:val="000000"/>
          <w:lang w:val="es-ES_tradnl"/>
        </w:rPr>
      </w:pPr>
    </w:p>
    <w:p w14:paraId="0EC5EEEA" w14:textId="77777777" w:rsidR="008D3F16" w:rsidRDefault="008D3F16" w:rsidP="00141CA8">
      <w:pPr>
        <w:rPr>
          <w:color w:val="000000"/>
          <w:lang w:val="es-ES_tradnl"/>
        </w:rPr>
      </w:pPr>
    </w:p>
    <w:p w14:paraId="353EEE6F" w14:textId="77777777" w:rsidR="006E128E" w:rsidRDefault="006E128E" w:rsidP="00141CA8">
      <w:pPr>
        <w:rPr>
          <w:color w:val="000000"/>
          <w:lang w:val="es-ES_tradnl"/>
        </w:rPr>
      </w:pPr>
    </w:p>
    <w:p w14:paraId="2AD9D705" w14:textId="77777777" w:rsidR="006E128E" w:rsidRDefault="006E128E" w:rsidP="00141CA8">
      <w:pPr>
        <w:rPr>
          <w:color w:val="000000"/>
          <w:lang w:val="es-ES_tradnl"/>
        </w:rPr>
        <w:sectPr w:rsidR="006E128E" w:rsidSect="009B7147">
          <w:headerReference w:type="even" r:id="rId16"/>
          <w:footnotePr>
            <w:pos w:val="beneathText"/>
          </w:footnotePr>
          <w:type w:val="oddPage"/>
          <w:pgSz w:w="11907" w:h="16840" w:code="9"/>
          <w:pgMar w:top="1701" w:right="851" w:bottom="1134" w:left="1985" w:header="720" w:footer="482" w:gutter="0"/>
          <w:cols w:space="720"/>
          <w:vAlign w:val="both"/>
        </w:sectPr>
      </w:pPr>
    </w:p>
    <w:p w14:paraId="566F595D" w14:textId="77777777" w:rsidR="00A60C28" w:rsidRPr="003667EC" w:rsidRDefault="00A60C28">
      <w:pPr>
        <w:pStyle w:val="Heading8"/>
        <w:rPr>
          <w:color w:val="000000"/>
          <w:lang w:val="es-ES_tradnl"/>
        </w:rPr>
      </w:pPr>
      <w:r w:rsidRPr="003667EC">
        <w:rPr>
          <w:color w:val="000000"/>
          <w:lang w:val="es-ES_tradnl"/>
        </w:rPr>
        <w:lastRenderedPageBreak/>
        <w:t>11.32</w:t>
      </w:r>
    </w:p>
    <w:p w14:paraId="08C42EAA" w14:textId="77777777" w:rsidR="00D72BCF" w:rsidRPr="003667EC" w:rsidRDefault="00D72BCF" w:rsidP="005913DD">
      <w:pPr>
        <w:pStyle w:val="Heading1"/>
        <w:spacing w:before="240"/>
        <w:rPr>
          <w:color w:val="000000"/>
          <w:lang w:val="es-ES_tradnl"/>
        </w:rPr>
      </w:pPr>
      <w:r w:rsidRPr="003667EC">
        <w:rPr>
          <w:color w:val="000000"/>
          <w:lang w:val="es-ES_tradnl"/>
        </w:rPr>
        <w:t>1</w:t>
      </w:r>
      <w:r w:rsidRPr="003667EC">
        <w:rPr>
          <w:color w:val="000000"/>
          <w:lang w:val="es-ES_tradnl"/>
        </w:rPr>
        <w:tab/>
        <w:t>Examen de una asignación de frecuencia a una estación espacial</w:t>
      </w:r>
    </w:p>
    <w:p w14:paraId="693ED61E" w14:textId="3DA8BA88" w:rsidR="00D72BCF" w:rsidRPr="003667EC" w:rsidRDefault="008D3F16" w:rsidP="00D72BCF">
      <w:pPr>
        <w:rPr>
          <w:color w:val="000000"/>
          <w:lang w:val="es-ES_tradnl"/>
        </w:rPr>
      </w:pPr>
      <w:r>
        <w:rPr>
          <w:color w:val="000000"/>
          <w:lang w:val="es-ES_tradnl"/>
        </w:rPr>
        <w:t>1.1</w:t>
      </w:r>
      <w:r>
        <w:rPr>
          <w:color w:val="000000"/>
          <w:lang w:val="es-ES_tradnl"/>
        </w:rPr>
        <w:tab/>
      </w:r>
      <w:r w:rsidR="00D72BCF" w:rsidRPr="003667EC">
        <w:rPr>
          <w:color w:val="000000"/>
          <w:lang w:val="es-ES_tradnl"/>
        </w:rPr>
        <w:t xml:space="preserve">La aplicación literal de esta disposición conduciría al examen de la asignación notificada con cualquier estación identificada en aplicación del número </w:t>
      </w:r>
      <w:r w:rsidR="00D72BCF" w:rsidRPr="003667EC">
        <w:rPr>
          <w:rStyle w:val="Artref"/>
          <w:b/>
          <w:color w:val="000000"/>
          <w:lang w:val="es-ES_tradnl"/>
        </w:rPr>
        <w:t>9.27</w:t>
      </w:r>
      <w:r w:rsidR="00D72BCF"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00D72BCF" w:rsidRPr="003667EC">
        <w:rPr>
          <w:color w:val="000000"/>
          <w:lang w:val="es-ES_tradnl"/>
        </w:rPr>
        <w:t>nación. La Junta adoptó un enfoque práctico que consiste en lo siguiente:</w:t>
      </w:r>
    </w:p>
    <w:p w14:paraId="2AA93D1A" w14:textId="0D00D4BF"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Los cálculos con respecto a las redes de una administración que, según lo indicado en la notificación, ha dado su acuerdo para la coordinación (números</w:t>
      </w:r>
      <w:r w:rsidR="00243C1F">
        <w:rPr>
          <w:color w:val="000000"/>
          <w:lang w:val="es-ES_tradnl"/>
        </w:rPr>
        <w:t>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14:paraId="3999E01E" w14:textId="77777777"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14:paraId="5F37B849" w14:textId="77777777"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14:paraId="77A5BD1B" w14:textId="77777777"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14:paraId="2C54A6ED" w14:textId="77777777"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14:paraId="6D664223" w14:textId="77777777" w:rsidR="005913DD" w:rsidRDefault="005913DD" w:rsidP="008036F8">
      <w:pPr>
        <w:rPr>
          <w:lang w:val="es-ES"/>
        </w:rPr>
      </w:pPr>
      <w:r w:rsidRPr="005913DD">
        <w:rPr>
          <w:lang w:val="es-ES"/>
        </w:rPr>
        <w:t>1.2</w:t>
      </w:r>
      <w:r w:rsidRPr="005913DD">
        <w:rPr>
          <w:lang w:val="es-ES"/>
        </w:rPr>
        <w:tab/>
        <w:t>La Junta observó que la Conferencia Mundial de Radiocomunicaciones (Dubái, 2023) (CMR</w:t>
      </w:r>
      <w:r w:rsidRPr="005913DD">
        <w:rPr>
          <w:lang w:val="es-ES"/>
        </w:rPr>
        <w:noBreakHyphen/>
        <w:t>23) suprimió los siguientes puntos de datos del Anexo 2 al Apéndice </w:t>
      </w:r>
      <w:r w:rsidRPr="005913DD">
        <w:rPr>
          <w:b/>
          <w:bCs/>
          <w:lang w:val="es-ES"/>
        </w:rPr>
        <w:t>4</w:t>
      </w:r>
      <w:r w:rsidRPr="005913DD">
        <w:rPr>
          <w:lang w:val="es-ES"/>
        </w:rPr>
        <w:t xml:space="preserve">: el punto A.4.b.4.g </w:t>
      </w:r>
      <w:r>
        <w:rPr>
          <w:i/>
          <w:iCs/>
          <w:lang w:val="es-ES"/>
        </w:rPr>
        <w:t xml:space="preserve">− </w:t>
      </w:r>
      <w:r w:rsidRPr="005913DD">
        <w:rPr>
          <w:lang w:val="es-ES"/>
        </w:rPr>
        <w:t>ascensión recta del nodo ascendente (ARNA), y los puntos A.4.b.4.k/A.4.b.4.l (RR, edición de 2020)</w:t>
      </w:r>
      <w:r>
        <w:rPr>
          <w:lang w:val="es-ES"/>
        </w:rPr>
        <w:t xml:space="preserve"> </w:t>
      </w:r>
      <w:r>
        <w:rPr>
          <w:i/>
          <w:iCs/>
          <w:lang w:val="es-ES"/>
        </w:rPr>
        <w:t>−</w:t>
      </w:r>
      <w:r w:rsidRPr="005913DD">
        <w:rPr>
          <w:lang w:val="es-ES"/>
        </w:rPr>
        <w:t xml:space="preserve"> fecha y hora en que el satélite se encuentra en la ubicación definida por la longitud del nodo ascendente. La Junta decidió que la información presentada antes del 1 de enero de 2025 sobre la ascensión recta del nodo ascendente de los</w:t>
      </w:r>
      <w:r>
        <w:rPr>
          <w:lang w:val="es-ES"/>
        </w:rPr>
        <w:br/>
      </w:r>
    </w:p>
    <w:p w14:paraId="6B2FB167" w14:textId="64083EAC" w:rsidR="005913DD" w:rsidRDefault="005913DD" w:rsidP="008036F8">
      <w:pPr>
        <w:rPr>
          <w:lang w:val="es-ES_tradnl"/>
        </w:rPr>
      </w:pPr>
      <w:r w:rsidRPr="005913DD">
        <w:rPr>
          <w:lang w:val="es-ES"/>
        </w:rPr>
        <w:lastRenderedPageBreak/>
        <w:t>planos orbitales para los sistemas de satélites no geoestacionarios (no OSG) sujetos a la Sección II del Artículo </w:t>
      </w:r>
      <w:r w:rsidRPr="005913DD">
        <w:rPr>
          <w:b/>
          <w:bCs/>
          <w:lang w:val="es-ES"/>
        </w:rPr>
        <w:t>9</w:t>
      </w:r>
      <w:r w:rsidRPr="005913DD">
        <w:rPr>
          <w:lang w:val="es-ES"/>
        </w:rPr>
        <w:t xml:space="preserve"> debería seguir utilizándose durante la coordinación (incluso durante el examen de una modificación de las asignaciones de frecuencias de los sistemas no OSG en aplicación de la Regla de Procedimiento relativa al número </w:t>
      </w:r>
      <w:r w:rsidRPr="005913DD">
        <w:rPr>
          <w:b/>
          <w:bCs/>
          <w:lang w:val="es-ES"/>
        </w:rPr>
        <w:t>9.27</w:t>
      </w:r>
      <w:r w:rsidRPr="005913DD">
        <w:rPr>
          <w:lang w:val="es-ES"/>
        </w:rPr>
        <w:t>) cuando no se disponga de información sobre la longitud del nodo ascendente (véase el punto de datos A.4.b.4.j del Anexo 2 al Apéndice </w:t>
      </w:r>
      <w:r w:rsidRPr="005913DD">
        <w:rPr>
          <w:b/>
          <w:bCs/>
          <w:lang w:val="es-ES"/>
        </w:rPr>
        <w:t>4</w:t>
      </w:r>
      <w:r w:rsidRPr="005913DD">
        <w:rPr>
          <w:lang w:val="es-ES"/>
        </w:rPr>
        <w:t>) para el mismo plano orbital o cuando sea diferente de la actual longitud del nodo ascendente.</w:t>
      </w:r>
    </w:p>
    <w:p w14:paraId="4E83FFA8" w14:textId="77777777" w:rsidR="00A60C28" w:rsidRPr="003667EC" w:rsidRDefault="00A60C28" w:rsidP="00B76760">
      <w:pPr>
        <w:pStyle w:val="Heading1"/>
        <w:spacing w:line="280" w:lineRule="exact"/>
        <w:rPr>
          <w:color w:val="000000"/>
          <w:lang w:val="es-ES_tradnl"/>
        </w:rPr>
      </w:pPr>
      <w:r w:rsidRPr="003667EC">
        <w:rPr>
          <w:color w:val="000000"/>
          <w:lang w:val="es-ES_tradnl"/>
        </w:rPr>
        <w:t>2</w:t>
      </w:r>
      <w:r w:rsidRPr="003667EC">
        <w:rPr>
          <w:color w:val="000000"/>
          <w:lang w:val="es-ES_tradnl"/>
        </w:rPr>
        <w:tab/>
        <w:t>Examen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14:paraId="38F3A06E"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14:paraId="755E71FA" w14:textId="77777777"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14:paraId="434771BE" w14:textId="62706492"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w:t>
      </w:r>
      <w:r w:rsidR="00243C1F">
        <w:rPr>
          <w:color w:val="000000"/>
          <w:lang w:val="es-ES_tradnl"/>
        </w:rPr>
        <w:t xml:space="preserve"> </w:t>
      </w:r>
      <w:r w:rsidRPr="003667EC">
        <w:rPr>
          <w:color w:val="000000"/>
          <w:lang w:val="es-ES_tradnl"/>
        </w:rPr>
        <w:t>vez</w:t>
      </w:r>
    </w:p>
    <w:p w14:paraId="26E34B7C" w14:textId="5A36D148"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 xml:space="preserve">ciones correspondientes a la estación espacial asociada (por </w:t>
      </w:r>
      <w:r w:rsidR="001929B4" w:rsidRPr="003667EC">
        <w:rPr>
          <w:color w:val="000000"/>
          <w:lang w:val="es-ES_tradnl"/>
        </w:rPr>
        <w:t>ejemplo,</w:t>
      </w:r>
      <w:r w:rsidRPr="003667EC">
        <w:rPr>
          <w:color w:val="000000"/>
          <w:lang w:val="es-ES_tradnl"/>
        </w:rPr>
        <w:t xml:space="preserve"> la red de satélites).</w:t>
      </w:r>
    </w:p>
    <w:p w14:paraId="78D39621" w14:textId="77777777"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14:paraId="68337822" w14:textId="77777777"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14:paraId="19948BD7"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14:paraId="7CE19A7A" w14:textId="77777777" w:rsidR="00A650B3" w:rsidRDefault="00A60C28" w:rsidP="00355CA5">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14:paraId="7FF6D1BF" w14:textId="77777777" w:rsidR="00A650B3" w:rsidRDefault="00A650B3" w:rsidP="00355CA5">
      <w:pPr>
        <w:pStyle w:val="enumlev2"/>
        <w:rPr>
          <w:color w:val="000000"/>
          <w:lang w:val="es-ES_tradnl"/>
        </w:rPr>
        <w:sectPr w:rsidR="00A650B3" w:rsidSect="00007AA8">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5CFC1B17"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14:paraId="4EA839B1" w14:textId="77777777"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14:paraId="26BA0A34" w14:textId="77777777"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14:paraId="4A262AA2" w14:textId="77777777"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14:paraId="353E561B" w14:textId="77777777"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14:paraId="337A07B3" w14:textId="77777777" w:rsidR="00A60C28" w:rsidRPr="003667EC" w:rsidRDefault="00A60C28">
      <w:pPr>
        <w:rPr>
          <w:color w:val="000000"/>
          <w:lang w:val="es-ES_tradnl"/>
        </w:rPr>
      </w:pPr>
      <w:r w:rsidRPr="003667EC">
        <w:rPr>
          <w:color w:val="000000"/>
          <w:lang w:val="es-ES_tradnl"/>
        </w:rPr>
        <w:t>Esta categoría puede incluir los casos siguientes:</w:t>
      </w:r>
    </w:p>
    <w:p w14:paraId="6B863936"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14:paraId="174DCEFF" w14:textId="77777777" w:rsidR="00F01943" w:rsidRDefault="00F01943">
      <w:pPr>
        <w:pStyle w:val="enumlev1"/>
        <w:rPr>
          <w:i/>
          <w:color w:val="000000"/>
          <w:lang w:val="es-ES_tradnl"/>
        </w:rPr>
      </w:pPr>
      <w:r>
        <w:rPr>
          <w:i/>
          <w:color w:val="000000"/>
          <w:lang w:val="es-ES_tradnl"/>
        </w:rPr>
        <w:br w:type="page"/>
      </w:r>
    </w:p>
    <w:p w14:paraId="1F0AC236"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14:paraId="7AC96695" w14:textId="77777777"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14:paraId="1B716196" w14:textId="77777777"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14:paraId="67B969EB" w14:textId="77777777"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14:paraId="4F213F93" w14:textId="77777777"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14:paraId="4990D71F" w14:textId="77777777"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14:paraId="5499AF9B" w14:textId="77777777"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14:paraId="26F2A401" w14:textId="77777777"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asociada,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14:paraId="458A73E8" w14:textId="77777777"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14:paraId="6B8D784D" w14:textId="77777777" w:rsidR="00A60C28" w:rsidRPr="003667EC" w:rsidRDefault="00A60C28">
      <w:pPr>
        <w:rPr>
          <w:color w:val="000000"/>
          <w:lang w:val="es-ES_tradnl"/>
        </w:rPr>
      </w:pPr>
      <w:r w:rsidRPr="003667EC">
        <w:rPr>
          <w:color w:val="000000"/>
          <w:lang w:val="es-ES_tradnl"/>
        </w:rPr>
        <w:t>La modificación de una asignación a una estación terrena puede afectar a:</w:t>
      </w:r>
    </w:p>
    <w:p w14:paraId="2D4D06D4"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14:paraId="7F0BB95F"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14:paraId="7FD360DA" w14:textId="338D8A42"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otra u otras característica(s) cualesquiera.</w:t>
      </w:r>
    </w:p>
    <w:p w14:paraId="6B378866" w14:textId="77777777" w:rsidR="00F01943" w:rsidRDefault="00F01943" w:rsidP="00F01943">
      <w:pPr>
        <w:rPr>
          <w:lang w:val="es-ES_tradnl"/>
        </w:rPr>
      </w:pPr>
      <w:r>
        <w:rPr>
          <w:lang w:val="es-ES_tradnl"/>
        </w:rPr>
        <w:br w:type="page"/>
      </w:r>
    </w:p>
    <w:p w14:paraId="4C789EF9" w14:textId="77777777"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14:paraId="4A77A247" w14:textId="77777777"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14:paraId="6A99663E" w14:textId="77777777"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14:paraId="19F43A4F" w14:textId="77777777"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14:paraId="496D9DC0" w14:textId="77777777"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14:paraId="0D49994F" w14:textId="77777777"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14:paraId="5B8B14E9" w14:textId="77777777"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14:paraId="01AE04BE" w14:textId="77777777"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14:paraId="0BF89530" w14:textId="77777777"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t>Examen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14:paraId="5A8013B3" w14:textId="77777777"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14:paraId="7E80B2E0" w14:textId="77777777" w:rsidR="00F01943" w:rsidRPr="003667EC" w:rsidRDefault="004C44AE" w:rsidP="00F60ECF">
      <w:pPr>
        <w:rPr>
          <w:color w:val="000000"/>
          <w:u w:val="single"/>
          <w:lang w:val="es-ES_tradnl"/>
        </w:rPr>
      </w:pPr>
      <w:r w:rsidRPr="003667EC">
        <w:rPr>
          <w:lang w:val="es-ES_tradnl"/>
        </w:rPr>
        <w:br w:type="page"/>
      </w:r>
    </w:p>
    <w:p w14:paraId="2A5B2BC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t>Examen de las notificaciones de asignación de frecuencia a estaciones en los servicios terrenales en las bandas compartidas con igualdad de derechos con el servicio espacial</w:t>
      </w:r>
    </w:p>
    <w:p w14:paraId="06AAE9BB" w14:textId="77777777"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14:paraId="65D55125" w14:textId="6D881881"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003421C9">
        <w:rPr>
          <w:rStyle w:val="FootnoteReference"/>
          <w:color w:val="000000"/>
          <w:lang w:val="es-ES_tradnl"/>
        </w:rPr>
        <w:footnoteReference w:customMarkFollows="1" w:id="10"/>
        <w:t>10</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14:paraId="4396EAB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t>Examen de las notificaciones de asignación de frecuencia a esta</w:t>
      </w:r>
      <w:r w:rsidRPr="003667EC">
        <w:rPr>
          <w:color w:val="000000"/>
          <w:lang w:val="es-ES_tradnl"/>
        </w:rPr>
        <w:softHyphen/>
        <w:t>ciones terrenas que funcionan en sentido opuesto de transmisión</w:t>
      </w:r>
    </w:p>
    <w:p w14:paraId="0FB6FBAC" w14:textId="77777777"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14:paraId="79E1A7C2" w14:textId="77777777"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14:paraId="60EDB91B" w14:textId="77777777" w:rsidR="00F01943" w:rsidRDefault="00F01943" w:rsidP="00F01943">
      <w:pPr>
        <w:rPr>
          <w:lang w:val="es-ES_tradnl"/>
        </w:rPr>
      </w:pPr>
      <w:r>
        <w:rPr>
          <w:lang w:val="es-ES_tradnl"/>
        </w:rPr>
        <w:br w:type="page"/>
      </w:r>
    </w:p>
    <w:p w14:paraId="1AE335ED" w14:textId="77777777"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t>Examen de las asignaciones de frecuencia a un enlace entre satélites de una estación espacial geoestacionaria que se comunica con una estación espacial no geoestacionaria</w:t>
      </w:r>
    </w:p>
    <w:p w14:paraId="199874E8" w14:textId="77777777"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14:paraId="08C9976A" w14:textId="77777777"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ambos extremos del enlace entre satélites, es decir a la estación OSG del enlace así como a la no OSG, coordinando de este modo todo el enlace (como ocurre en otras formas de coordinación); o</w:t>
      </w:r>
    </w:p>
    <w:p w14:paraId="38C27AA6" w14:textId="77777777"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14:paraId="17E8148A" w14:textId="77777777"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a ninguna de las estaciones del enlace entre satélites, dejando todo el enlace entre satélites sin coordinar (como ocurre cuando no procede la coordinación, por ejemplo en las redes no OSG).</w:t>
      </w:r>
    </w:p>
    <w:p w14:paraId="3D68AAA1" w14:textId="77777777"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14:paraId="7366BAAD" w14:textId="77777777"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14:paraId="47147708" w14:textId="77777777"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14:paraId="7727553B" w14:textId="77777777"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14:paraId="3AFDA4C8" w14:textId="77777777"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14:paraId="2FA7594F" w14:textId="77777777"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14:paraId="4219FE92" w14:textId="77777777"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14:paraId="7A47FCD4" w14:textId="77777777" w:rsidR="00F01943" w:rsidRDefault="00F01943" w:rsidP="00363FC4">
      <w:pPr>
        <w:spacing w:before="40"/>
        <w:rPr>
          <w:b/>
          <w:bCs/>
          <w:lang w:val="es-ES_tradnl" w:eastAsia="zh-CN"/>
        </w:rPr>
      </w:pPr>
      <w:r>
        <w:rPr>
          <w:b/>
          <w:bCs/>
          <w:lang w:val="es-ES_tradnl" w:eastAsia="zh-CN"/>
        </w:rPr>
        <w:br w:type="page"/>
      </w:r>
    </w:p>
    <w:p w14:paraId="36BB5065" w14:textId="4CA996AF" w:rsidR="008254E1" w:rsidRPr="008254E1" w:rsidRDefault="008254E1" w:rsidP="00363FC4">
      <w:pPr>
        <w:spacing w:before="40"/>
        <w:rPr>
          <w:lang w:val="es-ES_tradnl" w:eastAsia="zh-CN"/>
        </w:rPr>
      </w:pPr>
      <w:r w:rsidRPr="008254E1">
        <w:rPr>
          <w:b/>
          <w:bCs/>
          <w:lang w:val="es-ES_tradnl" w:eastAsia="zh-CN"/>
        </w:rPr>
        <w:lastRenderedPageBreak/>
        <w:t>Nota</w:t>
      </w:r>
      <w:r w:rsidR="00290328">
        <w:rPr>
          <w:lang w:val="es-ES_tradnl"/>
        </w:rPr>
        <w:t> </w:t>
      </w:r>
      <w:r w:rsidRPr="008254E1">
        <w:rPr>
          <w:lang w:val="es-ES_tradnl"/>
        </w:rPr>
        <w:t>–</w:t>
      </w:r>
      <w:r w:rsidR="00290328">
        <w:rPr>
          <w:lang w:val="es-ES_tradnl"/>
        </w:rPr>
        <w:t>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 xml:space="preserve">505 de la CMR-15) con la aprobación de Documento 416 de la CMR-15 en relación con el apartado 3.2.3.2 del Documento 4 (Add.2)(Rev.1), </w:t>
      </w:r>
      <w:r w:rsidRPr="008254E1">
        <w:rPr>
          <w:lang w:val="es-ES_tradnl"/>
        </w:rPr>
        <w:t>y estipuló lo siguiente</w:t>
      </w:r>
      <w:r w:rsidRPr="008254E1">
        <w:rPr>
          <w:rFonts w:eastAsia="SimSun"/>
          <w:lang w:val="es-ES_tradnl" w:eastAsia="zh-CN"/>
        </w:rPr>
        <w:t>:</w:t>
      </w:r>
    </w:p>
    <w:p w14:paraId="4B080470" w14:textId="77777777"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14:paraId="0D9F1D0C" w14:textId="77777777"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14:paraId="2C2A1F77" w14:textId="77777777"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14:paraId="6705E45B" w14:textId="77777777" w:rsidR="00A60C28" w:rsidRPr="003667EC" w:rsidRDefault="00A60C28" w:rsidP="00DA47A4">
      <w:pPr>
        <w:pStyle w:val="Heading8"/>
        <w:spacing w:before="240"/>
        <w:rPr>
          <w:color w:val="000000"/>
          <w:lang w:val="es-ES_tradnl"/>
        </w:rPr>
      </w:pPr>
      <w:r w:rsidRPr="003667EC">
        <w:rPr>
          <w:color w:val="000000"/>
          <w:lang w:val="es-ES_tradnl"/>
        </w:rPr>
        <w:t>11.32A</w:t>
      </w:r>
    </w:p>
    <w:p w14:paraId="681665E0" w14:textId="77777777"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14:paraId="3E4F3504" w14:textId="77777777" w:rsidR="00A60C28" w:rsidRPr="003667EC" w:rsidRDefault="00A60C28" w:rsidP="00DA47A4">
      <w:pPr>
        <w:pStyle w:val="Heading8"/>
        <w:spacing w:before="240"/>
        <w:rPr>
          <w:color w:val="000000"/>
          <w:lang w:val="es-ES_tradnl"/>
        </w:rPr>
      </w:pPr>
      <w:r w:rsidRPr="003667EC">
        <w:rPr>
          <w:color w:val="000000"/>
          <w:lang w:val="es-ES_tradnl"/>
        </w:rPr>
        <w:t>11.34</w:t>
      </w:r>
    </w:p>
    <w:p w14:paraId="7FB1B0D8" w14:textId="77777777"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t>Bandas regidas por el Apéndice </w:t>
      </w:r>
      <w:r w:rsidRPr="003667EC">
        <w:rPr>
          <w:rStyle w:val="Appref"/>
          <w:color w:val="000000"/>
          <w:lang w:val="es-ES_tradnl"/>
        </w:rPr>
        <w:t>25</w:t>
      </w:r>
    </w:p>
    <w:p w14:paraId="5EDA38DE" w14:textId="77777777"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14:paraId="74C473CA" w14:textId="77777777"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14:paraId="2F9AEFBD" w14:textId="77777777" w:rsidR="00D70EFE" w:rsidRDefault="00D70EFE" w:rsidP="00D70EFE">
      <w:pPr>
        <w:spacing w:before="120"/>
        <w:rPr>
          <w:color w:val="000000"/>
          <w:lang w:val="es-ES_tradnl"/>
        </w:rPr>
      </w:pPr>
      <w:r>
        <w:rPr>
          <w:color w:val="000000"/>
          <w:lang w:val="es-ES_tradnl"/>
        </w:rPr>
        <w:br w:type="page"/>
      </w:r>
    </w:p>
    <w:p w14:paraId="65EBFA1A" w14:textId="7B9CD5EE"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Las actualizaciones del Plan, a través de la aplicación del procedimiento del antiguo Artículo 16 del Reglamento de Radiocomunicaciones (edición de 1990, revisada en</w:t>
      </w:r>
      <w:r w:rsidR="00290328">
        <w:rPr>
          <w:color w:val="000000"/>
          <w:lang w:val="es-ES_tradnl"/>
        </w:rPr>
        <w:t> </w:t>
      </w:r>
      <w:r w:rsidRPr="003667EC">
        <w:rPr>
          <w:color w:val="000000"/>
          <w:lang w:val="es-ES_tradnl"/>
        </w:rPr>
        <w:t xml:space="preserve">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14:paraId="28E6AC7C" w14:textId="77777777"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1"/>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14:paraId="3473E03F" w14:textId="77777777"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14:paraId="5C6EAA80" w14:textId="77777777"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14:paraId="1C8FD3A2" w14:textId="7E853F0F"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Las características de las notificaciones de asignación de frecuencia, que corresponden a las adjudicaciones del Plan «original» del Apéndice</w:t>
      </w:r>
      <w:r w:rsidR="00290328">
        <w:rPr>
          <w:color w:val="000000"/>
          <w:lang w:val="es-ES_tradnl"/>
        </w:rPr>
        <w:t>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de conformidad con los números</w:t>
      </w:r>
      <w:r w:rsidR="00290328">
        <w:rPr>
          <w:color w:val="000000"/>
          <w:lang w:val="es-ES_tradnl"/>
        </w:rPr>
        <w:t>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14:paraId="54B6AD3D" w14:textId="77777777" w:rsidR="00D01428" w:rsidRDefault="00D01428" w:rsidP="00BF0573">
      <w:pPr>
        <w:spacing w:before="120"/>
        <w:rPr>
          <w:color w:val="000000"/>
          <w:lang w:val="es-ES_tradnl"/>
        </w:rPr>
      </w:pPr>
      <w:r>
        <w:rPr>
          <w:color w:val="000000"/>
          <w:lang w:val="es-ES_tradnl"/>
        </w:rPr>
        <w:br w:type="page"/>
      </w:r>
    </w:p>
    <w:p w14:paraId="7F20F09F" w14:textId="77777777"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14:paraId="2DBC0072" w14:textId="77777777"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2"/>
      </w:r>
    </w:p>
    <w:p w14:paraId="2069D27C" w14:textId="77777777"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t>Bandas regidas por los Planes regionales de asignación o adjudicación</w:t>
      </w:r>
    </w:p>
    <w:p w14:paraId="16BC93F3" w14:textId="77777777"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14:paraId="5B848DE5" w14:textId="77777777"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14:paraId="07446203" w14:textId="77777777"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14:paraId="6570BC11" w14:textId="77777777"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14:paraId="30EBD41C" w14:textId="77777777"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14:paraId="6234FA48" w14:textId="77777777"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14:paraId="25727A45" w14:textId="77777777" w:rsidR="00D01428" w:rsidRDefault="00D01428" w:rsidP="005A408A">
      <w:pPr>
        <w:spacing w:before="120"/>
        <w:rPr>
          <w:color w:val="000000"/>
          <w:lang w:val="es-ES_tradnl"/>
        </w:rPr>
      </w:pPr>
      <w:r>
        <w:rPr>
          <w:color w:val="000000"/>
          <w:lang w:val="es-ES_tradnl"/>
        </w:rPr>
        <w:br w:type="page"/>
      </w:r>
    </w:p>
    <w:p w14:paraId="33C961F0" w14:textId="77777777"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14:paraId="4FBF08DB" w14:textId="77777777"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14:paraId="6EC39D23" w14:textId="77777777" w:rsidR="00A60C28" w:rsidRPr="003667EC" w:rsidRDefault="00A60C28" w:rsidP="004C44AE">
      <w:pPr>
        <w:pStyle w:val="Heading8"/>
        <w:rPr>
          <w:color w:val="000000"/>
          <w:lang w:val="es-ES_tradnl"/>
        </w:rPr>
      </w:pPr>
      <w:r w:rsidRPr="003667EC">
        <w:rPr>
          <w:color w:val="000000"/>
          <w:lang w:val="es-ES_tradnl"/>
        </w:rPr>
        <w:t>11.36</w:t>
      </w:r>
    </w:p>
    <w:p w14:paraId="617030EA" w14:textId="77777777"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14:paraId="28115BBF" w14:textId="77777777" w:rsidR="00A60C28" w:rsidRPr="003667EC" w:rsidRDefault="00A60C28" w:rsidP="004C44AE">
      <w:pPr>
        <w:pStyle w:val="Heading8"/>
        <w:rPr>
          <w:color w:val="000000"/>
          <w:lang w:val="es-ES_tradnl"/>
        </w:rPr>
      </w:pPr>
      <w:r w:rsidRPr="003667EC">
        <w:rPr>
          <w:color w:val="000000"/>
          <w:lang w:val="es-ES_tradnl"/>
        </w:rPr>
        <w:t>11.37</w:t>
      </w:r>
    </w:p>
    <w:p w14:paraId="3CF986F4" w14:textId="543538F9"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90328">
        <w:rPr>
          <w:color w:val="000000"/>
          <w:lang w:val="es-ES_tradnl"/>
        </w:rPr>
        <w:t xml:space="preserve"> </w:t>
      </w:r>
      <w:r w:rsidRPr="003667EC">
        <w:rPr>
          <w:color w:val="000000"/>
          <w:lang w:val="es-ES_tradnl"/>
        </w:rPr>
        <w:t>Cuadro de atribución de bandas de frecuencias pero para la que no se ha completado el</w:t>
      </w:r>
      <w:r w:rsidR="00290328">
        <w:rPr>
          <w:color w:val="000000"/>
          <w:lang w:val="es-ES_tradnl"/>
        </w:rPr>
        <w:t xml:space="preserve"> </w:t>
      </w:r>
      <w:r w:rsidRPr="003667EC">
        <w:rPr>
          <w:color w:val="000000"/>
          <w:lang w:val="es-ES_tradnl"/>
        </w:rPr>
        <w:t>procedimiento de coordinación correspondiente (por ejemplo, los números</w:t>
      </w:r>
      <w:r w:rsidR="00290328">
        <w:rPr>
          <w:color w:val="000000"/>
          <w:lang w:val="es-ES_tradnl"/>
        </w:rPr>
        <w:t>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14:paraId="1788F16A" w14:textId="77777777" w:rsidR="00F17FBF" w:rsidRDefault="00F17FBF"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rFonts w:ascii="Times New Roman Bold" w:hAnsi="Times New Roman Bold" w:cs="Times New Roman Bold"/>
          <w:b/>
          <w:color w:val="000000"/>
          <w:spacing w:val="-6"/>
          <w:lang w:val="es-ES_tradnl"/>
        </w:rPr>
        <w:sectPr w:rsidR="00F17FBF" w:rsidSect="00007AA8">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61EC4C45" w14:textId="50563DAD"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p>
    <w:p w14:paraId="4136E149" w14:textId="77777777"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14:paraId="716D8EC6" w14:textId="77777777" w:rsidR="00A60C28" w:rsidRPr="003667EC" w:rsidRDefault="00A60C28" w:rsidP="00514FDE">
      <w:pPr>
        <w:pStyle w:val="Heading8"/>
        <w:spacing w:before="240" w:line="250" w:lineRule="exact"/>
        <w:rPr>
          <w:lang w:val="es-ES_tradnl"/>
        </w:rPr>
      </w:pPr>
      <w:r w:rsidRPr="003667EC">
        <w:rPr>
          <w:lang w:val="es-ES_tradnl"/>
        </w:rPr>
        <w:t>11.43A</w:t>
      </w:r>
    </w:p>
    <w:p w14:paraId="0BE763CA" w14:textId="044BF2EB" w:rsidR="00355CA5" w:rsidRPr="00355CA5" w:rsidRDefault="00355CA5" w:rsidP="00355CA5">
      <w:pPr>
        <w:rPr>
          <w:lang w:val="es-ES"/>
        </w:rPr>
      </w:pPr>
      <w:r w:rsidRPr="00355CA5">
        <w:rPr>
          <w:lang w:val="es-ES"/>
        </w:rPr>
        <w:t>1</w:t>
      </w:r>
      <w:r w:rsidRPr="00355CA5">
        <w:rPr>
          <w:lang w:val="es-ES"/>
        </w:rPr>
        <w:tab/>
        <w:t>La modificación de una red espacial puede efectuarse durante el proceso de coordinación; este caso queda contemplado en los comentarios de las Reglas de Procedimiento referentes a los números </w:t>
      </w:r>
      <w:r w:rsidRPr="00355CA5">
        <w:rPr>
          <w:b/>
          <w:lang w:val="es-ES"/>
        </w:rPr>
        <w:t>9.27</w:t>
      </w:r>
      <w:r w:rsidRPr="00355CA5">
        <w:rPr>
          <w:lang w:val="es-ES"/>
        </w:rPr>
        <w:t xml:space="preserve"> (§ 2), </w:t>
      </w:r>
      <w:r w:rsidRPr="00355CA5">
        <w:rPr>
          <w:b/>
          <w:lang w:val="es-ES"/>
        </w:rPr>
        <w:t>9.58</w:t>
      </w:r>
      <w:r w:rsidRPr="00355CA5">
        <w:rPr>
          <w:lang w:val="es-ES"/>
        </w:rPr>
        <w:t xml:space="preserve">, </w:t>
      </w:r>
      <w:r w:rsidRPr="00355CA5">
        <w:rPr>
          <w:b/>
          <w:lang w:val="es-ES"/>
        </w:rPr>
        <w:t>11.28</w:t>
      </w:r>
      <w:r w:rsidRPr="00355CA5">
        <w:rPr>
          <w:lang w:val="es-ES"/>
        </w:rPr>
        <w:t xml:space="preserve"> y </w:t>
      </w:r>
      <w:r w:rsidRPr="00355CA5">
        <w:rPr>
          <w:b/>
          <w:lang w:val="es-ES"/>
        </w:rPr>
        <w:t>11.32</w:t>
      </w:r>
      <w:r w:rsidRPr="00355CA5">
        <w:rPr>
          <w:lang w:val="es-ES"/>
        </w:rPr>
        <w:t>.</w:t>
      </w:r>
    </w:p>
    <w:p w14:paraId="46EBEDFC" w14:textId="77777777" w:rsidR="00355CA5" w:rsidRPr="00355CA5" w:rsidRDefault="00355CA5" w:rsidP="00355CA5">
      <w:pPr>
        <w:rPr>
          <w:lang w:val="es-ES"/>
        </w:rPr>
      </w:pPr>
      <w:r w:rsidRPr="00355CA5">
        <w:rPr>
          <w:lang w:val="es-ES"/>
        </w:rPr>
        <w:t>2</w:t>
      </w:r>
      <w:r w:rsidRPr="00355CA5">
        <w:rPr>
          <w:lang w:val="es-ES"/>
        </w:rPr>
        <w:tab/>
        <w:t>Si la modificación se refiere a la notificación de la asignación o asignaciones en las bandas de frecuencias no utilizadas por otras asignaciones ya inscritas en el Registro, el número </w:t>
      </w:r>
      <w:r w:rsidRPr="00355CA5">
        <w:rPr>
          <w:b/>
          <w:bCs/>
          <w:lang w:val="es-ES"/>
        </w:rPr>
        <w:t>11.43A</w:t>
      </w:r>
      <w:r w:rsidRPr="00355CA5">
        <w:rPr>
          <w:lang w:val="es-ES"/>
        </w:rPr>
        <w:t xml:space="preserve"> no se aplica y la tramitación se efectuará con arreglo a los números </w:t>
      </w:r>
      <w:r w:rsidRPr="00355CA5">
        <w:rPr>
          <w:b/>
          <w:bCs/>
          <w:lang w:val="es-ES"/>
        </w:rPr>
        <w:t>11.2</w:t>
      </w:r>
      <w:r w:rsidRPr="00355CA5">
        <w:rPr>
          <w:lang w:val="es-ES"/>
        </w:rPr>
        <w:t xml:space="preserve"> u </w:t>
      </w:r>
      <w:r w:rsidRPr="00355CA5">
        <w:rPr>
          <w:b/>
          <w:bCs/>
          <w:lang w:val="es-ES"/>
        </w:rPr>
        <w:t>11.9</w:t>
      </w:r>
      <w:r w:rsidRPr="00355CA5">
        <w:rPr>
          <w:lang w:val="es-ES"/>
        </w:rPr>
        <w:t>, según el caso.</w:t>
      </w:r>
    </w:p>
    <w:p w14:paraId="219028D7" w14:textId="530CA529" w:rsidR="00355CA5" w:rsidRDefault="00355CA5" w:rsidP="00355CA5">
      <w:pPr>
        <w:rPr>
          <w:lang w:val="es-ES"/>
        </w:rPr>
      </w:pPr>
      <w:r w:rsidRPr="00355CA5">
        <w:rPr>
          <w:lang w:val="es-ES"/>
        </w:rPr>
        <w:t>El objetivo del examen según lo dispuesto en el número </w:t>
      </w:r>
      <w:r w:rsidRPr="00355CA5">
        <w:rPr>
          <w:b/>
          <w:bCs/>
          <w:lang w:val="es-ES"/>
        </w:rPr>
        <w:t>11.43A</w:t>
      </w:r>
      <w:r w:rsidRPr="00355CA5">
        <w:rPr>
          <w:lang w:val="es-ES"/>
        </w:rPr>
        <w:t xml:space="preserve"> es determinar si los requisitos de coordinación permanecen invariables o, llegado el caso, si la probabilidad de interferencia perjudicial no aumenta (véanse también las Reglas de Procedimiento correspondientes a los números </w:t>
      </w:r>
      <w:r w:rsidRPr="00355CA5">
        <w:rPr>
          <w:b/>
          <w:bCs/>
          <w:lang w:val="es-ES"/>
        </w:rPr>
        <w:t>11.28</w:t>
      </w:r>
      <w:r w:rsidRPr="00355CA5">
        <w:rPr>
          <w:lang w:val="es-ES"/>
        </w:rPr>
        <w:t xml:space="preserve"> y </w:t>
      </w:r>
      <w:r w:rsidRPr="00355CA5">
        <w:rPr>
          <w:b/>
          <w:bCs/>
          <w:lang w:val="es-ES"/>
        </w:rPr>
        <w:t>11.32</w:t>
      </w:r>
      <w:r w:rsidRPr="00355CA5">
        <w:rPr>
          <w:lang w:val="es-ES"/>
        </w:rPr>
        <w:t>). En estos casos, se aplican las disposiciones del número </w:t>
      </w:r>
      <w:r w:rsidRPr="00355CA5">
        <w:rPr>
          <w:b/>
          <w:bCs/>
          <w:lang w:val="es-ES"/>
        </w:rPr>
        <w:t>11.43B</w:t>
      </w:r>
      <w:r w:rsidRPr="00355CA5">
        <w:rPr>
          <w:lang w:val="es-ES"/>
        </w:rPr>
        <w:t xml:space="preserve"> cuyo efecto es mantener sin cambios el estatuto (Conclusiones) y la fecha de protección de la asignación. Si debido a las modificaciones se identifican nuevos requisitos de coordinación, al comparar el nivel de interferencia (como </w:t>
      </w:r>
      <w:r w:rsidRPr="00A805B4">
        <w:t>Δ</w:t>
      </w:r>
      <w:r w:rsidRPr="00355CA5">
        <w:rPr>
          <w:lang w:val="es-ES"/>
        </w:rPr>
        <w:t>T/T) (véanse también § 2.3 y 2.4 de las Reglas de Procedimiento relativas al número </w:t>
      </w:r>
      <w:r w:rsidRPr="00355CA5">
        <w:rPr>
          <w:b/>
          <w:bCs/>
          <w:lang w:val="es-ES"/>
        </w:rPr>
        <w:t>9.27</w:t>
      </w:r>
      <w:r w:rsidRPr="00355CA5">
        <w:rPr>
          <w:lang w:val="es-ES"/>
        </w:rPr>
        <w: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355CA5">
        <w:rPr>
          <w:b/>
          <w:bCs/>
          <w:lang w:val="es-ES"/>
        </w:rPr>
        <w:t>9</w:t>
      </w:r>
      <w:r w:rsidRPr="00355CA5">
        <w:rPr>
          <w:lang w:val="es-ES"/>
        </w:rPr>
        <w:t>. Las conclusiones respecto al número </w:t>
      </w:r>
      <w:r w:rsidRPr="00355CA5">
        <w:rPr>
          <w:b/>
          <w:bCs/>
          <w:lang w:val="es-ES"/>
        </w:rPr>
        <w:t>11.32</w:t>
      </w:r>
      <w:r w:rsidRPr="00355CA5">
        <w:rPr>
          <w:lang w:val="es-ES"/>
        </w:rPr>
        <w:t xml:space="preserve"> se determinan sobre la base de los Acuerdos de coordinación alcanzados para satisfacer los nuevos requisitos de coordinación. En el caso en que sean aplicables las disposiciones de los números </w:t>
      </w:r>
      <w:r w:rsidRPr="00355CA5">
        <w:rPr>
          <w:b/>
          <w:bCs/>
          <w:lang w:val="es-ES"/>
        </w:rPr>
        <w:t>11.32A</w:t>
      </w:r>
      <w:r w:rsidRPr="00355CA5">
        <w:rPr>
          <w:lang w:val="es-ES"/>
        </w:rPr>
        <w:t xml:space="preserve"> y </w:t>
      </w:r>
      <w:r w:rsidRPr="00355CA5">
        <w:rPr>
          <w:b/>
          <w:bCs/>
          <w:lang w:val="es-ES"/>
        </w:rPr>
        <w:t>11.33</w:t>
      </w:r>
      <w:r w:rsidRPr="00355CA5">
        <w:rPr>
          <w:lang w:val="es-ES"/>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 </w:t>
      </w:r>
      <w:r w:rsidRPr="00355CA5">
        <w:rPr>
          <w:b/>
          <w:bCs/>
          <w:lang w:val="es-ES"/>
        </w:rPr>
        <w:t>11.38</w:t>
      </w:r>
      <w:r w:rsidRPr="00355CA5">
        <w:rPr>
          <w:lang w:val="es-ES"/>
        </w:rPr>
        <w:t xml:space="preserve">. </w:t>
      </w:r>
      <w:r w:rsidRPr="00A805B4">
        <w:rPr>
          <w:lang w:val="es-ES"/>
        </w:rPr>
        <w:t xml:space="preserve">Véanse las Reglas de Procedimiento correspondientes al </w:t>
      </w:r>
      <w:r>
        <w:rPr>
          <w:lang w:val="es-ES"/>
        </w:rPr>
        <w:t>número </w:t>
      </w:r>
      <w:r w:rsidRPr="00A805B4">
        <w:rPr>
          <w:b/>
          <w:lang w:val="es-ES"/>
        </w:rPr>
        <w:t>11.43B</w:t>
      </w:r>
      <w:r w:rsidRPr="00A805B4">
        <w:rPr>
          <w:lang w:val="es-ES"/>
        </w:rPr>
        <w:t>.</w:t>
      </w:r>
    </w:p>
    <w:p w14:paraId="5573D9B2" w14:textId="77777777" w:rsidR="00355CA5" w:rsidRPr="00AE5F97" w:rsidRDefault="00355CA5" w:rsidP="00355CA5">
      <w:pPr>
        <w:rPr>
          <w:rFonts w:asciiTheme="majorBidi" w:hAnsiTheme="majorBidi" w:cstheme="majorBidi"/>
          <w:lang w:val="es-ES"/>
        </w:rPr>
      </w:pPr>
    </w:p>
    <w:p w14:paraId="748CC4F2" w14:textId="77777777" w:rsidR="00355CA5" w:rsidRDefault="00355CA5" w:rsidP="006D45DA">
      <w:pPr>
        <w:spacing w:before="60" w:line="250" w:lineRule="exact"/>
        <w:rPr>
          <w:color w:val="000000"/>
          <w:lang w:val="es-ES_tradnl"/>
        </w:rPr>
        <w:sectPr w:rsidR="00355CA5" w:rsidSect="00007AA8">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2E8A051E" w14:textId="490ED473"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r w:rsidR="005A408A" w:rsidRPr="005A408A">
        <w:rPr>
          <w:lang w:val="es-ES_tradnl"/>
        </w:rPr>
        <w:t xml:space="preserve">La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290328">
        <w:rPr>
          <w:rStyle w:val="Artref"/>
          <w:color w:val="000000"/>
          <w:sz w:val="22"/>
          <w:szCs w:val="22"/>
          <w:lang w:val="es-ES_tradnl"/>
        </w:rPr>
        <w:t>.</w:t>
      </w:r>
    </w:p>
    <w:p w14:paraId="7FF326E3" w14:textId="48F90C43"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r w:rsidR="00C30B0F" w:rsidRPr="003667EC">
        <w:rPr>
          <w:color w:val="000000"/>
          <w:lang w:val="es-ES_tradnl"/>
        </w:rPr>
        <w:t>La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p>
    <w:p w14:paraId="2E27CE3F" w14:textId="6CA38998" w:rsidR="00C30B0F" w:rsidRPr="003667EC" w:rsidRDefault="00C30B0F" w:rsidP="00290328">
      <w:pPr>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p>
    <w:p w14:paraId="4820236C" w14:textId="77777777"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14:paraId="13FBCC97" w14:textId="77777777" w:rsidR="00A60C28" w:rsidRPr="003667EC" w:rsidRDefault="00A60C28" w:rsidP="004270DD">
      <w:pPr>
        <w:pStyle w:val="Heading8"/>
        <w:pBdr>
          <w:top w:val="double" w:sz="4" w:space="1" w:color="auto"/>
          <w:left w:val="double" w:sz="4" w:space="4" w:color="auto"/>
          <w:bottom w:val="double" w:sz="4" w:space="1" w:color="auto"/>
          <w:right w:val="double" w:sz="4" w:space="4" w:color="auto"/>
        </w:pBdr>
        <w:spacing w:line="250" w:lineRule="exact"/>
        <w:rPr>
          <w:color w:val="000000"/>
          <w:lang w:val="es-ES_tradnl"/>
        </w:rPr>
      </w:pPr>
      <w:r w:rsidRPr="003667EC">
        <w:rPr>
          <w:color w:val="000000"/>
          <w:lang w:val="es-ES_tradnl"/>
        </w:rPr>
        <w:t>11.43B</w:t>
      </w:r>
    </w:p>
    <w:p w14:paraId="3DE474FA" w14:textId="77777777"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t>En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14:paraId="00687689" w14:textId="6450E529" w:rsidR="00A60C28" w:rsidRPr="002611BA" w:rsidRDefault="00A60C28" w:rsidP="004C6036">
      <w:pPr>
        <w:spacing w:line="250" w:lineRule="exact"/>
        <w:rPr>
          <w:lang w:val="es-ES"/>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xml:space="preserve">, los comentarios que figuran </w:t>
      </w:r>
      <w:r w:rsidR="00437321">
        <w:rPr>
          <w:color w:val="000000"/>
          <w:lang w:val="es-ES_tradnl"/>
        </w:rPr>
        <w:t xml:space="preserve">en </w:t>
      </w:r>
      <w:r w:rsidR="00437321" w:rsidRPr="00437321">
        <w:rPr>
          <w:lang w:val="es-ES"/>
        </w:rPr>
        <w:t xml:space="preserve">la Regla de Procedimiento relativa al </w:t>
      </w:r>
      <w:r w:rsidRPr="003667EC">
        <w:rPr>
          <w:color w:val="000000"/>
          <w:lang w:val="es-ES_tradnl"/>
        </w:rPr>
        <w:t>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w:t>
      </w:r>
      <w:r w:rsidR="00437321" w:rsidRPr="00437321">
        <w:rPr>
          <w:lang w:val="es-ES"/>
        </w:rPr>
        <w:t>(véanse asimismo los § 2.3 y 2.4 c) de la Regla de Procedimiento relativa al número </w:t>
      </w:r>
      <w:r w:rsidR="00437321" w:rsidRPr="00437321">
        <w:rPr>
          <w:rStyle w:val="Artref"/>
          <w:b/>
          <w:bCs/>
          <w:color w:val="auto"/>
          <w:lang w:val="es-ES"/>
        </w:rPr>
        <w:t>9.27</w:t>
      </w:r>
      <w:r w:rsidR="00437321" w:rsidRPr="00437321">
        <w:rPr>
          <w:rStyle w:val="Appref"/>
          <w:color w:val="000000"/>
          <w:szCs w:val="24"/>
          <w:lang w:val="es-ES"/>
        </w:rPr>
        <w:t>)</w:t>
      </w:r>
      <w:r w:rsidR="00437321">
        <w:rPr>
          <w:rStyle w:val="Appref"/>
          <w:color w:val="000000"/>
          <w:szCs w:val="24"/>
          <w:lang w:val="es-ES"/>
        </w:rPr>
        <w:t xml:space="preserve">. </w:t>
      </w:r>
      <w:r w:rsidRPr="003667EC">
        <w:rPr>
          <w:color w:val="000000"/>
          <w:lang w:val="es-ES_tradnl"/>
        </w:rPr>
        <w:t>En los casos en los que no hay método de cálculo y/o criterio para comprobar la aplicación de esas disposiciones,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r w:rsidR="002611BA">
        <w:rPr>
          <w:color w:val="000000"/>
          <w:lang w:val="es-ES_tradnl"/>
        </w:rPr>
        <w:t xml:space="preserve"> </w:t>
      </w:r>
      <w:r w:rsidR="002611BA" w:rsidRPr="002611BA">
        <w:rPr>
          <w:lang w:val="es-ES"/>
        </w:rPr>
        <w:t xml:space="preserve">Cuando no haya criterios técnicos en la condición/umbral especificada en el Apéndice </w:t>
      </w:r>
      <w:r w:rsidR="002611BA" w:rsidRPr="002611BA">
        <w:rPr>
          <w:rStyle w:val="Appref"/>
          <w:b/>
          <w:bCs/>
          <w:color w:val="auto"/>
          <w:lang w:val="es-ES"/>
        </w:rPr>
        <w:t>5</w:t>
      </w:r>
      <w:r w:rsidR="002611BA" w:rsidRPr="002611BA">
        <w:rPr>
          <w:lang w:val="es-ES"/>
        </w:rPr>
        <w:t xml:space="preserve">, las administraciones podrán presentar un análisis realizado utilizando los métodos de cálculo y/o criterios adecuados (incluidos los elaborados por el UIT-R) a la Oficina para la verificación de la aplicabilidad de los § 6 </w:t>
      </w:r>
      <w:r w:rsidR="002611BA" w:rsidRPr="002611BA">
        <w:rPr>
          <w:i/>
          <w:iCs/>
          <w:lang w:val="es-ES"/>
        </w:rPr>
        <w:t>a)</w:t>
      </w:r>
      <w:r w:rsidR="002611BA" w:rsidRPr="002611BA">
        <w:rPr>
          <w:lang w:val="es-ES"/>
        </w:rPr>
        <w:t xml:space="preserve"> a 6 </w:t>
      </w:r>
      <w:r w:rsidR="002611BA" w:rsidRPr="002611BA">
        <w:rPr>
          <w:i/>
          <w:iCs/>
          <w:lang w:val="es-ES"/>
        </w:rPr>
        <w:t>c)</w:t>
      </w:r>
      <w:r w:rsidR="002611BA" w:rsidRPr="002611BA">
        <w:rPr>
          <w:lang w:val="es-ES"/>
        </w:rPr>
        <w:t xml:space="preserve"> del Apéndice</w:t>
      </w:r>
      <w:r w:rsidR="002611BA">
        <w:rPr>
          <w:lang w:val="es-ES"/>
        </w:rPr>
        <w:t> </w:t>
      </w:r>
      <w:r w:rsidR="002611BA" w:rsidRPr="002611BA">
        <w:rPr>
          <w:rStyle w:val="Appref"/>
          <w:b/>
          <w:bCs/>
          <w:color w:val="auto"/>
          <w:lang w:val="es-ES"/>
        </w:rPr>
        <w:t>5</w:t>
      </w:r>
      <w:r w:rsidR="002611BA" w:rsidRPr="002611BA">
        <w:rPr>
          <w:lang w:val="es-ES"/>
        </w:rPr>
        <w:t xml:space="preserve"> al examen en virtud del número </w:t>
      </w:r>
      <w:r w:rsidR="002611BA" w:rsidRPr="002611BA">
        <w:rPr>
          <w:rStyle w:val="Artref"/>
          <w:b/>
          <w:bCs/>
          <w:color w:val="auto"/>
          <w:lang w:val="es-ES"/>
        </w:rPr>
        <w:t>11.32</w:t>
      </w:r>
      <w:r w:rsidR="002611BA" w:rsidRPr="002611BA">
        <w:rPr>
          <w:lang w:val="es-ES"/>
        </w:rPr>
        <w:t>.</w:t>
      </w:r>
    </w:p>
    <w:p w14:paraId="429825D5" w14:textId="512E1DAA"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se tomarán en cuenta las asignaciones publicadas con arreglo a</w:t>
      </w:r>
      <w:r w:rsidR="00D26314">
        <w:rPr>
          <w:color w:val="000000"/>
          <w:lang w:val="es-ES_tradnl"/>
        </w:rPr>
        <w:t xml:space="preserve"> </w:t>
      </w:r>
      <w:r w:rsidRPr="003667EC">
        <w:rPr>
          <w:color w:val="000000"/>
          <w:lang w:val="es-ES_tradnl"/>
        </w:rPr>
        <w:t>los número</w:t>
      </w:r>
      <w:r w:rsidR="00AC3017">
        <w:rPr>
          <w:color w:val="000000"/>
          <w:lang w:val="es-ES_tradnl"/>
        </w:rPr>
        <w:t>s</w:t>
      </w:r>
      <w:r w:rsidRPr="003667EC">
        <w:rPr>
          <w:color w:val="000000"/>
          <w:lang w:val="es-ES_tradnl"/>
        </w:rPr>
        <w:t xml:space="preserve"> </w:t>
      </w:r>
      <w:r w:rsidRPr="003667EC">
        <w:rPr>
          <w:rStyle w:val="Artref"/>
          <w:b/>
          <w:color w:val="000000"/>
          <w:lang w:val="es-ES_tradnl"/>
        </w:rPr>
        <w:t>9.38</w:t>
      </w:r>
      <w:r w:rsidRPr="003667EC">
        <w:rPr>
          <w:color w:val="000000"/>
          <w:lang w:val="es-ES_tradnl"/>
        </w:rPr>
        <w:t xml:space="preserve"> </w:t>
      </w:r>
      <w:r w:rsidR="00AC3017">
        <w:rPr>
          <w:color w:val="000000"/>
          <w:lang w:val="es-ES_tradnl"/>
        </w:rPr>
        <w:t>ó</w:t>
      </w:r>
      <w:r w:rsidRPr="003667EC">
        <w:rPr>
          <w:color w:val="000000"/>
          <w:lang w:val="es-ES_tradnl"/>
        </w:rPr>
        <w:t xml:space="preserve">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14:paraId="61F041D5" w14:textId="47E7DFFD" w:rsidR="00D01428" w:rsidRDefault="00D01428" w:rsidP="004C6036">
      <w:pPr>
        <w:spacing w:line="250" w:lineRule="exact"/>
        <w:rPr>
          <w:color w:val="000000"/>
          <w:lang w:val="es-ES_tradnl"/>
        </w:rPr>
      </w:pPr>
    </w:p>
    <w:p w14:paraId="425A9FF9" w14:textId="77777777" w:rsidR="005E5EFE" w:rsidRDefault="005E5EFE" w:rsidP="004C6036">
      <w:pPr>
        <w:spacing w:line="250" w:lineRule="exact"/>
        <w:rPr>
          <w:color w:val="000000"/>
          <w:lang w:val="es-ES_tradnl"/>
        </w:rPr>
        <w:sectPr w:rsidR="005E5EFE" w:rsidSect="00007AA8">
          <w:footnotePr>
            <w:pos w:val="beneathText"/>
          </w:footnotePr>
          <w:pgSz w:w="11907" w:h="16840" w:code="9"/>
          <w:pgMar w:top="1701" w:right="851" w:bottom="1134" w:left="1985" w:header="720" w:footer="482" w:gutter="0"/>
          <w:cols w:space="720"/>
          <w:vAlign w:val="both"/>
        </w:sectPr>
      </w:pPr>
    </w:p>
    <w:p w14:paraId="591A6E5B" w14:textId="5EB434CE"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t xml:space="preserve">Esta disposición hace referencia a la </w:t>
      </w:r>
      <w:r w:rsidRPr="00402C5C">
        <w:rPr>
          <w:i/>
          <w:iCs/>
          <w:color w:val="000000"/>
          <w:lang w:val="es-ES_tradnl"/>
        </w:rPr>
        <w:t>«fecha original de inscripción en el Registro»</w:t>
      </w:r>
      <w:r w:rsidRPr="003667EC">
        <w:rPr>
          <w:color w:val="000000"/>
          <w:lang w:val="es-ES_tradnl"/>
        </w:rPr>
        <w:t>.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14:paraId="66087B10" w14:textId="77777777" w:rsidR="00A60C28" w:rsidRPr="003667EC" w:rsidRDefault="00A60C28">
      <w:pPr>
        <w:pStyle w:val="Heading8"/>
        <w:rPr>
          <w:color w:val="000000"/>
          <w:lang w:val="es-ES_tradnl"/>
        </w:rPr>
      </w:pPr>
      <w:r w:rsidRPr="003667EC">
        <w:rPr>
          <w:color w:val="000000"/>
          <w:lang w:val="es-ES_tradnl"/>
        </w:rPr>
        <w:t>11.43C</w:t>
      </w:r>
    </w:p>
    <w:p w14:paraId="6E660521" w14:textId="77777777"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14:paraId="5ADFA78A" w14:textId="2F3C4173" w:rsidR="00D70EFE" w:rsidRPr="003667EC" w:rsidRDefault="00D70EFE" w:rsidP="00D70EFE">
      <w:pPr>
        <w:pStyle w:val="Heading8"/>
        <w:spacing w:before="120" w:line="240" w:lineRule="exact"/>
        <w:rPr>
          <w:lang w:val="es-ES_tradnl"/>
        </w:rPr>
      </w:pPr>
      <w:r>
        <w:rPr>
          <w:lang w:val="es-ES_tradnl"/>
        </w:rPr>
        <w:t>11.44</w:t>
      </w:r>
    </w:p>
    <w:p w14:paraId="512B5058" w14:textId="59B7C748" w:rsidR="00D70EFE" w:rsidRPr="005E5EFE" w:rsidRDefault="00D70EFE" w:rsidP="00D70EFE">
      <w:pPr>
        <w:spacing w:line="240" w:lineRule="exact"/>
        <w:rPr>
          <w:lang w:val="es-ES_tradnl"/>
        </w:rPr>
      </w:pPr>
      <w:r w:rsidRPr="00D561C2">
        <w:rPr>
          <w:lang w:val="es-ES_tradnl"/>
        </w:rPr>
        <w:t>La información relativa a la fecha de entrada en servicio se facilitará en los siguientes casos:</w:t>
      </w:r>
    </w:p>
    <w:p w14:paraId="05B61970"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14:paraId="35FA8C85" w14:textId="3CE37785"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r>
      <w:r w:rsidR="005E5EFE" w:rsidRPr="005E5EFE">
        <w:rPr>
          <w:lang w:val="es-ES_tradnl"/>
        </w:rPr>
        <w:t>en la confirmación de las fechas de entrada en servicio, en aplicación de los números </w:t>
      </w:r>
      <w:r w:rsidR="005E5EFE" w:rsidRPr="005E5EFE">
        <w:rPr>
          <w:b/>
          <w:bCs/>
          <w:lang w:val="es-ES_tradnl"/>
        </w:rPr>
        <w:t>11.44.2</w:t>
      </w:r>
      <w:r w:rsidR="005E5EFE" w:rsidRPr="005E5EFE">
        <w:rPr>
          <w:lang w:val="es-ES_tradnl"/>
        </w:rPr>
        <w:t>, </w:t>
      </w:r>
      <w:r w:rsidR="005E5EFE" w:rsidRPr="005E5EFE">
        <w:rPr>
          <w:rStyle w:val="Artref"/>
          <w:b/>
          <w:color w:val="000000"/>
          <w:lang w:val="es-ES_tradnl"/>
        </w:rPr>
        <w:t>11.47</w:t>
      </w:r>
      <w:r w:rsidR="005E5EFE" w:rsidRPr="005E5EFE">
        <w:rPr>
          <w:lang w:val="es-ES_tradnl"/>
        </w:rPr>
        <w:t xml:space="preserve">, </w:t>
      </w:r>
      <w:r w:rsidR="005E5EFE" w:rsidRPr="005E5EFE">
        <w:rPr>
          <w:rStyle w:val="Artref"/>
          <w:b/>
          <w:color w:val="000000"/>
          <w:lang w:val="es-ES_tradnl"/>
        </w:rPr>
        <w:t>11.44B</w:t>
      </w:r>
      <w:r w:rsidR="005E5EFE" w:rsidRPr="005E5EFE">
        <w:rPr>
          <w:lang w:val="es-ES_tradnl"/>
        </w:rPr>
        <w:t>,</w:t>
      </w:r>
      <w:r w:rsidR="005E5EFE" w:rsidRPr="005E5EFE">
        <w:rPr>
          <w:color w:val="000000"/>
          <w:lang w:val="es-ES_tradnl"/>
        </w:rPr>
        <w:t xml:space="preserve"> </w:t>
      </w:r>
      <w:r w:rsidR="005E5EFE" w:rsidRPr="005E5EFE">
        <w:rPr>
          <w:b/>
          <w:bCs/>
          <w:color w:val="000000"/>
          <w:lang w:val="es-ES_tradnl"/>
        </w:rPr>
        <w:t>11.44C</w:t>
      </w:r>
      <w:r w:rsidR="005E5EFE" w:rsidRPr="005E5EFE">
        <w:rPr>
          <w:bCs/>
          <w:color w:val="000000"/>
          <w:lang w:val="es-ES_tradnl"/>
        </w:rPr>
        <w:t>,</w:t>
      </w:r>
      <w:r w:rsidR="005E5EFE" w:rsidRPr="005E5EFE">
        <w:rPr>
          <w:lang w:val="es-ES_tradnl"/>
        </w:rPr>
        <w:t xml:space="preserve"> </w:t>
      </w:r>
      <w:r w:rsidR="005E5EFE" w:rsidRPr="005E5EFE">
        <w:rPr>
          <w:b/>
          <w:bCs/>
          <w:color w:val="000000"/>
          <w:lang w:val="es-ES_tradnl"/>
        </w:rPr>
        <w:t>11.44D</w:t>
      </w:r>
      <w:r w:rsidR="005E5EFE" w:rsidRPr="005E5EFE">
        <w:rPr>
          <w:lang w:val="es-ES_tradnl"/>
        </w:rPr>
        <w:t xml:space="preserve"> y </w:t>
      </w:r>
      <w:r w:rsidR="005E5EFE" w:rsidRPr="005E5EFE">
        <w:rPr>
          <w:b/>
          <w:bCs/>
          <w:color w:val="000000"/>
          <w:lang w:val="es-ES_tradnl"/>
        </w:rPr>
        <w:t>11.44E</w:t>
      </w:r>
      <w:r w:rsidRPr="00D561C2">
        <w:rPr>
          <w:lang w:val="es-ES_tradnl"/>
        </w:rPr>
        <w:t>.</w:t>
      </w:r>
    </w:p>
    <w:p w14:paraId="67ED91F2" w14:textId="236197E8" w:rsidR="00D70EFE" w:rsidRDefault="005E5EFE" w:rsidP="00D70EFE">
      <w:pPr>
        <w:spacing w:line="240" w:lineRule="exact"/>
        <w:rPr>
          <w:lang w:val="es-ES_tradnl"/>
        </w:rPr>
      </w:pPr>
      <w:r w:rsidRPr="005E5EFE">
        <w:rPr>
          <w:lang w:val="es-ES_tradnl"/>
        </w:rPr>
        <w:t xml:space="preserve">Conviene observar que se proporcionará la información relativa a la fecha de entrada en servicio para cada asignación o grupo de asignaciones. (Véanse las Reglas de Procedimiento relacionadas con los números </w:t>
      </w:r>
      <w:r w:rsidRPr="005E5EFE">
        <w:rPr>
          <w:b/>
          <w:bCs/>
          <w:lang w:val="es-ES_tradnl"/>
        </w:rPr>
        <w:t>11.44B</w:t>
      </w:r>
      <w:r w:rsidRPr="005E5EFE">
        <w:rPr>
          <w:lang w:val="es-ES_tradnl"/>
        </w:rPr>
        <w:t xml:space="preserve">, </w:t>
      </w:r>
      <w:r w:rsidRPr="005E5EFE">
        <w:rPr>
          <w:b/>
          <w:bCs/>
          <w:lang w:val="es-ES_tradnl"/>
        </w:rPr>
        <w:t>11.44C</w:t>
      </w:r>
      <w:r w:rsidRPr="005E5EFE">
        <w:rPr>
          <w:bCs/>
          <w:lang w:val="es-ES_tradnl"/>
        </w:rPr>
        <w:t xml:space="preserve">, </w:t>
      </w:r>
      <w:r w:rsidRPr="005E5EFE">
        <w:rPr>
          <w:b/>
          <w:bCs/>
          <w:lang w:val="es-ES_tradnl"/>
        </w:rPr>
        <w:t>11.44D</w:t>
      </w:r>
      <w:r w:rsidRPr="005E5EFE">
        <w:rPr>
          <w:bCs/>
          <w:lang w:val="es-ES_tradnl"/>
        </w:rPr>
        <w:t xml:space="preserve"> y </w:t>
      </w:r>
      <w:r w:rsidRPr="005E5EFE">
        <w:rPr>
          <w:b/>
          <w:bCs/>
          <w:lang w:val="es-ES_tradnl"/>
        </w:rPr>
        <w:t>11.44E</w:t>
      </w:r>
      <w:r w:rsidR="00D70EFE" w:rsidRPr="00D561C2">
        <w:rPr>
          <w:lang w:val="es-ES_tradnl"/>
        </w:rPr>
        <w:t>)</w:t>
      </w:r>
      <w:r w:rsidR="00D70EFE">
        <w:rPr>
          <w:lang w:val="es-ES_tradnl"/>
        </w:rPr>
        <w:t>.</w:t>
      </w:r>
    </w:p>
    <w:p w14:paraId="2D8094EF" w14:textId="0B97AF17" w:rsidR="005E5EFE" w:rsidRPr="005E5EFE" w:rsidRDefault="005E5EFE" w:rsidP="005E5EFE">
      <w:pPr>
        <w:pStyle w:val="Heading8"/>
        <w:pBdr>
          <w:right w:val="double" w:sz="6" w:space="31" w:color="auto"/>
        </w:pBdr>
        <w:tabs>
          <w:tab w:val="left" w:pos="4820"/>
        </w:tabs>
        <w:ind w:right="5330"/>
        <w:rPr>
          <w:color w:val="000000"/>
          <w:lang w:val="es-ES_tradnl"/>
        </w:rPr>
      </w:pPr>
      <w:r w:rsidRPr="005E5EFE">
        <w:rPr>
          <w:color w:val="000000"/>
          <w:lang w:val="es-ES_tradnl"/>
        </w:rPr>
        <w:t xml:space="preserve">11.44B, </w:t>
      </w:r>
      <w:r w:rsidRPr="005E5EFE">
        <w:rPr>
          <w:bCs/>
          <w:lang w:val="es-ES_tradnl"/>
        </w:rPr>
        <w:t>11.44C</w:t>
      </w:r>
      <w:r w:rsidRPr="005E5EFE">
        <w:rPr>
          <w:lang w:val="es-ES_tradnl"/>
        </w:rPr>
        <w:t xml:space="preserve">, </w:t>
      </w:r>
      <w:r w:rsidRPr="005E5EFE">
        <w:rPr>
          <w:bCs/>
          <w:lang w:val="es-ES_tradnl"/>
        </w:rPr>
        <w:t xml:space="preserve">11.44D </w:t>
      </w:r>
      <w:r>
        <w:rPr>
          <w:bCs/>
          <w:lang w:val="es-ES_tradnl"/>
        </w:rPr>
        <w:t>y</w:t>
      </w:r>
      <w:r w:rsidRPr="005E5EFE">
        <w:rPr>
          <w:bCs/>
          <w:lang w:val="es-ES_tradnl"/>
        </w:rPr>
        <w:t xml:space="preserve"> 11.44E</w:t>
      </w:r>
    </w:p>
    <w:p w14:paraId="71A61046" w14:textId="13B52E86" w:rsidR="005E5EFE" w:rsidRPr="005E5EFE" w:rsidRDefault="005E5EFE" w:rsidP="005E5EFE">
      <w:pPr>
        <w:rPr>
          <w:color w:val="000000"/>
          <w:lang w:val="es-ES_tradnl"/>
        </w:rPr>
      </w:pPr>
      <w:r w:rsidRPr="005E5EFE">
        <w:rPr>
          <w:lang w:val="es-ES_tradnl"/>
        </w:rPr>
        <w:t>1</w:t>
      </w:r>
      <w:r w:rsidRPr="005E5EFE">
        <w:rPr>
          <w:lang w:val="es-ES_tradnl"/>
        </w:rPr>
        <w:tab/>
        <w:t>Estas disposiciones se refieren a la puesta en servicio de una asignación de frecuencias a una estación espacial. Para considerar que una asignación de frecuencias de esta índole se ha puesto en servicio, la administración notificante debe comunicar a la Oficina, dentro de un plazo de 30 días a partir del final del periodo de 90 días definido en los números</w:t>
      </w:r>
      <w:r w:rsidR="00DD0038">
        <w:rPr>
          <w:lang w:val="es-ES_tradnl"/>
        </w:rPr>
        <w:t> </w:t>
      </w:r>
      <w:r w:rsidRPr="005E5EFE">
        <w:rPr>
          <w:b/>
          <w:bCs/>
          <w:lang w:val="es-ES_tradnl"/>
        </w:rPr>
        <w:t>11.44B</w:t>
      </w:r>
      <w:r w:rsidRPr="005E5EFE">
        <w:rPr>
          <w:lang w:val="es-ES_tradnl"/>
        </w:rPr>
        <w:t xml:space="preserve"> u </w:t>
      </w:r>
      <w:r w:rsidRPr="005E5EFE">
        <w:rPr>
          <w:b/>
          <w:bCs/>
          <w:lang w:val="es-ES_tradnl"/>
        </w:rPr>
        <w:t>11.44C</w:t>
      </w:r>
      <w:r w:rsidRPr="005E5EFE">
        <w:rPr>
          <w:lang w:val="es-ES_tradnl"/>
        </w:rPr>
        <w:t xml:space="preserve">, o del final del periodo indicado en el número </w:t>
      </w:r>
      <w:r w:rsidRPr="005E5EFE">
        <w:rPr>
          <w:b/>
          <w:bCs/>
          <w:lang w:val="es-ES_tradnl"/>
        </w:rPr>
        <w:t xml:space="preserve">11.44 </w:t>
      </w:r>
      <w:r w:rsidRPr="005E5EFE">
        <w:rPr>
          <w:lang w:val="es-ES_tradnl"/>
        </w:rPr>
        <w:t>para los casos relacionados con los números</w:t>
      </w:r>
      <w:r w:rsidR="00DD0038">
        <w:rPr>
          <w:lang w:val="es-ES_tradnl"/>
        </w:rPr>
        <w:t> </w:t>
      </w:r>
      <w:r w:rsidRPr="005E5EFE">
        <w:rPr>
          <w:b/>
          <w:bCs/>
          <w:lang w:val="es-ES_tradnl"/>
        </w:rPr>
        <w:t>11.44D</w:t>
      </w:r>
      <w:r w:rsidRPr="005E5EFE">
        <w:rPr>
          <w:lang w:val="es-ES_tradnl"/>
        </w:rPr>
        <w:t xml:space="preserve"> u </w:t>
      </w:r>
      <w:r w:rsidRPr="005E5EFE">
        <w:rPr>
          <w:b/>
          <w:bCs/>
          <w:lang w:val="es-ES_tradnl"/>
        </w:rPr>
        <w:t>11.44E</w:t>
      </w:r>
      <w:r w:rsidRPr="005E5EFE">
        <w:rPr>
          <w:lang w:val="es-ES_tradnl"/>
        </w:rPr>
        <w:t>, la información sobre el despliegue especificada en las presentes disposiciones</w:t>
      </w:r>
      <w:r w:rsidRPr="005E5EFE">
        <w:rPr>
          <w:color w:val="000000"/>
          <w:lang w:val="es-ES_tradnl"/>
        </w:rPr>
        <w:t>.</w:t>
      </w:r>
    </w:p>
    <w:p w14:paraId="0ACB2F84" w14:textId="77C775A9" w:rsidR="005E5EFE" w:rsidRDefault="005E5EFE" w:rsidP="005E5EFE">
      <w:pPr>
        <w:rPr>
          <w:lang w:val="es-ES_tradnl"/>
        </w:rPr>
      </w:pPr>
      <w:r w:rsidRPr="005E5EFE">
        <w:rPr>
          <w:lang w:val="es-ES_tradnl"/>
        </w:rPr>
        <w:t>2</w:t>
      </w:r>
      <w:r w:rsidRPr="005E5EFE">
        <w:rPr>
          <w:lang w:val="es-ES_tradnl"/>
        </w:rPr>
        <w:tab/>
        <w:t>La Junta estudió detenidamente la relación entre las diversas disposiciones relacionadas con la entrada en servicio de asignaciones de frecuencias para una red o un sistema de satélites conforme a lo dispuesto en los números.</w:t>
      </w:r>
      <w:r w:rsidRPr="005E5EFE">
        <w:rPr>
          <w:b/>
          <w:bCs/>
          <w:lang w:val="es-ES_tradnl"/>
        </w:rPr>
        <w:t>11.43A</w:t>
      </w:r>
      <w:r w:rsidRPr="005E5EFE">
        <w:rPr>
          <w:lang w:val="es-ES_tradnl"/>
        </w:rPr>
        <w:t xml:space="preserve">, </w:t>
      </w:r>
      <w:r w:rsidRPr="005E5EFE">
        <w:rPr>
          <w:rStyle w:val="Artref"/>
          <w:b/>
          <w:bCs/>
          <w:color w:val="000000"/>
          <w:lang w:val="es-ES_tradnl"/>
        </w:rPr>
        <w:t>11.44</w:t>
      </w:r>
      <w:r w:rsidRPr="005E5EFE">
        <w:rPr>
          <w:rStyle w:val="Artref"/>
          <w:color w:val="000000"/>
          <w:lang w:val="es-ES_tradnl"/>
        </w:rPr>
        <w:t>,</w:t>
      </w:r>
      <w:r w:rsidRPr="005E5EFE">
        <w:rPr>
          <w:rStyle w:val="Artref"/>
          <w:b/>
          <w:bCs/>
          <w:color w:val="000000"/>
          <w:lang w:val="es-ES_tradnl"/>
        </w:rPr>
        <w:t xml:space="preserve"> 11.44.2</w:t>
      </w:r>
      <w:r w:rsidRPr="005E5EFE">
        <w:rPr>
          <w:rStyle w:val="Artref"/>
          <w:color w:val="000000"/>
          <w:lang w:val="es-ES_tradnl"/>
        </w:rPr>
        <w:t xml:space="preserve">, </w:t>
      </w:r>
      <w:r w:rsidRPr="005E5EFE">
        <w:rPr>
          <w:rStyle w:val="Artref"/>
          <w:b/>
          <w:color w:val="000000"/>
          <w:lang w:val="es-ES_tradnl"/>
        </w:rPr>
        <w:t>11.44.3</w:t>
      </w:r>
      <w:r w:rsidRPr="005E5EFE">
        <w:rPr>
          <w:rStyle w:val="Artref"/>
          <w:color w:val="000000"/>
          <w:lang w:val="es-ES_tradnl"/>
        </w:rPr>
        <w:t xml:space="preserve">, </w:t>
      </w:r>
      <w:r w:rsidRPr="005E5EFE">
        <w:rPr>
          <w:rStyle w:val="Artref"/>
          <w:b/>
          <w:bCs/>
          <w:color w:val="000000"/>
          <w:lang w:val="es-ES_tradnl"/>
        </w:rPr>
        <w:t>11.44B</w:t>
      </w:r>
      <w:r w:rsidRPr="005E5EFE">
        <w:rPr>
          <w:rStyle w:val="Artref"/>
          <w:color w:val="000000"/>
          <w:lang w:val="es-ES_tradnl"/>
        </w:rPr>
        <w:t>,</w:t>
      </w:r>
      <w:r w:rsidRPr="005E5EFE">
        <w:rPr>
          <w:rStyle w:val="Artref"/>
          <w:b/>
          <w:bCs/>
          <w:color w:val="000000"/>
          <w:lang w:val="es-ES_tradnl"/>
        </w:rPr>
        <w:t xml:space="preserve"> 11.44B.1</w:t>
      </w:r>
      <w:r w:rsidRPr="005E5EFE">
        <w:rPr>
          <w:rStyle w:val="Artref"/>
          <w:color w:val="000000"/>
          <w:lang w:val="es-ES_tradnl"/>
        </w:rPr>
        <w:t xml:space="preserve">, </w:t>
      </w:r>
      <w:r w:rsidRPr="005E5EFE">
        <w:rPr>
          <w:rStyle w:val="Artref"/>
          <w:b/>
          <w:bCs/>
          <w:color w:val="000000"/>
          <w:lang w:val="es-ES_tradnl"/>
        </w:rPr>
        <w:t>11.44B.2</w:t>
      </w:r>
      <w:r w:rsidRPr="005E5EFE">
        <w:rPr>
          <w:color w:val="000000"/>
          <w:lang w:val="es-ES_tradnl"/>
        </w:rPr>
        <w:t xml:space="preserve">, </w:t>
      </w:r>
      <w:r w:rsidRPr="005E5EFE">
        <w:rPr>
          <w:b/>
          <w:bCs/>
          <w:color w:val="000000"/>
          <w:lang w:val="es-ES_tradnl"/>
        </w:rPr>
        <w:t>11.44C</w:t>
      </w:r>
      <w:r w:rsidRPr="005E5EFE">
        <w:rPr>
          <w:color w:val="000000"/>
          <w:lang w:val="es-ES_tradnl"/>
        </w:rPr>
        <w:t xml:space="preserve">, </w:t>
      </w:r>
      <w:r w:rsidRPr="005E5EFE">
        <w:rPr>
          <w:b/>
          <w:bCs/>
          <w:color w:val="000000"/>
          <w:lang w:val="es-ES_tradnl"/>
        </w:rPr>
        <w:t>11.44C.1</w:t>
      </w:r>
      <w:r w:rsidRPr="005E5EFE">
        <w:rPr>
          <w:color w:val="000000"/>
          <w:lang w:val="es-ES_tradnl"/>
        </w:rPr>
        <w:t xml:space="preserve">, </w:t>
      </w:r>
      <w:r w:rsidRPr="005E5EFE">
        <w:rPr>
          <w:b/>
          <w:bCs/>
          <w:color w:val="000000"/>
          <w:lang w:val="es-ES_tradnl"/>
        </w:rPr>
        <w:t>11.44C.2</w:t>
      </w:r>
      <w:r w:rsidRPr="005E5EFE">
        <w:rPr>
          <w:color w:val="000000"/>
          <w:lang w:val="es-ES_tradnl"/>
        </w:rPr>
        <w:t xml:space="preserve">, </w:t>
      </w:r>
      <w:r w:rsidRPr="005E5EFE">
        <w:rPr>
          <w:b/>
          <w:bCs/>
          <w:color w:val="000000"/>
          <w:lang w:val="es-ES_tradnl"/>
        </w:rPr>
        <w:t>11.44C.3</w:t>
      </w:r>
      <w:r w:rsidRPr="005E5EFE">
        <w:rPr>
          <w:color w:val="000000"/>
          <w:lang w:val="es-ES_tradnl"/>
        </w:rPr>
        <w:t xml:space="preserve">, </w:t>
      </w:r>
      <w:r w:rsidRPr="005E5EFE">
        <w:rPr>
          <w:b/>
          <w:bCs/>
          <w:color w:val="000000"/>
          <w:lang w:val="es-ES_tradnl"/>
        </w:rPr>
        <w:t>11.44C.4</w:t>
      </w:r>
      <w:r w:rsidRPr="005E5EFE">
        <w:rPr>
          <w:color w:val="000000"/>
          <w:lang w:val="es-ES_tradnl"/>
        </w:rPr>
        <w:t xml:space="preserve">, </w:t>
      </w:r>
      <w:r w:rsidRPr="005E5EFE">
        <w:rPr>
          <w:b/>
          <w:bCs/>
          <w:color w:val="000000"/>
          <w:lang w:val="es-ES_tradnl"/>
        </w:rPr>
        <w:t>11.44D</w:t>
      </w:r>
      <w:r w:rsidRPr="005E5EFE">
        <w:rPr>
          <w:color w:val="000000"/>
          <w:lang w:val="es-ES_tradnl"/>
        </w:rPr>
        <w:t xml:space="preserve">, </w:t>
      </w:r>
      <w:r w:rsidRPr="005E5EFE">
        <w:rPr>
          <w:b/>
          <w:bCs/>
          <w:color w:val="000000"/>
          <w:lang w:val="es-ES_tradnl"/>
        </w:rPr>
        <w:t>11.44D.1</w:t>
      </w:r>
      <w:r w:rsidRPr="005E5EFE">
        <w:rPr>
          <w:color w:val="000000"/>
          <w:lang w:val="es-ES_tradnl"/>
        </w:rPr>
        <w:t xml:space="preserve">, </w:t>
      </w:r>
      <w:r w:rsidRPr="005E5EFE">
        <w:rPr>
          <w:b/>
          <w:bCs/>
          <w:color w:val="000000"/>
          <w:lang w:val="es-ES_tradnl"/>
        </w:rPr>
        <w:t>11.44D.2</w:t>
      </w:r>
      <w:r w:rsidRPr="005E5EFE">
        <w:rPr>
          <w:color w:val="000000"/>
          <w:lang w:val="es-ES_tradnl"/>
        </w:rPr>
        <w:t xml:space="preserve">, </w:t>
      </w:r>
      <w:r w:rsidRPr="005E5EFE">
        <w:rPr>
          <w:b/>
          <w:bCs/>
          <w:color w:val="000000"/>
          <w:lang w:val="es-ES_tradnl"/>
        </w:rPr>
        <w:t>11.44D.3</w:t>
      </w:r>
      <w:r w:rsidRPr="005E5EFE">
        <w:rPr>
          <w:color w:val="000000"/>
          <w:lang w:val="es-ES_tradnl"/>
        </w:rPr>
        <w:t xml:space="preserve">, </w:t>
      </w:r>
      <w:r w:rsidRPr="005E5EFE">
        <w:rPr>
          <w:b/>
          <w:bCs/>
          <w:color w:val="000000"/>
          <w:lang w:val="es-ES_tradnl"/>
        </w:rPr>
        <w:t>11.44E</w:t>
      </w:r>
      <w:r w:rsidRPr="005E5EFE">
        <w:rPr>
          <w:color w:val="000000"/>
          <w:lang w:val="es-ES_tradnl"/>
        </w:rPr>
        <w:t xml:space="preserve">, </w:t>
      </w:r>
      <w:r w:rsidRPr="005E5EFE">
        <w:rPr>
          <w:b/>
          <w:bCs/>
          <w:color w:val="000000"/>
          <w:lang w:val="es-ES_tradnl"/>
        </w:rPr>
        <w:t>11.44E.1</w:t>
      </w:r>
      <w:r w:rsidRPr="005E5EFE">
        <w:rPr>
          <w:lang w:val="es-ES_tradnl"/>
        </w:rPr>
        <w:t xml:space="preserve"> y </w:t>
      </w:r>
      <w:r w:rsidRPr="005E5EFE">
        <w:rPr>
          <w:rStyle w:val="Artref"/>
          <w:b/>
          <w:bCs/>
          <w:color w:val="000000"/>
          <w:lang w:val="es-ES_tradnl"/>
        </w:rPr>
        <w:t>11.47</w:t>
      </w:r>
      <w:r w:rsidRPr="005E5EFE">
        <w:rPr>
          <w:rStyle w:val="Artref"/>
          <w:color w:val="000000"/>
          <w:lang w:val="es-ES_tradnl"/>
        </w:rPr>
        <w:t>, y llegó a la conclusión de que la Oficina aplicará el procedimiento que se describe a continuación</w:t>
      </w:r>
      <w:r w:rsidRPr="005E5EFE">
        <w:rPr>
          <w:lang w:val="es-ES_tradnl"/>
        </w:rPr>
        <w:t>.</w:t>
      </w:r>
    </w:p>
    <w:p w14:paraId="4C29B132" w14:textId="02971959" w:rsidR="00290328" w:rsidRDefault="00290328" w:rsidP="005E5EFE">
      <w:pPr>
        <w:rPr>
          <w:lang w:val="es-ES_tradnl"/>
        </w:rPr>
      </w:pPr>
      <w:r>
        <w:rPr>
          <w:lang w:val="es-ES_tradnl"/>
        </w:rPr>
        <w:br w:type="page"/>
      </w:r>
    </w:p>
    <w:p w14:paraId="2FEA8597" w14:textId="79A375D0" w:rsidR="005E5EFE" w:rsidRPr="005E5EFE" w:rsidRDefault="005E5EFE" w:rsidP="005E5EFE">
      <w:pPr>
        <w:rPr>
          <w:lang w:val="es-ES_tradnl"/>
        </w:rPr>
      </w:pPr>
      <w:r w:rsidRPr="005E5EFE">
        <w:rPr>
          <w:lang w:val="es-ES_tradnl"/>
        </w:rPr>
        <w:lastRenderedPageBreak/>
        <w:t>3</w:t>
      </w:r>
      <w:r w:rsidRPr="005E5EFE">
        <w:rPr>
          <w:lang w:val="es-ES_tradnl"/>
        </w:rPr>
        <w:tab/>
        <w:t xml:space="preserve">El número </w:t>
      </w:r>
      <w:r w:rsidRPr="005E5EFE">
        <w:rPr>
          <w:rStyle w:val="Artref"/>
          <w:b/>
          <w:color w:val="000000"/>
          <w:lang w:val="es-ES_tradnl"/>
        </w:rPr>
        <w:t>11.44</w:t>
      </w:r>
      <w:r w:rsidR="003421C9">
        <w:rPr>
          <w:rStyle w:val="FootnoteReference"/>
          <w:lang w:val="es-ES_tradnl"/>
        </w:rPr>
        <w:footnoteReference w:customMarkFollows="1" w:id="13"/>
        <w:t>11</w:t>
      </w:r>
      <w:r w:rsidRPr="005E5EFE">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r w:rsidRPr="005E5EFE">
        <w:rPr>
          <w:b/>
          <w:bCs/>
          <w:lang w:val="es-ES_tradnl"/>
        </w:rPr>
        <w:t xml:space="preserve"> </w:t>
      </w:r>
      <w:r w:rsidRPr="005E5EFE">
        <w:rPr>
          <w:lang w:val="es-ES_tradnl"/>
        </w:rPr>
        <w:t>así como en los números</w:t>
      </w:r>
      <w:r w:rsidR="00DD0038">
        <w:rPr>
          <w:lang w:val="es-ES_tradnl"/>
        </w:rPr>
        <w:t>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 xml:space="preserve">, se estipulan las condiciones en virtud de las cuales se considerará que una asignación de frecuencias a una estación espacial ha sido puesta en servicio. La Oficina inscribirá como fecha de puesta en servicio notificada la fecha de comienzo del periodo de 90 días definido en los números </w:t>
      </w:r>
      <w:r w:rsidRPr="005E5EFE">
        <w:rPr>
          <w:b/>
          <w:lang w:val="es-ES_tradnl"/>
        </w:rPr>
        <w:t>11.44B</w:t>
      </w:r>
      <w:r w:rsidRPr="005E5EFE">
        <w:rPr>
          <w:lang w:val="es-ES_tradnl"/>
        </w:rPr>
        <w:t xml:space="preserve"> </w:t>
      </w:r>
      <w:r w:rsidRPr="005E5EFE">
        <w:rPr>
          <w:bCs/>
          <w:lang w:val="es-ES_tradnl"/>
        </w:rPr>
        <w:t xml:space="preserve">u </w:t>
      </w:r>
      <w:r w:rsidRPr="005E5EFE">
        <w:rPr>
          <w:b/>
          <w:bCs/>
          <w:lang w:val="es-ES_tradnl"/>
        </w:rPr>
        <w:t>11.44C</w:t>
      </w:r>
      <w:r w:rsidRPr="005E5EFE">
        <w:rPr>
          <w:lang w:val="es-ES_tradnl"/>
        </w:rPr>
        <w:t>, o la fecha de despliegue definida en los números</w:t>
      </w:r>
      <w:r w:rsidR="00DD0038">
        <w:rPr>
          <w:lang w:val="es-ES_tradnl"/>
        </w:rPr>
        <w:t> </w:t>
      </w:r>
      <w:r w:rsidRPr="005E5EFE">
        <w:rPr>
          <w:b/>
          <w:bCs/>
          <w:lang w:val="es-ES_tradnl"/>
        </w:rPr>
        <w:t xml:space="preserve">11.44D </w:t>
      </w:r>
      <w:r w:rsidRPr="005E5EFE">
        <w:rPr>
          <w:lang w:val="es-ES_tradnl"/>
        </w:rPr>
        <w:t xml:space="preserve">u </w:t>
      </w:r>
      <w:r w:rsidRPr="005E5EFE">
        <w:rPr>
          <w:b/>
          <w:bCs/>
          <w:lang w:val="es-ES_tradnl"/>
        </w:rPr>
        <w:t>11.44E</w:t>
      </w:r>
      <w:r w:rsidRPr="005E5EFE">
        <w:rPr>
          <w:lang w:val="es-ES_tradnl"/>
        </w:rPr>
        <w:t>,</w:t>
      </w:r>
      <w:r w:rsidRPr="005E5EFE">
        <w:rPr>
          <w:bCs/>
          <w:lang w:val="es-ES_tradnl"/>
        </w:rPr>
        <w:t xml:space="preserve"> o la fecha proporcionada por la administración de conformidad con los números</w:t>
      </w:r>
      <w:r w:rsidR="00DD0038">
        <w:rPr>
          <w:bCs/>
          <w:lang w:val="es-ES_tradnl"/>
        </w:rPr>
        <w:t> </w:t>
      </w:r>
      <w:r w:rsidRPr="005E5EFE">
        <w:rPr>
          <w:b/>
          <w:lang w:val="es-ES_tradnl"/>
        </w:rPr>
        <w:t xml:space="preserve">11.44B.2 </w:t>
      </w:r>
      <w:r w:rsidRPr="005E5EFE">
        <w:rPr>
          <w:bCs/>
          <w:lang w:val="es-ES_tradnl"/>
        </w:rPr>
        <w:t xml:space="preserve">u </w:t>
      </w:r>
      <w:r w:rsidRPr="005E5EFE">
        <w:rPr>
          <w:b/>
          <w:bCs/>
          <w:lang w:val="es-ES_tradnl"/>
        </w:rPr>
        <w:t>11.44C.3</w:t>
      </w:r>
      <w:r w:rsidRPr="005E5EFE">
        <w:rPr>
          <w:b/>
          <w:lang w:val="es-ES_tradnl"/>
        </w:rPr>
        <w:t xml:space="preserve"> </w:t>
      </w:r>
      <w:r w:rsidRPr="005E5EFE">
        <w:rPr>
          <w:lang w:val="es-ES_tradnl"/>
        </w:rPr>
        <w:t>(véase el número</w:t>
      </w:r>
      <w:r w:rsidR="00DD0038">
        <w:rPr>
          <w:lang w:val="es-ES_tradnl"/>
        </w:rPr>
        <w:t> </w:t>
      </w:r>
      <w:r w:rsidRPr="005E5EFE">
        <w:rPr>
          <w:b/>
          <w:lang w:val="es-ES_tradnl"/>
        </w:rPr>
        <w:t>11.44.2</w:t>
      </w:r>
      <w:r w:rsidRPr="005E5EFE">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5E5EFE">
        <w:rPr>
          <w:b/>
          <w:bCs/>
          <w:lang w:val="es-ES_tradnl"/>
        </w:rPr>
        <w:t>11.44B, 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xml:space="preserve">, así como de los números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w:t>
      </w:r>
      <w:r w:rsidRPr="005E5EFE">
        <w:rPr>
          <w:b/>
          <w:bCs/>
          <w:lang w:val="es-ES_tradnl"/>
        </w:rPr>
        <w:t> </w:t>
      </w:r>
      <w:r w:rsidRPr="005E5EFE">
        <w:rPr>
          <w:lang w:val="es-ES_tradnl"/>
        </w:rPr>
        <w:t>la Oficina anulará las asignaciones inscritas provisionalmente en el Registro con arreglo al número </w:t>
      </w:r>
      <w:r w:rsidRPr="005E5EFE">
        <w:rPr>
          <w:b/>
          <w:bCs/>
          <w:lang w:val="es-ES_tradnl"/>
        </w:rPr>
        <w:t>11.44</w:t>
      </w:r>
      <w:r w:rsidR="003421C9">
        <w:rPr>
          <w:rStyle w:val="FootnoteReference"/>
          <w:lang w:val="es-ES_tradnl"/>
        </w:rPr>
        <w:footnoteReference w:customMarkFollows="1" w:id="14"/>
        <w:t>12</w:t>
      </w:r>
      <w:r w:rsidRPr="005E5EFE">
        <w:rPr>
          <w:lang w:val="es-ES_tradnl"/>
        </w:rPr>
        <w:t xml:space="preserve"> y/o suprimirá las correspondientes secciones especiales conforme al número </w:t>
      </w:r>
      <w:r w:rsidRPr="005E5EFE">
        <w:rPr>
          <w:b/>
          <w:bCs/>
          <w:lang w:val="es-ES_tradnl"/>
        </w:rPr>
        <w:t>11.48</w:t>
      </w:r>
      <w:r w:rsidR="003421C9">
        <w:rPr>
          <w:rStyle w:val="FootnoteReference"/>
          <w:lang w:val="es-ES_tradnl"/>
        </w:rPr>
        <w:footnoteReference w:customMarkFollows="1" w:id="15"/>
        <w:t>13</w:t>
      </w:r>
      <w:r w:rsidRPr="005E5EFE">
        <w:rPr>
          <w:lang w:val="es-ES_tradnl"/>
        </w:rPr>
        <w:t>, según proceda.</w:t>
      </w:r>
    </w:p>
    <w:p w14:paraId="5313B2E4" w14:textId="26725873" w:rsidR="005E5EFE" w:rsidRPr="005E5EFE" w:rsidRDefault="005E5EFE" w:rsidP="005E5EFE">
      <w:pPr>
        <w:rPr>
          <w:lang w:val="es-ES_tradnl"/>
        </w:rPr>
      </w:pPr>
      <w:r w:rsidRPr="005E5EFE">
        <w:rPr>
          <w:lang w:val="es-ES_tradnl"/>
        </w:rPr>
        <w:t>4</w:t>
      </w:r>
      <w:r w:rsidRPr="005E5EFE">
        <w:rPr>
          <w:lang w:val="es-ES_tradnl"/>
        </w:rPr>
        <w:tab/>
        <w:t xml:space="preserve">Las asignaciones de frecuencias respecto de las cuales una administración haya presentado información sobre la notificación para su inscripción en el Registro sin presentar la información obligatoria requerida a tenor de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se inscribirá provisionalmente en el Registro. De ahí en adelante, al final del periodo proporcionado conforme al número </w:t>
      </w:r>
      <w:r w:rsidRPr="005E5EFE">
        <w:rPr>
          <w:b/>
          <w:bCs/>
          <w:lang w:val="es-ES_tradnl"/>
        </w:rPr>
        <w:t>11.44</w:t>
      </w:r>
      <w:r w:rsidRPr="005E5EFE">
        <w:rPr>
          <w:lang w:val="es-ES_tradnl"/>
        </w:rPr>
        <w:t xml:space="preserve">, la Oficina actuará de conformidad con lo dispuesto en el número </w:t>
      </w:r>
      <w:r w:rsidRPr="005E5EFE">
        <w:rPr>
          <w:b/>
          <w:bCs/>
          <w:lang w:val="es-ES_tradnl"/>
        </w:rPr>
        <w:t xml:space="preserve">11.47 </w:t>
      </w:r>
      <w:r w:rsidRPr="005E5EFE">
        <w:rPr>
          <w:lang w:val="es-ES_tradnl"/>
        </w:rPr>
        <w:t>y/o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p>
    <w:p w14:paraId="7C508A3C" w14:textId="77777777" w:rsidR="00290328" w:rsidRPr="00290328" w:rsidRDefault="00290328" w:rsidP="00290328">
      <w:pPr>
        <w:pStyle w:val="Heading8"/>
        <w:tabs>
          <w:tab w:val="clear" w:pos="1871"/>
          <w:tab w:val="left" w:pos="1588"/>
        </w:tabs>
        <w:spacing w:before="0"/>
        <w:rPr>
          <w:lang w:val="es-ES"/>
        </w:rPr>
      </w:pPr>
      <w:r w:rsidRPr="00CA2E46">
        <w:rPr>
          <w:color w:val="000000"/>
          <w:lang w:val="es-ES_tradnl"/>
        </w:rPr>
        <w:t>11.46</w:t>
      </w:r>
    </w:p>
    <w:p w14:paraId="38D413B6" w14:textId="77777777" w:rsidR="00290328" w:rsidRPr="00CA2E46" w:rsidRDefault="00290328" w:rsidP="00290328">
      <w:pPr>
        <w:rPr>
          <w:lang w:val="es-ES_tradnl"/>
        </w:rPr>
      </w:pPr>
      <w:r w:rsidRPr="00CA2E46">
        <w:rPr>
          <w:lang w:val="es-ES_tradnl"/>
        </w:rPr>
        <w:t xml:space="preserve">En esta disposición se describen las medidas adoptadas por la Oficina con respecto a toda </w:t>
      </w:r>
      <w:bookmarkStart w:id="1" w:name="_Hlk47620747"/>
      <w:r w:rsidRPr="00CA2E46">
        <w:rPr>
          <w:lang w:val="es-ES_tradnl"/>
        </w:rPr>
        <w:t xml:space="preserve">notificación presentada de nuevo </w:t>
      </w:r>
      <w:bookmarkEnd w:id="1"/>
      <w:r w:rsidRPr="00CA2E46">
        <w:rPr>
          <w:lang w:val="es-ES_tradnl"/>
        </w:rPr>
        <w:t>que se reciba más de seis meses después de la fecha en que se devolvió la notificación original. La Junta estudió su aplicabilidad a las notificaciones espaciales y terrenales y llegó a las siguientes conclusiones:</w:t>
      </w:r>
    </w:p>
    <w:p w14:paraId="3B0506F5" w14:textId="77777777" w:rsidR="00290328" w:rsidRPr="00CA2E46" w:rsidRDefault="00290328" w:rsidP="00290328">
      <w:pPr>
        <w:pStyle w:val="enumlev1"/>
        <w:rPr>
          <w:lang w:val="es-ES_tradnl"/>
        </w:rPr>
      </w:pPr>
      <w:r w:rsidRPr="00CA2E46">
        <w:rPr>
          <w:lang w:val="es-ES_tradnl"/>
        </w:rPr>
        <w:t>a)</w:t>
      </w:r>
      <w:r w:rsidRPr="00CA2E46">
        <w:rPr>
          <w:lang w:val="es-ES_tradnl"/>
        </w:rPr>
        <w:tab/>
        <w:t>el requisito previsto en la primera frase de esta disposición, en virtud del cual toda notificación presentada de nuevo que se reciba más de seis meses después de la fecha en que se devolvió la notificación original será considerada como una nueva notificación, se aplicará a las asignaciones de frecuencias a estaciones espaciales y terrenales;</w:t>
      </w:r>
    </w:p>
    <w:p w14:paraId="4AE8B6AD" w14:textId="33CA3C3E" w:rsidR="00290328" w:rsidRDefault="00290328" w:rsidP="00290328">
      <w:pPr>
        <w:pStyle w:val="enumlev1"/>
        <w:rPr>
          <w:lang w:val="es-ES_tradnl"/>
        </w:rPr>
      </w:pPr>
      <w:r w:rsidRPr="00CA2E46">
        <w:rPr>
          <w:lang w:val="es-ES_tradnl"/>
        </w:rPr>
        <w:t>b)</w:t>
      </w:r>
      <w:r w:rsidRPr="00CA2E46">
        <w:rPr>
          <w:lang w:val="es-ES_tradnl"/>
        </w:rPr>
        <w:tab/>
        <w:t>los demás requisitos del número </w:t>
      </w:r>
      <w:r w:rsidRPr="00CA2E46">
        <w:rPr>
          <w:b/>
          <w:bCs/>
          <w:lang w:val="es-ES_tradnl"/>
        </w:rPr>
        <w:t>11.46</w:t>
      </w:r>
      <w:r w:rsidRPr="00CA2E46">
        <w:rPr>
          <w:lang w:val="es-ES_tradnl"/>
        </w:rPr>
        <w:t>, así como del número </w:t>
      </w:r>
      <w:r w:rsidRPr="00CA2E46">
        <w:rPr>
          <w:b/>
          <w:bCs/>
          <w:lang w:val="es-ES_tradnl"/>
        </w:rPr>
        <w:t>11.46.1</w:t>
      </w:r>
      <w:r w:rsidRPr="00CA2E46">
        <w:rPr>
          <w:lang w:val="es-ES_tradnl"/>
        </w:rPr>
        <w:t>, se aplicarán únicamente a las asignaciones de frecuencias a estaciones espaciales.</w:t>
      </w:r>
    </w:p>
    <w:p w14:paraId="7075E007" w14:textId="77777777" w:rsidR="00243B84" w:rsidRDefault="00243B84" w:rsidP="00290328">
      <w:pPr>
        <w:pStyle w:val="enumlev1"/>
        <w:rPr>
          <w:lang w:val="es-ES_tradnl"/>
        </w:rPr>
      </w:pPr>
    </w:p>
    <w:p w14:paraId="3D785C3F" w14:textId="77777777" w:rsidR="00243B84" w:rsidRDefault="00243B84" w:rsidP="00290328">
      <w:pPr>
        <w:pStyle w:val="enumlev1"/>
        <w:rPr>
          <w:lang w:val="es-ES_tradnl"/>
        </w:rPr>
        <w:sectPr w:rsidR="00243B84" w:rsidSect="00243C1F">
          <w:headerReference w:type="even" r:id="rId23"/>
          <w:headerReference w:type="default" r:id="rId24"/>
          <w:footnotePr>
            <w:pos w:val="beneathText"/>
            <w:numFmt w:val="chicago"/>
          </w:footnotePr>
          <w:pgSz w:w="11907" w:h="16840" w:code="9"/>
          <w:pgMar w:top="1701" w:right="851" w:bottom="1134" w:left="1985" w:header="720" w:footer="482" w:gutter="0"/>
          <w:cols w:space="720"/>
          <w:vAlign w:val="both"/>
        </w:sectPr>
      </w:pPr>
    </w:p>
    <w:p w14:paraId="74952BD9" w14:textId="269F69DE"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14:paraId="19C00F95" w14:textId="5D51D753" w:rsidR="001A29BD" w:rsidRDefault="001A29BD" w:rsidP="00157BE3">
      <w:pPr>
        <w:spacing w:before="60" w:line="250" w:lineRule="exact"/>
        <w:rPr>
          <w:rStyle w:val="Artref"/>
          <w:bCs/>
          <w:color w:val="000000"/>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p>
    <w:p w14:paraId="393F4780" w14:textId="5890A3E5" w:rsidR="00CA2E46" w:rsidRPr="00CA2E46" w:rsidRDefault="00CA2E46" w:rsidP="00157BE3">
      <w:pPr>
        <w:spacing w:before="60"/>
        <w:rPr>
          <w:b/>
          <w:lang w:val="es-ES_tradnl"/>
        </w:rPr>
      </w:pPr>
      <w:r w:rsidRPr="00CA2E46">
        <w:rPr>
          <w:b/>
          <w:lang w:val="es-ES_tradnl"/>
        </w:rPr>
        <w:t>Nota</w:t>
      </w:r>
      <w:r w:rsidR="00FB02FE">
        <w:rPr>
          <w:lang w:val="es-ES_tradnl"/>
        </w:rPr>
        <w:t> </w:t>
      </w:r>
      <w:r w:rsidR="00FB02FE" w:rsidRPr="008254E1">
        <w:rPr>
          <w:lang w:val="es-ES_tradnl"/>
        </w:rPr>
        <w:t>–</w:t>
      </w:r>
      <w:r w:rsidR="00FB02FE">
        <w:rPr>
          <w:lang w:val="es-ES_tradnl"/>
        </w:rPr>
        <w:t> </w:t>
      </w:r>
      <w:r w:rsidRPr="00CA2E46">
        <w:rPr>
          <w:bCs/>
          <w:lang w:val="es-ES_tradnl"/>
        </w:rPr>
        <w:t>En su 8ª</w:t>
      </w:r>
      <w:r w:rsidR="00290328">
        <w:rPr>
          <w:bCs/>
          <w:lang w:val="es-ES_tradnl"/>
        </w:rPr>
        <w:t> </w:t>
      </w:r>
      <w:r w:rsidRPr="00CA2E46">
        <w:rPr>
          <w:bCs/>
          <w:lang w:val="es-ES_tradnl"/>
        </w:rPr>
        <w:t xml:space="preserve">Sesión Plenaria la CMR-19 tomó la siguiente decisión en cuanto a la aplicación del número </w:t>
      </w:r>
      <w:r w:rsidRPr="00CA2E46">
        <w:rPr>
          <w:b/>
          <w:lang w:val="es-ES_tradnl"/>
        </w:rPr>
        <w:t>11.47</w:t>
      </w:r>
      <w:r w:rsidRPr="00CA2E46">
        <w:rPr>
          <w:bCs/>
          <w:lang w:val="es-ES_tradnl"/>
        </w:rPr>
        <w:t xml:space="preserve"> del RR con respecto a las inscripciones provisionales; véanse los apartados 3.11 a 3.15 del Documento CMR19/569, aprobación del Documento CMR19/451 relativo al apartado 3.1.4.3 del Documento CMR19/4(Add.2)</w:t>
      </w:r>
      <w:r w:rsidRPr="00CA2E46">
        <w:rPr>
          <w:lang w:val="es-ES_tradnl"/>
        </w:rPr>
        <w:t>:</w:t>
      </w:r>
    </w:p>
    <w:p w14:paraId="4BA6D570" w14:textId="77777777" w:rsidR="00CA2E46" w:rsidRPr="00316036" w:rsidRDefault="00CA2E46" w:rsidP="00157BE3">
      <w:pPr>
        <w:spacing w:before="60"/>
        <w:rPr>
          <w:i/>
          <w:iCs/>
          <w:lang w:val="es-ES_tradnl"/>
        </w:rPr>
      </w:pPr>
      <w:r w:rsidRPr="00CA2E46">
        <w:rPr>
          <w:lang w:val="es-ES_tradnl"/>
        </w:rPr>
        <w:t>«</w:t>
      </w:r>
      <w:bookmarkStart w:id="2" w:name="lt_pId383"/>
      <w:r w:rsidRPr="00316036">
        <w:rPr>
          <w:i/>
          <w:iCs/>
          <w:lang w:val="es-ES_tradnl"/>
        </w:rPr>
        <w:t xml:space="preserve">Al examinar la sección 3.1.4.3 sobre la «Posible revisión de la aplicación del número </w:t>
      </w:r>
      <w:r w:rsidRPr="00316036">
        <w:rPr>
          <w:b/>
          <w:bCs/>
          <w:i/>
          <w:iCs/>
          <w:lang w:val="es-ES_tradnl"/>
        </w:rPr>
        <w:t>11.47</w:t>
      </w:r>
      <w:r w:rsidRPr="00316036">
        <w:rPr>
          <w:i/>
          <w:iCs/>
          <w:lang w:val="es-ES_tradnl"/>
        </w:rPr>
        <w:t xml:space="preserve"> del RR con respecto a las inscripciones provisionales», de las dos opciones presentadas en esta sección para resolver las dificultades planteadas, la CMR-19 eligió la segunda opción de la forma que se indica a continuación:</w:t>
      </w:r>
      <w:bookmarkEnd w:id="2"/>
    </w:p>
    <w:p w14:paraId="71B76D45" w14:textId="0282DF67" w:rsidR="00CA2E46" w:rsidRDefault="00CA2E46" w:rsidP="00157BE3">
      <w:pPr>
        <w:spacing w:before="60" w:line="250" w:lineRule="exact"/>
        <w:rPr>
          <w:lang w:val="es-ES_tradnl"/>
        </w:rPr>
      </w:pPr>
      <w:r w:rsidRPr="00316036">
        <w:rPr>
          <w:i/>
          <w:iCs/>
          <w:lang w:val="es-ES_tradnl"/>
        </w:rPr>
        <w:t>Se encarga a la Oficina la prórroga automática de las fechas de puesta en servicio previstas en la base de datos hasta el final del periodo reglamentario determinado en el número </w:t>
      </w:r>
      <w:r w:rsidRPr="00316036">
        <w:rPr>
          <w:b/>
          <w:bCs/>
          <w:i/>
          <w:iCs/>
          <w:lang w:val="es-ES_tradnl"/>
        </w:rPr>
        <w:t>11.44</w:t>
      </w:r>
      <w:r w:rsidRPr="00316036">
        <w:rPr>
          <w:i/>
          <w:iCs/>
          <w:lang w:val="es-ES_tradnl"/>
        </w:rPr>
        <w:t xml:space="preserve"> del RR si la Oficina no recibe confirmación durante los cuatro meses anteriores a la fecha prevista de puesta en servicio: no se publicará esta revisión de la fecha de puesta en servicio, pero la información podrá consultarse en el sitio web de la BR. Esta opción no exige modificación alguna del Reglamento de Radiocomunicaciones</w:t>
      </w:r>
      <w:r w:rsidRPr="00CA2E46">
        <w:rPr>
          <w:lang w:val="es-ES_tradnl"/>
        </w:rPr>
        <w:t>».</w:t>
      </w:r>
    </w:p>
    <w:p w14:paraId="3CB5E87B" w14:textId="322F855C" w:rsidR="00510FE2" w:rsidRPr="00510FE2" w:rsidRDefault="00510FE2" w:rsidP="00585E27">
      <w:pPr>
        <w:keepNext/>
        <w:keepLines/>
        <w:pBdr>
          <w:top w:val="double" w:sz="6" w:space="1" w:color="auto"/>
          <w:left w:val="double" w:sz="6" w:space="1" w:color="auto"/>
          <w:bottom w:val="double" w:sz="6" w:space="1" w:color="auto"/>
          <w:right w:val="double" w:sz="6" w:space="1" w:color="auto"/>
        </w:pBdr>
        <w:spacing w:before="120"/>
        <w:ind w:left="85" w:right="7938"/>
        <w:jc w:val="left"/>
        <w:outlineLvl w:val="7"/>
        <w:rPr>
          <w:rFonts w:asciiTheme="minorHAnsi" w:hAnsiTheme="minorHAnsi" w:cstheme="minorHAnsi"/>
          <w:b/>
          <w:color w:val="000000"/>
          <w:lang w:val="es-ES"/>
        </w:rPr>
      </w:pPr>
      <w:r w:rsidRPr="00243B84">
        <w:rPr>
          <w:b/>
          <w:color w:val="000000"/>
          <w:lang w:val="es-ES_tradnl"/>
        </w:rPr>
        <w:t>11.48 y 11.48.1</w:t>
      </w:r>
    </w:p>
    <w:p w14:paraId="29A4898E" w14:textId="77777777" w:rsidR="00510FE2" w:rsidRPr="00243B84" w:rsidRDefault="00510FE2" w:rsidP="00157BE3">
      <w:pPr>
        <w:spacing w:before="60"/>
        <w:rPr>
          <w:spacing w:val="-6"/>
          <w:lang w:val="es-ES"/>
        </w:rPr>
      </w:pPr>
      <w:r w:rsidRPr="00243B84">
        <w:rPr>
          <w:b/>
          <w:bCs/>
          <w:spacing w:val="-6"/>
          <w:lang w:val="es-ES"/>
        </w:rPr>
        <w:t>Medidas adoptadas por la Oficina a raíz de la decisión de la Junta de conceder una prórroga para la puesta en servicio de las asignaciones de frecuencias a una red de satélites</w:t>
      </w:r>
    </w:p>
    <w:p w14:paraId="283DE261" w14:textId="00C82D9D" w:rsidR="00510FE2" w:rsidRPr="00243B84" w:rsidRDefault="00510FE2" w:rsidP="00157BE3">
      <w:pPr>
        <w:spacing w:before="60" w:after="60" w:line="260" w:lineRule="exact"/>
        <w:rPr>
          <w:lang w:val="es-ES"/>
        </w:rPr>
      </w:pPr>
      <w:r w:rsidRPr="00243B84">
        <w:rPr>
          <w:lang w:val="es-ES"/>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 plazo para la presentación de la información de notificación, de la Resolución </w:t>
      </w:r>
      <w:r w:rsidRPr="00243B84">
        <w:rPr>
          <w:b/>
          <w:bCs/>
          <w:lang w:val="es-ES"/>
        </w:rPr>
        <w:t>49 (Rev.CMR-</w:t>
      </w:r>
      <w:r w:rsidR="00585E27">
        <w:rPr>
          <w:b/>
          <w:bCs/>
          <w:lang w:val="es-ES"/>
        </w:rPr>
        <w:t>23</w:t>
      </w:r>
      <w:r w:rsidRPr="00243B84">
        <w:rPr>
          <w:b/>
          <w:bCs/>
          <w:lang w:val="es-ES"/>
        </w:rPr>
        <w:t xml:space="preserve">) </w:t>
      </w:r>
      <w:r w:rsidRPr="00243B84">
        <w:rPr>
          <w:lang w:val="es-ES"/>
        </w:rPr>
        <w:t>y de la Resolución</w:t>
      </w:r>
      <w:r w:rsidRPr="00243B84">
        <w:rPr>
          <w:b/>
          <w:bCs/>
          <w:lang w:val="es-ES"/>
        </w:rPr>
        <w:t xml:space="preserve"> 552 (Rev.CMR-</w:t>
      </w:r>
      <w:r w:rsidR="00585E27">
        <w:rPr>
          <w:b/>
          <w:bCs/>
          <w:lang w:val="es-ES"/>
        </w:rPr>
        <w:t>23</w:t>
      </w:r>
      <w:r w:rsidRPr="00243B84">
        <w:rPr>
          <w:b/>
          <w:bCs/>
          <w:lang w:val="es-ES"/>
        </w:rPr>
        <w:t>)</w:t>
      </w:r>
      <w:r w:rsidRPr="00243B84">
        <w:rPr>
          <w:lang w:val="es-ES"/>
        </w:rPr>
        <w:t>. En los números </w:t>
      </w:r>
      <w:r w:rsidRPr="00243B84">
        <w:rPr>
          <w:b/>
          <w:bCs/>
          <w:lang w:val="es-ES"/>
        </w:rPr>
        <w:t>11.48</w:t>
      </w:r>
      <w:r w:rsidRPr="00243B84">
        <w:rPr>
          <w:lang w:val="es-ES"/>
        </w:rPr>
        <w:t xml:space="preserve"> y </w:t>
      </w:r>
      <w:r w:rsidRPr="00243B84">
        <w:rPr>
          <w:b/>
          <w:bCs/>
          <w:lang w:val="es-ES"/>
        </w:rPr>
        <w:t>11.48.1</w:t>
      </w:r>
      <w:r w:rsidRPr="00243B84">
        <w:rPr>
          <w:lang w:val="es-ES"/>
        </w:rPr>
        <w:t xml:space="preserve"> no se alude únicamente a la puesta en servicio, sino que en virtud de los mismos se exige que la Oficina de Radiocomunicaciones reciba la primera notificación para inscribir las asignaciones de frecuencias con arreglo al número </w:t>
      </w:r>
      <w:r w:rsidRPr="00243B84">
        <w:rPr>
          <w:b/>
          <w:bCs/>
          <w:lang w:val="es-ES"/>
        </w:rPr>
        <w:t>11.15</w:t>
      </w:r>
      <w:r w:rsidRPr="00243B84">
        <w:rPr>
          <w:lang w:val="es-ES"/>
        </w:rPr>
        <w:t xml:space="preserve"> antes de que expire el plazo reglamentario de siete años y la información de debida diligencia con arreglo a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y/o la Resolución </w:t>
      </w:r>
      <w:r w:rsidRPr="00243B84">
        <w:rPr>
          <w:b/>
          <w:bCs/>
          <w:lang w:val="es-ES"/>
        </w:rPr>
        <w:t>552 (Rev.CMR-</w:t>
      </w:r>
      <w:r w:rsidR="00585E27">
        <w:rPr>
          <w:b/>
          <w:bCs/>
          <w:lang w:val="es-ES"/>
        </w:rPr>
        <w:t>23</w:t>
      </w:r>
      <w:r w:rsidRPr="00243B84">
        <w:rPr>
          <w:b/>
          <w:bCs/>
          <w:lang w:val="es-ES"/>
        </w:rPr>
        <w:t>)</w:t>
      </w:r>
      <w:r w:rsidRPr="00243B84">
        <w:rPr>
          <w:lang w:val="es-ES"/>
        </w:rPr>
        <w:t xml:space="preserve"> a más tardar 30 días después del final del plazo reglamentario de siete años.</w:t>
      </w:r>
    </w:p>
    <w:p w14:paraId="69227C40" w14:textId="5EB9A607" w:rsidR="00510FE2" w:rsidRPr="00243B84" w:rsidRDefault="00510FE2" w:rsidP="00157BE3">
      <w:pPr>
        <w:spacing w:before="60" w:after="60" w:line="260" w:lineRule="exact"/>
        <w:rPr>
          <w:lang w:val="es-ES"/>
        </w:rPr>
      </w:pPr>
      <w:r w:rsidRPr="00243B84">
        <w:rPr>
          <w:lang w:val="es-ES"/>
        </w:rPr>
        <w:t xml:space="preserve">A menos que la Junta decida explícitamente lo contrario, la ampliación del plazo para la puesta en servicio de las asignaciones de frecuencias a una red de satélites no conlleva la prórroga del plazo reglamentario para la presentación de la información de notificación, de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y/o de la Resolución</w:t>
      </w:r>
      <w:r w:rsidRPr="00243B84">
        <w:rPr>
          <w:b/>
          <w:bCs/>
          <w:lang w:val="es-ES"/>
        </w:rPr>
        <w:t xml:space="preserve"> 552 (Rev.CMR-</w:t>
      </w:r>
      <w:r w:rsidR="00585E27">
        <w:rPr>
          <w:b/>
          <w:bCs/>
          <w:lang w:val="es-ES"/>
        </w:rPr>
        <w:t>23</w:t>
      </w:r>
      <w:r w:rsidRPr="00243B84">
        <w:rPr>
          <w:b/>
          <w:bCs/>
          <w:lang w:val="es-ES"/>
        </w:rPr>
        <w:t>)</w:t>
      </w:r>
      <w:r w:rsidRPr="00243B84">
        <w:rPr>
          <w:lang w:val="es-ES"/>
        </w:rPr>
        <w:t xml:space="preserve"> en virtud de lo establecido en los números </w:t>
      </w:r>
      <w:r w:rsidRPr="00243B84">
        <w:rPr>
          <w:b/>
          <w:bCs/>
          <w:lang w:val="es-ES"/>
        </w:rPr>
        <w:t>11.48 y 11.48.1</w:t>
      </w:r>
      <w:r w:rsidRPr="00243B84">
        <w:rPr>
          <w:lang w:val="es-ES"/>
        </w:rPr>
        <w:t xml:space="preserve">, puesto que esa información sobre la utilización prevista de frecuencias y la situación de coordinación sería útil para otras administraciones a los efectos de planificación de sus proyectos de satélite y actividades de coordinación. En consecuencia, en </w:t>
      </w:r>
      <w:r w:rsidRPr="00F566E3">
        <w:rPr>
          <w:lang w:val="es-ES"/>
        </w:rPr>
        <w:t>los casos</w:t>
      </w:r>
      <w:r w:rsidRPr="00243B84">
        <w:rPr>
          <w:lang w:val="es-ES"/>
        </w:rPr>
        <w:t xml:space="preserve"> en los que no se haya proporcionado dicha información antes de que la Junta haya decidido conceder una prórroga del plazo para la puesta en servicio, la Oficina comunicará a la administración notificante, después de la decisión de la Junta, que aún debe proporcionar, de conformidad con lo establecido en los números </w:t>
      </w:r>
      <w:r w:rsidRPr="00243B84">
        <w:rPr>
          <w:b/>
          <w:bCs/>
          <w:lang w:val="es-ES"/>
        </w:rPr>
        <w:t xml:space="preserve">11.48 </w:t>
      </w:r>
      <w:r w:rsidRPr="00243B84">
        <w:rPr>
          <w:lang w:val="es-ES"/>
        </w:rPr>
        <w:t>y</w:t>
      </w:r>
      <w:r w:rsidRPr="00243B84">
        <w:rPr>
          <w:b/>
          <w:bCs/>
          <w:lang w:val="es-ES"/>
        </w:rPr>
        <w:t xml:space="preserve"> 11.48.1</w:t>
      </w:r>
      <w:r w:rsidRPr="00243B84">
        <w:rPr>
          <w:lang w:val="es-ES"/>
        </w:rPr>
        <w:t>, la información de notificación en el plazo de siete años, así como la información de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 de la Resolución</w:t>
      </w:r>
      <w:r w:rsidRPr="00243B84">
        <w:rPr>
          <w:b/>
          <w:bCs/>
          <w:lang w:val="es-ES"/>
        </w:rPr>
        <w:t xml:space="preserve"> 552 (Rev.CMR-</w:t>
      </w:r>
      <w:r w:rsidR="00585E27">
        <w:rPr>
          <w:b/>
          <w:bCs/>
          <w:lang w:val="es-ES"/>
        </w:rPr>
        <w:t>23</w:t>
      </w:r>
      <w:r w:rsidRPr="00243B84">
        <w:rPr>
          <w:b/>
          <w:bCs/>
          <w:lang w:val="es-ES"/>
        </w:rPr>
        <w:t xml:space="preserve">) </w:t>
      </w:r>
      <w:r w:rsidRPr="00243B84">
        <w:rPr>
          <w:lang w:val="es-ES"/>
        </w:rPr>
        <w:t>sobre el satélite respecto del que se haya producido un caso de fuerza mayor o de retraso de un lanzamiento colectivo a más tardar 30 días después del final del plazo de siete años.</w:t>
      </w:r>
    </w:p>
    <w:p w14:paraId="6B059B5C" w14:textId="034F3290" w:rsidR="00510FE2" w:rsidRPr="00243B84" w:rsidRDefault="00510FE2" w:rsidP="00510FE2">
      <w:pPr>
        <w:rPr>
          <w:lang w:val="es-ES"/>
        </w:rPr>
      </w:pPr>
      <w:r w:rsidRPr="00243B84">
        <w:rPr>
          <w:lang w:val="es-ES"/>
        </w:rPr>
        <w:lastRenderedPageBreak/>
        <w:t xml:space="preserve">Cuando la información de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y/o de la </w:t>
      </w:r>
      <w:r w:rsidRPr="00243B84">
        <w:rPr>
          <w:b/>
          <w:bCs/>
          <w:lang w:val="es-ES"/>
        </w:rPr>
        <w:t>Resolución 552 (Rev.CMR</w:t>
      </w:r>
      <w:r w:rsidRPr="00243B84">
        <w:rPr>
          <w:b/>
          <w:bCs/>
          <w:lang w:val="es-ES"/>
        </w:rPr>
        <w:noBreakHyphen/>
      </w:r>
      <w:r w:rsidR="00585E27">
        <w:rPr>
          <w:b/>
          <w:bCs/>
          <w:lang w:val="es-ES"/>
        </w:rPr>
        <w:t>23</w:t>
      </w:r>
      <w:r w:rsidRPr="00243B84">
        <w:rPr>
          <w:b/>
          <w:bCs/>
          <w:lang w:val="es-ES"/>
        </w:rPr>
        <w:t>)</w:t>
      </w:r>
      <w:r w:rsidRPr="00243B84">
        <w:rPr>
          <w:lang w:val="es-ES"/>
        </w:rPr>
        <w:t xml:space="preserve"> se haya presentado a la Oficina antes de que la Junta tomara la decisión de conceder una prórroga del plazo para la puesta en servicio, la administración notificante proporcionará a la Oficina información actualizada de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y/o de la </w:t>
      </w:r>
      <w:r w:rsidRPr="00243B84">
        <w:rPr>
          <w:b/>
          <w:bCs/>
          <w:lang w:val="es-ES"/>
        </w:rPr>
        <w:t>Resolución 552 (Rev.CMR-</w:t>
      </w:r>
      <w:r w:rsidR="00585E27">
        <w:rPr>
          <w:b/>
          <w:bCs/>
          <w:lang w:val="es-ES"/>
        </w:rPr>
        <w:t>23</w:t>
      </w:r>
      <w:r w:rsidRPr="00243B84">
        <w:rPr>
          <w:b/>
          <w:bCs/>
          <w:lang w:val="es-ES"/>
        </w:rPr>
        <w:t>)</w:t>
      </w:r>
      <w:r w:rsidRPr="00243B84">
        <w:rPr>
          <w:lang w:val="es-ES"/>
        </w:rPr>
        <w:t>. Si, 30 días después de la finalización del periodo de extensión la administración notificante no ha facilitado a la Oficina dicha información actualizada de la Resolución </w:t>
      </w:r>
      <w:r w:rsidRPr="00243B84">
        <w:rPr>
          <w:b/>
          <w:lang w:val="es-ES"/>
        </w:rPr>
        <w:t>49 (Rev.CMR-</w:t>
      </w:r>
      <w:r w:rsidR="00585E27">
        <w:rPr>
          <w:b/>
          <w:lang w:val="es-ES"/>
        </w:rPr>
        <w:t>23</w:t>
      </w:r>
      <w:r w:rsidRPr="00243B84">
        <w:rPr>
          <w:b/>
          <w:lang w:val="es-ES"/>
        </w:rPr>
        <w:t>)</w:t>
      </w:r>
      <w:r w:rsidRPr="00243B84">
        <w:rPr>
          <w:lang w:val="es-ES"/>
        </w:rPr>
        <w:t xml:space="preserve"> y/o de la </w:t>
      </w:r>
      <w:r w:rsidRPr="00243B84">
        <w:rPr>
          <w:b/>
          <w:bCs/>
          <w:lang w:val="es-ES"/>
        </w:rPr>
        <w:t>Resolución 552 (Rev.CMR</w:t>
      </w:r>
      <w:r w:rsidRPr="00243B84">
        <w:rPr>
          <w:b/>
          <w:bCs/>
          <w:lang w:val="es-ES"/>
        </w:rPr>
        <w:noBreakHyphen/>
      </w:r>
      <w:r w:rsidR="00585E27">
        <w:rPr>
          <w:b/>
          <w:bCs/>
          <w:lang w:val="es-ES"/>
        </w:rPr>
        <w:t>23</w:t>
      </w:r>
      <w:r w:rsidRPr="00243B84">
        <w:rPr>
          <w:b/>
          <w:bCs/>
          <w:lang w:val="es-ES"/>
        </w:rPr>
        <w:t>)</w:t>
      </w:r>
      <w:r w:rsidRPr="00243B84">
        <w:rPr>
          <w:lang w:val="es-ES"/>
        </w:rPr>
        <w:t>, las asignaciones de frecuencias correspondientes expirarán y la correspondiente información publicada con arreglo a los números </w:t>
      </w:r>
      <w:r w:rsidRPr="00243B84">
        <w:rPr>
          <w:b/>
          <w:bCs/>
          <w:lang w:val="es-ES"/>
        </w:rPr>
        <w:t>9.1A</w:t>
      </w:r>
      <w:r w:rsidRPr="00243B84">
        <w:rPr>
          <w:lang w:val="es-ES"/>
        </w:rPr>
        <w:t xml:space="preserve">, </w:t>
      </w:r>
      <w:r w:rsidRPr="00243B84">
        <w:rPr>
          <w:b/>
          <w:bCs/>
          <w:lang w:val="es-ES"/>
        </w:rPr>
        <w:t>9.2B</w:t>
      </w:r>
      <w:r w:rsidRPr="00243B84">
        <w:rPr>
          <w:lang w:val="es-ES"/>
        </w:rPr>
        <w:t xml:space="preserve"> y </w:t>
      </w:r>
      <w:r w:rsidRPr="00243B84">
        <w:rPr>
          <w:b/>
          <w:bCs/>
          <w:lang w:val="es-ES"/>
        </w:rPr>
        <w:t xml:space="preserve">9.38 </w:t>
      </w:r>
      <w:r w:rsidRPr="00243B84">
        <w:rPr>
          <w:lang w:val="es-ES"/>
        </w:rPr>
        <w:t>quedará anulada. Si, un mes antes de la finalización de los plazos indicados anteriormente, la administración notificante no ha facilitado a la Oficina la información actualizada de la Resolución </w:t>
      </w:r>
      <w:r w:rsidRPr="00243B84">
        <w:rPr>
          <w:b/>
          <w:lang w:val="es-ES"/>
        </w:rPr>
        <w:t>49 (Rev.CMR-</w:t>
      </w:r>
      <w:r w:rsidR="00585E27">
        <w:rPr>
          <w:b/>
          <w:lang w:val="es-ES"/>
        </w:rPr>
        <w:t>23</w:t>
      </w:r>
      <w:r w:rsidRPr="00243B84">
        <w:rPr>
          <w:b/>
          <w:lang w:val="es-ES"/>
        </w:rPr>
        <w:t>)</w:t>
      </w:r>
      <w:r w:rsidRPr="00243B84">
        <w:rPr>
          <w:bCs/>
          <w:lang w:val="es-ES"/>
        </w:rPr>
        <w:t xml:space="preserve"> </w:t>
      </w:r>
      <w:r w:rsidRPr="00243B84">
        <w:rPr>
          <w:lang w:val="es-ES"/>
        </w:rPr>
        <w:t xml:space="preserve">y/o de la </w:t>
      </w:r>
      <w:r w:rsidRPr="00243B84">
        <w:rPr>
          <w:b/>
          <w:bCs/>
          <w:lang w:val="es-ES"/>
        </w:rPr>
        <w:t>Resolución 552 (Rev.CMR-</w:t>
      </w:r>
      <w:r w:rsidR="00585E27">
        <w:rPr>
          <w:b/>
          <w:bCs/>
          <w:lang w:val="es-ES"/>
        </w:rPr>
        <w:t>23</w:t>
      </w:r>
      <w:r w:rsidRPr="00243B84">
        <w:rPr>
          <w:b/>
          <w:bCs/>
          <w:lang w:val="es-ES"/>
        </w:rPr>
        <w:t>)</w:t>
      </w:r>
      <w:r w:rsidRPr="00243B84">
        <w:rPr>
          <w:lang w:val="es-ES"/>
        </w:rPr>
        <w:t>, la Oficina enviará inmediatamente un recordatorio a la administración notificante.</w:t>
      </w:r>
    </w:p>
    <w:p w14:paraId="13C6A9A6" w14:textId="537D305D"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421C9">
        <w:rPr>
          <w:rStyle w:val="FootnoteReference"/>
          <w:color w:val="000000"/>
          <w:lang w:val="es-ES_tradnl"/>
        </w:rPr>
        <w:footnoteReference w:customMarkFollows="1" w:id="16"/>
        <w:t>14</w:t>
      </w:r>
    </w:p>
    <w:p w14:paraId="4766FEB3" w14:textId="77777777" w:rsidR="00653B0A" w:rsidRPr="003C601A" w:rsidRDefault="00653B0A" w:rsidP="003F7F87">
      <w:pPr>
        <w:pStyle w:val="Heading1"/>
        <w:spacing w:before="360"/>
        <w:rPr>
          <w:lang w:val="es-ES_tradnl"/>
        </w:rPr>
      </w:pPr>
      <w:r w:rsidRPr="003C601A">
        <w:rPr>
          <w:lang w:val="es-ES_tradnl"/>
        </w:rPr>
        <w:t>1</w:t>
      </w:r>
      <w:r w:rsidRPr="003C601A">
        <w:rPr>
          <w:lang w:val="es-ES_tradnl"/>
        </w:rPr>
        <w:tab/>
        <w:t>Asignaciones cuyo uso se ha abandonado</w:t>
      </w:r>
    </w:p>
    <w:p w14:paraId="5545F81C" w14:textId="07C4A8B9"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p>
    <w:p w14:paraId="784C3744" w14:textId="429C769F"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14:paraId="4DE4ABA4" w14:textId="77777777" w:rsidR="00E90A91" w:rsidRPr="00E90A91" w:rsidRDefault="00E90A91" w:rsidP="003F7F87">
      <w:pPr>
        <w:pStyle w:val="Heading1"/>
        <w:spacing w:before="360"/>
        <w:rPr>
          <w:lang w:val="es-ES_tradnl"/>
        </w:rPr>
      </w:pPr>
      <w:r w:rsidRPr="00E90A91">
        <w:rPr>
          <w:lang w:val="es-ES_tradnl"/>
        </w:rPr>
        <w:t>2</w:t>
      </w:r>
      <w:r w:rsidRPr="00E90A91">
        <w:rPr>
          <w:lang w:val="es-ES_tradnl"/>
        </w:rPr>
        <w:tab/>
        <w:t>Registro de un abandono de uso</w:t>
      </w:r>
    </w:p>
    <w:p w14:paraId="589989DE" w14:textId="3D7658EE"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p>
    <w:p w14:paraId="154AFAF1" w14:textId="4C29D7B2" w:rsidR="003F7F87"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14:paraId="47B8AE4F" w14:textId="77777777" w:rsidR="00243B84" w:rsidRDefault="00243B84" w:rsidP="003F7F87">
      <w:pPr>
        <w:rPr>
          <w:lang w:val="es-ES_tradnl"/>
        </w:rPr>
        <w:sectPr w:rsidR="00243B84" w:rsidSect="00243C1F">
          <w:headerReference w:type="even" r:id="rId25"/>
          <w:headerReference w:type="default" r:id="rId26"/>
          <w:footnotePr>
            <w:pos w:val="beneathText"/>
            <w:numFmt w:val="chicago"/>
          </w:footnotePr>
          <w:pgSz w:w="11907" w:h="16840" w:code="9"/>
          <w:pgMar w:top="1701" w:right="851" w:bottom="1134" w:left="1985" w:header="720" w:footer="482" w:gutter="0"/>
          <w:cols w:space="720"/>
          <w:vAlign w:val="both"/>
        </w:sectPr>
      </w:pPr>
    </w:p>
    <w:p w14:paraId="7889BB9A" w14:textId="04214E56" w:rsidR="003F7F87" w:rsidRPr="00E90A91" w:rsidRDefault="003F7F87" w:rsidP="003F7F87">
      <w:pPr>
        <w:rPr>
          <w:lang w:val="es-ES_tradnl"/>
        </w:rPr>
      </w:pPr>
      <w:r w:rsidRPr="00E90A91">
        <w:rPr>
          <w:lang w:val="es-ES_tradnl"/>
        </w:rPr>
        <w:lastRenderedPageBreak/>
        <w:t>2.3</w:t>
      </w:r>
      <w:r w:rsidRPr="00E90A91">
        <w:rPr>
          <w:lang w:val="es-ES_tradnl"/>
        </w:rPr>
        <w:tab/>
        <w:t>Las asignaciones de frecuencia a estaciones espaciales cuya suspensión se notifique para un periodo de más de tres años no serán tenidas en cuenta a efectos de los exámenes de otras asignaciones, de conformidad con los números</w:t>
      </w:r>
      <w:r w:rsidR="00312F2B">
        <w:rPr>
          <w:lang w:val="es-ES_tradnl"/>
        </w:rPr>
        <w:t>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14:paraId="56EEEACB" w14:textId="77777777"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14:paraId="26B264A9" w14:textId="77777777"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14:paraId="24CC64FD" w14:textId="35D7AD8B"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w:t>
      </w:r>
      <w:r w:rsidR="0064339D">
        <w:rPr>
          <w:b/>
          <w:bCs/>
          <w:lang w:val="es-ES_tradnl"/>
        </w:rPr>
        <w:t>Rev.</w:t>
      </w:r>
      <w:r w:rsidR="00033BEB" w:rsidRPr="00033BEB">
        <w:rPr>
          <w:b/>
          <w:bCs/>
          <w:lang w:val="es-ES_tradnl"/>
        </w:rPr>
        <w:t>CMR-1</w:t>
      </w:r>
      <w:r w:rsidR="00771F68">
        <w:rPr>
          <w:b/>
          <w:bCs/>
          <w:lang w:val="es-ES_tradnl"/>
        </w:rPr>
        <w:t>9</w:t>
      </w:r>
      <w:r w:rsidR="00033BEB" w:rsidRPr="00033BEB">
        <w:rPr>
          <w:b/>
          <w:bCs/>
          <w:lang w:val="es-ES_tradnl"/>
        </w:rPr>
        <w:t>)</w:t>
      </w:r>
      <w:r w:rsidR="00033BEB" w:rsidRPr="00033BEB">
        <w:rPr>
          <w:lang w:val="es-ES_tradnl"/>
        </w:rPr>
        <w:t>.</w:t>
      </w:r>
    </w:p>
    <w:p w14:paraId="504AFD39" w14:textId="77777777"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14:paraId="4C348554" w14:textId="4A47115B" w:rsidR="00DE1E30" w:rsidRPr="00DE1E30" w:rsidRDefault="00DE1E30" w:rsidP="00A00B06">
      <w:pPr>
        <w:spacing w:before="120"/>
        <w:rPr>
          <w:lang w:val="es-ES_tradnl"/>
        </w:rPr>
      </w:pPr>
      <w:r w:rsidRPr="00DE1E30">
        <w:rPr>
          <w:b/>
          <w:lang w:val="es-ES_tradnl"/>
        </w:rPr>
        <w:t>Nota</w:t>
      </w:r>
      <w:r w:rsidR="00FB02FE">
        <w:rPr>
          <w:lang w:val="es-ES_tradnl"/>
        </w:rPr>
        <w:t> </w:t>
      </w:r>
      <w:r w:rsidRPr="00DE1E30">
        <w:rPr>
          <w:lang w:val="es-ES_tradnl"/>
        </w:rPr>
        <w:t>–</w:t>
      </w:r>
      <w:r w:rsidR="00FB02FE">
        <w:rPr>
          <w:lang w:val="es-ES_tradnl"/>
        </w:rPr>
        <w:t> </w:t>
      </w:r>
      <w:r w:rsidRPr="00DE1E30">
        <w:rPr>
          <w:lang w:val="es-ES_tradnl"/>
        </w:rPr>
        <w:t xml:space="preserve">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14:paraId="15EBCA93" w14:textId="52D26E42" w:rsidR="00873EF9" w:rsidRDefault="00DE1E30" w:rsidP="006D45DA">
      <w:pPr>
        <w:spacing w:before="60"/>
        <w:rPr>
          <w:i/>
          <w:iCs/>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p>
    <w:p w14:paraId="6DDCB1A4" w14:textId="2ADE6458" w:rsidR="00CD7CA4" w:rsidRPr="00D47A90" w:rsidRDefault="00CD7CA4" w:rsidP="006D45DA">
      <w:pPr>
        <w:spacing w:before="60"/>
        <w:rPr>
          <w:lang w:val="es-ES"/>
        </w:rPr>
      </w:pPr>
      <w:r w:rsidRPr="00D47A90">
        <w:rPr>
          <w:lang w:val="es-ES"/>
        </w:rPr>
        <w:br w:type="page"/>
      </w:r>
    </w:p>
    <w:p w14:paraId="11C721D4" w14:textId="77777777" w:rsidR="003011F9" w:rsidRPr="00FB6506" w:rsidRDefault="0066792B" w:rsidP="006D45DA">
      <w:pPr>
        <w:pStyle w:val="Heading8"/>
        <w:spacing w:before="240"/>
        <w:rPr>
          <w:color w:val="000000"/>
          <w:lang w:val="es-ES_tradnl"/>
        </w:rPr>
      </w:pPr>
      <w:r>
        <w:rPr>
          <w:lang w:val="es-ES_tradnl"/>
        </w:rPr>
        <w:lastRenderedPageBreak/>
        <w:t>11.50</w:t>
      </w:r>
    </w:p>
    <w:p w14:paraId="1F696CE0" w14:textId="77777777"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r w:rsidRPr="008A04C4">
        <w:rPr>
          <w:i/>
          <w:iCs/>
          <w:szCs w:val="24"/>
          <w:lang w:val="es-ES_tradnl"/>
        </w:rPr>
        <w:t>« … prestando especial atención … »</w:t>
      </w:r>
      <w:r w:rsidRPr="00751400">
        <w:rPr>
          <w:szCs w:val="24"/>
          <w:lang w:val="es-ES_tradnl"/>
        </w:rPr>
        <w:t xml:space="preserve">,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14:paraId="2A82A352" w14:textId="77777777" w:rsidR="00353B4B" w:rsidRDefault="00353B4B" w:rsidP="00A00B06">
      <w:pPr>
        <w:spacing w:before="120"/>
        <w:rPr>
          <w:szCs w:val="24"/>
          <w:lang w:val="es-ES_tradnl"/>
        </w:rPr>
      </w:pPr>
      <w:r w:rsidRPr="00751400">
        <w:rPr>
          <w:szCs w:val="24"/>
          <w:lang w:val="es-ES_tradnl"/>
        </w:rPr>
        <w:t>1</w:t>
      </w:r>
      <w:r w:rsidRPr="00751400">
        <w:rPr>
          <w:szCs w:val="24"/>
          <w:lang w:val="es-ES_tradnl"/>
        </w:rPr>
        <w:tab/>
        <w:t>Cuando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14:paraId="70C04160" w14:textId="321AE346"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t>Antes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w:t>
      </w:r>
      <w:r w:rsidR="00312F2B">
        <w:rPr>
          <w:szCs w:val="24"/>
          <w:lang w:val="es-ES_tradnl"/>
        </w:rPr>
        <w:t> </w:t>
      </w:r>
      <w:r w:rsidRPr="00751400">
        <w:rPr>
          <w:szCs w:val="24"/>
          <w:lang w:val="es-ES_tradnl"/>
        </w:rPr>
        <w:t>3 a 6. Si no se recibe respuesta antes de que transcurra el plazo establecido por la Oficina (normalmente 30</w:t>
      </w:r>
      <w:r w:rsidR="00312F2B">
        <w:rPr>
          <w:szCs w:val="24"/>
          <w:lang w:val="es-ES_tradnl"/>
        </w:rPr>
        <w:t> </w:t>
      </w:r>
      <w:r w:rsidRPr="00751400">
        <w:rPr>
          <w:szCs w:val="24"/>
          <w:lang w:val="es-ES_tradnl"/>
        </w:rPr>
        <w:t xml:space="preserve">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Si no se recibe respuesta transcurridos 30</w:t>
      </w:r>
      <w:r w:rsidR="00312F2B">
        <w:rPr>
          <w:szCs w:val="24"/>
          <w:lang w:val="es-ES_tradnl"/>
        </w:rPr>
        <w:t> </w:t>
      </w:r>
      <w:r w:rsidRPr="00751400">
        <w:rPr>
          <w:szCs w:val="24"/>
          <w:lang w:val="es-ES_tradnl"/>
        </w:rPr>
        <w:t xml:space="preserve">días después de la fecha de envío del recordatorio, la </w:t>
      </w:r>
      <w:r>
        <w:rPr>
          <w:szCs w:val="24"/>
          <w:lang w:val="es-ES_tradnl"/>
        </w:rPr>
        <w:t>Oficina</w:t>
      </w:r>
      <w:r w:rsidRPr="00751400">
        <w:rPr>
          <w:szCs w:val="24"/>
          <w:lang w:val="es-ES_tradnl"/>
        </w:rPr>
        <w:t xml:space="preserve"> llevará a cabo las medidas propuestas.</w:t>
      </w:r>
    </w:p>
    <w:p w14:paraId="78322D34" w14:textId="67DF96D6" w:rsidR="00353B4B" w:rsidRPr="00751400" w:rsidRDefault="00353B4B" w:rsidP="00AF7287">
      <w:pPr>
        <w:rPr>
          <w:szCs w:val="24"/>
          <w:lang w:val="es-ES_tradnl"/>
        </w:rPr>
      </w:pPr>
      <w:r w:rsidRPr="00751400">
        <w:rPr>
          <w:szCs w:val="24"/>
          <w:lang w:val="es-ES_tradnl"/>
        </w:rPr>
        <w:t>3</w:t>
      </w:r>
      <w:r w:rsidRPr="00751400">
        <w:rPr>
          <w:szCs w:val="24"/>
          <w:lang w:val="es-ES_tradnl"/>
        </w:rPr>
        <w:tab/>
        <w:t xml:space="preserve">Cuando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312F2B">
        <w:rPr>
          <w:i/>
          <w:iCs/>
          <w:lang w:val="es-ES_tradnl"/>
        </w:rPr>
        <w:t>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14:paraId="37FD1449" w14:textId="3A8AFBA0" w:rsidR="00353B4B"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14:paraId="00E40BCF" w14:textId="50D7B911" w:rsidR="00CD7CA4" w:rsidRDefault="00CD7CA4" w:rsidP="00353B4B">
      <w:pPr>
        <w:rPr>
          <w:szCs w:val="24"/>
          <w:lang w:val="es-ES_tradnl"/>
        </w:rPr>
      </w:pPr>
      <w:r>
        <w:rPr>
          <w:szCs w:val="24"/>
          <w:lang w:val="es-ES_tradnl"/>
        </w:rPr>
        <w:br w:type="page"/>
      </w:r>
    </w:p>
    <w:p w14:paraId="02FFF9AF" w14:textId="5A1C3C5F" w:rsidR="00353B4B" w:rsidRPr="00751400" w:rsidRDefault="00353B4B" w:rsidP="00AF7287">
      <w:pPr>
        <w:pStyle w:val="enumlev1"/>
        <w:tabs>
          <w:tab w:val="left" w:pos="567"/>
        </w:tabs>
        <w:ind w:left="0" w:firstLine="0"/>
        <w:rPr>
          <w:szCs w:val="24"/>
          <w:lang w:val="es-ES_tradnl"/>
        </w:rPr>
      </w:pPr>
      <w:r w:rsidRPr="00751400">
        <w:rPr>
          <w:szCs w:val="24"/>
          <w:lang w:val="es-ES_tradnl"/>
        </w:rPr>
        <w:lastRenderedPageBreak/>
        <w:t xml:space="preserve">Cuando la atribución degradada esté sujeta a condiciones adicionales y las condiciones relativas al examen reglamentario con arreglo al </w:t>
      </w:r>
      <w:r w:rsidR="00AF7287" w:rsidRPr="00AF7287">
        <w:rPr>
          <w:lang w:val="es-ES_tradnl"/>
        </w:rPr>
        <w:t>número</w:t>
      </w:r>
      <w:r w:rsidR="00B35150">
        <w:rPr>
          <w:i/>
          <w:iCs/>
          <w:lang w:val="es-ES_tradnl"/>
        </w:rPr>
        <w:t>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CD7CA4">
        <w:rPr>
          <w:i/>
          <w:iCs/>
          <w:lang w:val="es-ES_tradnl"/>
        </w:rPr>
        <w:t>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B35150">
        <w:rPr>
          <w:i/>
          <w:iCs/>
          <w:lang w:val="es-ES_tradnl"/>
        </w:rPr>
        <w:t>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B35150">
        <w:rPr>
          <w:i/>
          <w:iCs/>
          <w:lang w:val="es-ES_tradnl"/>
        </w:rPr>
        <w:t>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B35150">
        <w:rPr>
          <w:i/>
          <w:iCs/>
          <w:lang w:val="es-ES_tradnl"/>
        </w:rPr>
        <w:t>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14:paraId="311A54CA" w14:textId="5136E83F" w:rsidR="00E41FDD" w:rsidRDefault="00353B4B" w:rsidP="00171097">
      <w:pPr>
        <w:rPr>
          <w:lang w:val="es-ES_tradnl" w:eastAsia="zh-CN"/>
        </w:rPr>
      </w:pPr>
      <w:r w:rsidRPr="00751400">
        <w:rPr>
          <w:szCs w:val="24"/>
          <w:lang w:val="es-ES_tradnl" w:eastAsia="zh-CN"/>
        </w:rPr>
        <w:t>5</w:t>
      </w:r>
      <w:r w:rsidRPr="00751400">
        <w:rPr>
          <w:szCs w:val="24"/>
          <w:lang w:val="es-ES_tradnl"/>
        </w:rPr>
        <w:tab/>
      </w:r>
      <w:r w:rsidR="0062524A" w:rsidRPr="0062524A">
        <w:rPr>
          <w:lang w:val="es-ES_tradnl" w:eastAsia="zh-CN"/>
        </w:rPr>
        <w:t xml:space="preserve">Cuando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w:t>
      </w:r>
      <w:r w:rsidR="00171097">
        <w:rPr>
          <w:lang w:val="es-ES_tradnl" w:eastAsia="zh-CN"/>
        </w:rPr>
        <w:t>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14:paraId="07F30271" w14:textId="5578D394"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t>Si además de resultar en una nueva atribución o en un incremento de la categoría de un servicio (S2), el cambio en el Artículo</w:t>
      </w:r>
      <w:r w:rsidR="00171097">
        <w:rPr>
          <w:lang w:val="es-ES_tradnl" w:eastAsia="zh-CN"/>
        </w:rPr>
        <w:t>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14:paraId="10B15244" w14:textId="49F97400" w:rsidR="00353B4B" w:rsidRDefault="00353B4B" w:rsidP="00171097">
      <w:pPr>
        <w:rPr>
          <w:lang w:val="es-ES_tradnl" w:eastAsia="zh-CN"/>
        </w:rPr>
      </w:pPr>
      <w:r w:rsidRPr="00751400">
        <w:rPr>
          <w:lang w:val="es-ES_tradnl" w:eastAsia="zh-CN"/>
        </w:rPr>
        <w:t>6</w:t>
      </w:r>
      <w:r w:rsidRPr="00751400">
        <w:rPr>
          <w:lang w:val="es-ES_tradnl" w:eastAsia="zh-CN"/>
        </w:rPr>
        <w:tab/>
        <w:t xml:space="preserve">Cuando un cambio en el Artículo </w:t>
      </w:r>
      <w:r w:rsidRPr="00A8003B">
        <w:rPr>
          <w:b/>
          <w:bCs/>
          <w:lang w:val="es-ES_tradnl" w:eastAsia="zh-CN"/>
        </w:rPr>
        <w:t xml:space="preserve">5 </w:t>
      </w:r>
      <w:r w:rsidRPr="00751400">
        <w:rPr>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lang w:val="es-ES_tradnl" w:eastAsia="zh-CN"/>
        </w:rPr>
        <w:t>En ese caso, la Oficina pedirá a la Administración notificante si las características de la asignación serán modificadas para cumplir las nuevas condiciones. Si la Administración notificante no responde al pedido de la Oficina (véase el apartado</w:t>
      </w:r>
      <w:r w:rsidR="00B35150">
        <w:rPr>
          <w:lang w:val="es-ES_tradnl" w:eastAsia="zh-CN"/>
        </w:rPr>
        <w:t> </w:t>
      </w:r>
      <w:r>
        <w:rPr>
          <w:lang w:val="es-ES_tradnl" w:eastAsia="zh-CN"/>
        </w:rPr>
        <w:t xml:space="preserve">2 </w:t>
      </w:r>
      <w:r w:rsidRPr="00C96384">
        <w:rPr>
          <w:lang w:val="es-ES_tradnl" w:eastAsia="zh-CN"/>
        </w:rPr>
        <w:t>supra</w:t>
      </w:r>
      <w:r>
        <w:rPr>
          <w:lang w:val="es-ES_tradnl" w:eastAsia="zh-CN"/>
        </w:rPr>
        <w:t>) o s</w:t>
      </w:r>
      <w:r w:rsidRPr="00C96384">
        <w:rPr>
          <w:lang w:val="es-ES_tradnl" w:eastAsia="zh-CN"/>
        </w:rPr>
        <w:t>i</w:t>
      </w:r>
      <w:r w:rsidRPr="00751400">
        <w:rPr>
          <w:lang w:val="es-ES_tradnl" w:eastAsia="zh-CN"/>
        </w:rPr>
        <w:t xml:space="preserve"> no se satisfacen las condiciones, la Oficina propondrá a la Administración notificante suprimir la asignación</w:t>
      </w:r>
      <w:r>
        <w:rPr>
          <w:lang w:val="es-ES_tradnl" w:eastAsia="zh-CN"/>
        </w:rPr>
        <w:t>.</w:t>
      </w:r>
      <w:r w:rsidRPr="00751400">
        <w:rPr>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lang w:val="es-ES_tradnl" w:eastAsia="zh-CN"/>
        </w:rPr>
        <w:t>4.4</w:t>
      </w:r>
      <w:r w:rsidRPr="00751400">
        <w:rPr>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lang w:val="es-ES_tradnl" w:eastAsia="zh-CN"/>
        </w:rPr>
        <w:t>8.5</w:t>
      </w:r>
      <w:r w:rsidRPr="00751400">
        <w:rPr>
          <w:lang w:val="es-ES_tradnl" w:eastAsia="zh-CN"/>
        </w:rPr>
        <w:t>.</w:t>
      </w:r>
    </w:p>
    <w:p w14:paraId="01E41213" w14:textId="2ADB7FB8" w:rsidR="00B35150" w:rsidRDefault="00B35150" w:rsidP="00B35150">
      <w:pPr>
        <w:tabs>
          <w:tab w:val="left" w:pos="0"/>
          <w:tab w:val="left" w:pos="709"/>
          <w:tab w:val="left" w:pos="993"/>
        </w:tabs>
        <w:overflowPunct/>
        <w:textAlignment w:val="auto"/>
        <w:rPr>
          <w:lang w:val="es-ES_tradnl" w:eastAsia="zh-CN"/>
        </w:rPr>
      </w:pPr>
      <w:r>
        <w:rPr>
          <w:lang w:val="es-ES_tradnl" w:eastAsia="zh-CN"/>
        </w:rPr>
        <w:br w:type="page"/>
      </w:r>
    </w:p>
    <w:p w14:paraId="7DADAA6E" w14:textId="77777777"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lastRenderedPageBreak/>
        <w:t xml:space="preserve">En relación al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14:paraId="0A7032DA" w14:textId="4D391A94" w:rsidR="00353B4B" w:rsidRPr="00751400" w:rsidRDefault="00353B4B" w:rsidP="00171097">
      <w:pPr>
        <w:rPr>
          <w:lang w:val="es-ES_tradnl" w:eastAsia="zh-CN"/>
        </w:rPr>
      </w:pPr>
      <w:r w:rsidRPr="00751400">
        <w:rPr>
          <w:lang w:val="es-ES_tradnl" w:eastAsia="zh-CN"/>
        </w:rPr>
        <w:t>7</w:t>
      </w:r>
      <w:r w:rsidRPr="00751400">
        <w:rPr>
          <w:lang w:val="es-ES_tradnl" w:eastAsia="zh-CN"/>
        </w:rPr>
        <w:tab/>
        <w:t xml:space="preserve">La Junta observó que el Artículo </w:t>
      </w:r>
      <w:r w:rsidRPr="00A8003B">
        <w:rPr>
          <w:b/>
          <w:bCs/>
          <w:lang w:val="es-ES_tradnl" w:eastAsia="zh-CN"/>
        </w:rPr>
        <w:t>5</w:t>
      </w:r>
      <w:r w:rsidRPr="00751400">
        <w:rPr>
          <w:lang w:val="es-ES_tradnl" w:eastAsia="zh-CN"/>
        </w:rPr>
        <w:t xml:space="preserve"> contiene un cierto número de disposiciones bajo las cuales una </w:t>
      </w:r>
      <w:r w:rsidRPr="006050D0">
        <w:rPr>
          <w:lang w:val="es-ES_tradnl" w:eastAsia="zh-CN"/>
        </w:rPr>
        <w:t>atribución</w:t>
      </w:r>
      <w:r w:rsidRPr="00751400">
        <w:rPr>
          <w:lang w:val="es-ES_tradnl" w:eastAsia="zh-CN"/>
        </w:rPr>
        <w:t xml:space="preserve"> a un servicio de radiocomunicaciones está sujeta a la obtención del acuerdo de las administraciones correspondientes, por ejemplo, </w:t>
      </w:r>
      <w:r w:rsidR="00AF7287" w:rsidRPr="00AF7287">
        <w:rPr>
          <w:lang w:val="es-ES_tradnl"/>
        </w:rPr>
        <w:t>número</w:t>
      </w:r>
      <w:r w:rsidR="00171097">
        <w:rPr>
          <w:i/>
          <w:iCs/>
          <w:lang w:val="es-ES_tradnl"/>
        </w:rPr>
        <w:t> </w:t>
      </w:r>
      <w:r w:rsidRPr="00A8003B">
        <w:rPr>
          <w:b/>
          <w:bCs/>
          <w:lang w:val="es-ES_tradnl" w:eastAsia="zh-CN"/>
        </w:rPr>
        <w:t>5.175</w:t>
      </w:r>
      <w:r w:rsidRPr="00751400">
        <w:rPr>
          <w:lang w:val="es-ES_tradnl" w:eastAsia="zh-CN"/>
        </w:rPr>
        <w:t xml:space="preserve">, </w:t>
      </w:r>
      <w:r w:rsidR="00AF7287" w:rsidRPr="00AF7287">
        <w:rPr>
          <w:lang w:val="es-ES_tradnl"/>
        </w:rPr>
        <w:t>número</w:t>
      </w:r>
      <w:r w:rsidR="00171097" w:rsidRPr="00171097">
        <w:rPr>
          <w:lang w:val="es-ES"/>
        </w:rPr>
        <w:t> </w:t>
      </w:r>
      <w:r w:rsidRPr="00A8003B">
        <w:rPr>
          <w:b/>
          <w:bCs/>
          <w:lang w:val="es-ES_tradnl" w:eastAsia="zh-CN"/>
        </w:rPr>
        <w:t>5.188</w:t>
      </w:r>
      <w:r w:rsidRPr="00751400">
        <w:rPr>
          <w:lang w:val="es-ES_tradnl" w:eastAsia="zh-CN"/>
        </w:rPr>
        <w:t xml:space="preserve">, etc., sin </w:t>
      </w:r>
      <w:r>
        <w:rPr>
          <w:lang w:val="es-ES_tradnl" w:eastAsia="zh-CN"/>
        </w:rPr>
        <w:t xml:space="preserve">que se haga mención </w:t>
      </w:r>
      <w:proofErr w:type="gramStart"/>
      <w:r>
        <w:rPr>
          <w:lang w:val="es-ES_tradnl" w:eastAsia="zh-CN"/>
        </w:rPr>
        <w:t>al</w:t>
      </w:r>
      <w:proofErr w:type="gramEnd"/>
      <w:r w:rsidRPr="00751400">
        <w:rPr>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lang w:val="es-ES_tradnl" w:eastAsia="zh-CN"/>
        </w:rPr>
        <w:t>9.21</w:t>
      </w:r>
      <w:r w:rsidRPr="00751400">
        <w:rPr>
          <w:lang w:val="es-ES_tradnl" w:eastAsia="zh-CN"/>
        </w:rPr>
        <w:t>. La obtención de dicho acuerdo no está regulada por los procedimientos del Artículo</w:t>
      </w:r>
      <w:r w:rsidR="00171097">
        <w:rPr>
          <w:lang w:val="es-ES_tradnl" w:eastAsia="zh-CN"/>
        </w:rPr>
        <w:t> </w:t>
      </w:r>
      <w:r w:rsidRPr="00A8003B">
        <w:rPr>
          <w:b/>
          <w:bCs/>
          <w:lang w:val="es-ES_tradnl" w:eastAsia="zh-CN"/>
        </w:rPr>
        <w:t>9</w:t>
      </w:r>
      <w:r w:rsidRPr="00751400">
        <w:rPr>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que en el caso de un examen de las conclusiones sobre las asignaciones pertinentes, la Oficina no deberá tener en cuenta la presencia o ausencia de acuerdos de otras administraciones al formular nuevas conclusiones.</w:t>
      </w:r>
    </w:p>
    <w:p w14:paraId="0D5B9676" w14:textId="3CE51988" w:rsidR="00353B4B" w:rsidRPr="00751400" w:rsidRDefault="00353B4B" w:rsidP="00171097">
      <w:pPr>
        <w:rPr>
          <w:lang w:val="es-ES_tradnl" w:eastAsia="zh-CN"/>
        </w:rPr>
      </w:pPr>
      <w:r w:rsidRPr="00751400">
        <w:rPr>
          <w:lang w:val="es-ES_tradnl" w:eastAsia="zh-CN"/>
        </w:rPr>
        <w:t>8</w:t>
      </w:r>
      <w:r w:rsidRPr="00751400">
        <w:rPr>
          <w:lang w:val="es-ES_tradnl" w:eastAsia="zh-CN"/>
        </w:rPr>
        <w:tab/>
        <w:t>Tras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14:paraId="0DA7E85D" w14:textId="66376767" w:rsidR="00A60C28" w:rsidRDefault="00A60C28" w:rsidP="00353B4B">
      <w:pPr>
        <w:jc w:val="center"/>
        <w:rPr>
          <w:lang w:val="es-ES_tradnl"/>
        </w:rPr>
      </w:pPr>
      <w:r w:rsidRPr="003667EC">
        <w:rPr>
          <w:lang w:val="es-ES_tradnl"/>
        </w:rPr>
        <w:t>_________________</w:t>
      </w:r>
    </w:p>
    <w:p w14:paraId="7686D320" w14:textId="5C216F22" w:rsidR="00171097" w:rsidRDefault="00171097" w:rsidP="00171097">
      <w:pPr>
        <w:rPr>
          <w:lang w:val="es-ES_tradnl"/>
        </w:rPr>
      </w:pPr>
    </w:p>
    <w:p w14:paraId="09B158AD" w14:textId="3196525A" w:rsidR="00171097" w:rsidRDefault="00171097" w:rsidP="00171097">
      <w:pPr>
        <w:rPr>
          <w:lang w:val="es-ES_tradnl"/>
        </w:rPr>
      </w:pPr>
    </w:p>
    <w:p w14:paraId="6EE21E82" w14:textId="0DE450C0" w:rsidR="00171097" w:rsidRDefault="00171097" w:rsidP="00171097">
      <w:pPr>
        <w:rPr>
          <w:lang w:val="es-ES_tradnl"/>
        </w:rPr>
      </w:pPr>
    </w:p>
    <w:p w14:paraId="0AFA9059" w14:textId="5466FCFF" w:rsidR="00171097" w:rsidRDefault="00171097" w:rsidP="00171097">
      <w:pPr>
        <w:rPr>
          <w:lang w:val="es-ES_tradnl"/>
        </w:rPr>
      </w:pPr>
    </w:p>
    <w:p w14:paraId="0E04991B" w14:textId="52A780DC" w:rsidR="00171097" w:rsidRDefault="00171097" w:rsidP="00171097">
      <w:pPr>
        <w:rPr>
          <w:lang w:val="es-ES_tradnl"/>
        </w:rPr>
      </w:pPr>
    </w:p>
    <w:p w14:paraId="7F0748C4" w14:textId="052B53D2" w:rsidR="00171097" w:rsidRDefault="00171097" w:rsidP="00171097">
      <w:pPr>
        <w:rPr>
          <w:lang w:val="es-ES_tradnl"/>
        </w:rPr>
      </w:pPr>
    </w:p>
    <w:p w14:paraId="4F127B6A" w14:textId="77777777" w:rsidR="00397807" w:rsidRDefault="00397807" w:rsidP="00171097">
      <w:pPr>
        <w:rPr>
          <w:lang w:val="es-ES_tradnl"/>
        </w:rPr>
      </w:pPr>
    </w:p>
    <w:p w14:paraId="130A80A2" w14:textId="3CF0686A" w:rsidR="00171097" w:rsidRDefault="00171097" w:rsidP="00171097">
      <w:pPr>
        <w:rPr>
          <w:lang w:val="es-ES_tradnl"/>
        </w:rPr>
      </w:pPr>
    </w:p>
    <w:p w14:paraId="6DE278CE" w14:textId="38721A1D" w:rsidR="00171097" w:rsidRDefault="00171097" w:rsidP="00171097">
      <w:pPr>
        <w:rPr>
          <w:lang w:val="es-ES_tradnl"/>
        </w:rPr>
      </w:pPr>
    </w:p>
    <w:p w14:paraId="0C609BB0" w14:textId="11071A08" w:rsidR="00171097" w:rsidRDefault="00171097" w:rsidP="00171097">
      <w:pPr>
        <w:rPr>
          <w:lang w:val="es-ES_tradnl"/>
        </w:rPr>
      </w:pPr>
    </w:p>
    <w:p w14:paraId="68E7D28C" w14:textId="77777777" w:rsidR="00171097" w:rsidRPr="003667EC" w:rsidRDefault="00171097" w:rsidP="00171097">
      <w:pPr>
        <w:rPr>
          <w:lang w:val="es-ES_tradnl"/>
        </w:rPr>
      </w:pPr>
    </w:p>
    <w:p w14:paraId="7D89F3CD" w14:textId="77777777" w:rsidR="003667EC" w:rsidRPr="003667EC" w:rsidRDefault="003667EC">
      <w:pPr>
        <w:rPr>
          <w:color w:val="000000"/>
          <w:lang w:val="es-ES_tradnl"/>
        </w:rPr>
      </w:pPr>
    </w:p>
    <w:p w14:paraId="305AEC45" w14:textId="77777777" w:rsidR="00A60C28" w:rsidRPr="003667EC" w:rsidRDefault="00A60C28">
      <w:pPr>
        <w:rPr>
          <w:color w:val="000000"/>
          <w:lang w:val="es-ES_tradnl"/>
        </w:rPr>
        <w:sectPr w:rsidR="00A60C28" w:rsidRPr="003667EC" w:rsidSect="00243C1F">
          <w:headerReference w:type="even" r:id="rId27"/>
          <w:headerReference w:type="default" r:id="rId28"/>
          <w:footnotePr>
            <w:pos w:val="beneathText"/>
            <w:numFmt w:val="chicago"/>
          </w:footnotePr>
          <w:pgSz w:w="11907" w:h="16840" w:code="9"/>
          <w:pgMar w:top="1701" w:right="851" w:bottom="1134" w:left="1985" w:header="720" w:footer="482" w:gutter="0"/>
          <w:cols w:space="720"/>
          <w:vAlign w:val="both"/>
        </w:sectPr>
      </w:pPr>
    </w:p>
    <w:p w14:paraId="2B26E304" w14:textId="77777777" w:rsidR="00A60C28" w:rsidRPr="003667EC" w:rsidRDefault="00A60C28">
      <w:pPr>
        <w:rPr>
          <w:lang w:val="es-ES_tradnl"/>
        </w:rPr>
      </w:pPr>
    </w:p>
    <w:sectPr w:rsidR="00A60C28" w:rsidRPr="003667EC" w:rsidSect="009C54F8">
      <w:headerReference w:type="even" r:id="rId29"/>
      <w:headerReference w:type="default" r:id="rId30"/>
      <w:headerReference w:type="first" r:id="rId3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52822" w14:textId="77777777" w:rsidR="007303BC" w:rsidRDefault="007303BC">
      <w:r>
        <w:separator/>
      </w:r>
    </w:p>
  </w:endnote>
  <w:endnote w:type="continuationSeparator" w:id="0">
    <w:p w14:paraId="4F280AA9" w14:textId="77777777" w:rsidR="007303BC" w:rsidRDefault="0073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FE307" w14:textId="77777777" w:rsidR="007303BC" w:rsidRDefault="007303BC">
      <w:r>
        <w:rPr>
          <w:b/>
        </w:rPr>
        <w:t>_______________</w:t>
      </w:r>
    </w:p>
  </w:footnote>
  <w:footnote w:type="continuationSeparator" w:id="0">
    <w:p w14:paraId="06E3C15F" w14:textId="77777777" w:rsidR="007303BC" w:rsidRDefault="007303BC">
      <w:r>
        <w:continuationSeparator/>
      </w:r>
    </w:p>
  </w:footnote>
  <w:footnote w:id="1">
    <w:p w14:paraId="3E0905F4" w14:textId="77777777" w:rsidR="007303BC" w:rsidRDefault="007303BC"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14:paraId="7B3631E3" w14:textId="77777777" w:rsidR="007303BC" w:rsidRDefault="007303BC"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14:paraId="6924BFE8" w14:textId="77777777" w:rsidR="007303BC" w:rsidRDefault="007303BC">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14:paraId="41E31D98" w14:textId="77777777" w:rsidR="007303BC" w:rsidRDefault="007303BC"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14:paraId="35BB6336" w14:textId="7E52D31A" w:rsidR="00676A4C" w:rsidRPr="00594CF0" w:rsidRDefault="007303BC" w:rsidP="00594CF0">
      <w:pPr>
        <w:pStyle w:val="FootnoteText"/>
        <w:spacing w:before="0"/>
        <w:rPr>
          <w:color w:val="000000"/>
          <w:lang w:val="es-ES"/>
        </w:rPr>
      </w:pPr>
      <w:r>
        <w:rPr>
          <w:rStyle w:val="FootnoteReference"/>
          <w:lang w:val="es-ES"/>
        </w:rPr>
        <w:t>5</w:t>
      </w:r>
      <w:r>
        <w:rPr>
          <w:lang w:val="es-ES"/>
        </w:rPr>
        <w:tab/>
      </w:r>
      <w:r>
        <w:rPr>
          <w:color w:val="000000"/>
          <w:lang w:val="es-ES"/>
        </w:rPr>
        <w:t xml:space="preserve">Respecto a la aplicación de esta disposición a las asignaciones del SRS, véanse los comentarios de las Reglas de Procedimiento relativas a </w:t>
      </w:r>
      <w:r w:rsidR="001926B4">
        <w:rPr>
          <w:color w:val="000000"/>
          <w:lang w:val="es-ES"/>
        </w:rPr>
        <w:t xml:space="preserve">los </w:t>
      </w:r>
      <w:r>
        <w:rPr>
          <w:color w:val="000000"/>
          <w:lang w:val="es-ES"/>
        </w:rPr>
        <w:t>número</w:t>
      </w:r>
      <w:r w:rsidR="001926B4">
        <w:rPr>
          <w:color w:val="000000"/>
          <w:lang w:val="es-ES"/>
        </w:rPr>
        <w:t>s</w:t>
      </w:r>
      <w:r>
        <w:rPr>
          <w:color w:val="000000"/>
          <w:lang w:val="es-ES"/>
        </w:rPr>
        <w:t> </w:t>
      </w:r>
      <w:r>
        <w:rPr>
          <w:rStyle w:val="Artref"/>
          <w:b/>
          <w:bCs/>
          <w:color w:val="000000"/>
          <w:lang w:val="es-ES"/>
        </w:rPr>
        <w:t>23.13</w:t>
      </w:r>
      <w:r w:rsidR="001926B4">
        <w:rPr>
          <w:rStyle w:val="Artref"/>
          <w:b/>
          <w:bCs/>
          <w:color w:val="000000"/>
          <w:lang w:val="es-ES"/>
        </w:rPr>
        <w:t xml:space="preserve">B </w:t>
      </w:r>
      <w:r w:rsidR="001926B4" w:rsidRPr="001926B4">
        <w:rPr>
          <w:rStyle w:val="Artref"/>
          <w:color w:val="000000"/>
          <w:lang w:val="es-ES"/>
        </w:rPr>
        <w:t>y</w:t>
      </w:r>
      <w:r w:rsidR="001926B4">
        <w:rPr>
          <w:rStyle w:val="Artref"/>
          <w:b/>
          <w:bCs/>
          <w:color w:val="000000"/>
          <w:lang w:val="es-ES"/>
        </w:rPr>
        <w:t xml:space="preserve"> 23.13C</w:t>
      </w:r>
      <w:r>
        <w:rPr>
          <w:color w:val="000000"/>
          <w:lang w:val="es-ES"/>
        </w:rPr>
        <w:t>.</w:t>
      </w:r>
    </w:p>
  </w:footnote>
  <w:footnote w:id="6">
    <w:p w14:paraId="4A8A7FAA" w14:textId="77777777" w:rsidR="007303BC" w:rsidRDefault="007303BC"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14:paraId="3E508642"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7</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21.11</w:t>
      </w:r>
      <w:r w:rsidRPr="002C5784">
        <w:rPr>
          <w:color w:val="000000"/>
          <w:sz w:val="16"/>
          <w:szCs w:val="16"/>
          <w:lang w:val="es-ES"/>
        </w:rPr>
        <w:t>.</w:t>
      </w:r>
    </w:p>
  </w:footnote>
  <w:footnote w:id="8">
    <w:p w14:paraId="323B623A"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8</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21.14</w:t>
      </w:r>
      <w:r w:rsidRPr="002C5784">
        <w:rPr>
          <w:color w:val="000000"/>
          <w:sz w:val="16"/>
          <w:szCs w:val="16"/>
          <w:lang w:val="es-ES"/>
        </w:rPr>
        <w:t>.</w:t>
      </w:r>
    </w:p>
  </w:footnote>
  <w:footnote w:id="9">
    <w:p w14:paraId="4894D2EB" w14:textId="2C77BD6D" w:rsidR="00151019" w:rsidRPr="002C5784" w:rsidRDefault="00151019" w:rsidP="00E30F08">
      <w:pPr>
        <w:spacing w:before="20"/>
        <w:rPr>
          <w:sz w:val="16"/>
          <w:szCs w:val="16"/>
          <w:lang w:val="es-ES"/>
        </w:rPr>
      </w:pPr>
      <w:r w:rsidRPr="00151019">
        <w:rPr>
          <w:rStyle w:val="FootnoteReference"/>
          <w:lang w:val="es-ES"/>
        </w:rPr>
        <w:t>9</w:t>
      </w:r>
      <w:r w:rsidRPr="00E30F08">
        <w:rPr>
          <w:lang w:val="es-ES_tradnl"/>
        </w:rPr>
        <w:t xml:space="preserve"> </w:t>
      </w:r>
      <w:r w:rsidRPr="002C5784">
        <w:rPr>
          <w:b/>
          <w:bCs/>
          <w:sz w:val="16"/>
          <w:szCs w:val="16"/>
          <w:lang w:val="es-ES"/>
        </w:rPr>
        <w:t>Nota</w:t>
      </w:r>
      <w:r w:rsidRPr="002C5784">
        <w:rPr>
          <w:sz w:val="16"/>
          <w:szCs w:val="16"/>
          <w:lang w:val="es-ES"/>
        </w:rPr>
        <w:t>: En su 8ª Sesión Plenaria, la CMR-19 tomó la siguiente decisión con respecto a la adecuación de las asignaciones de frecuencias de los sistemas de satélites no OSG del SFS a los límites de dfp del Artículo </w:t>
      </w:r>
      <w:r w:rsidRPr="002C5784">
        <w:rPr>
          <w:b/>
          <w:bCs/>
          <w:sz w:val="16"/>
          <w:szCs w:val="16"/>
          <w:lang w:val="es-ES"/>
        </w:rPr>
        <w:t>21</w:t>
      </w:r>
      <w:r w:rsidRPr="002C5784">
        <w:rPr>
          <w:sz w:val="16"/>
          <w:szCs w:val="16"/>
          <w:lang w:val="es-ES"/>
        </w:rPr>
        <w:t xml:space="preserve"> del RR aplicables en la banda de frecuencias 17,7-19,3 GHz; véanse los apartados 3.11 a 3.15 del Documento CMR19/569, aprobación del Documento CMR19/451:</w:t>
      </w:r>
    </w:p>
    <w:p w14:paraId="106C6AA6" w14:textId="77777777" w:rsidR="00151019" w:rsidRPr="001926B4" w:rsidRDefault="00151019" w:rsidP="00E30F08">
      <w:pPr>
        <w:pStyle w:val="FootnoteText"/>
        <w:rPr>
          <w:lang w:val="es-ES"/>
        </w:rPr>
      </w:pPr>
      <w:r w:rsidRPr="002C5784">
        <w:rPr>
          <w:sz w:val="16"/>
          <w:szCs w:val="16"/>
          <w:lang w:val="es-ES"/>
        </w:rPr>
        <w:t>«</w:t>
      </w:r>
      <w:r w:rsidRPr="00316036">
        <w:rPr>
          <w:i/>
          <w:iCs/>
          <w:sz w:val="16"/>
          <w:szCs w:val="16"/>
          <w:lang w:val="es-ES"/>
        </w:rPr>
        <w:t>La CMR-19 (...) encarga a la Oficina de Radiocomunicaciones que publique conclusiones favorables cualificadas en virtud de los números </w:t>
      </w:r>
      <w:r w:rsidRPr="00316036">
        <w:rPr>
          <w:b/>
          <w:bCs/>
          <w:i/>
          <w:iCs/>
          <w:sz w:val="16"/>
          <w:szCs w:val="16"/>
          <w:lang w:val="es-ES"/>
        </w:rPr>
        <w:t>9.35/11.31</w:t>
      </w:r>
      <w:r w:rsidRPr="00316036">
        <w:rPr>
          <w:i/>
          <w:iCs/>
          <w:sz w:val="16"/>
          <w:szCs w:val="16"/>
          <w:lang w:val="es-ES"/>
        </w:rPr>
        <w:t xml:space="preserve"> del RR al examinar el cumplimiento de las asignaciones de frecuencias a los sistemas de satélites no OSG del SFS con los límites de dfp del Artículo </w:t>
      </w:r>
      <w:r w:rsidRPr="00316036">
        <w:rPr>
          <w:b/>
          <w:bCs/>
          <w:i/>
          <w:iCs/>
          <w:sz w:val="16"/>
          <w:szCs w:val="16"/>
          <w:lang w:val="es-ES"/>
        </w:rPr>
        <w:t>21</w:t>
      </w:r>
      <w:r w:rsidRPr="00316036">
        <w:rPr>
          <w:i/>
          <w:iCs/>
          <w:sz w:val="16"/>
          <w:szCs w:val="16"/>
          <w:lang w:val="es-ES"/>
        </w:rPr>
        <w:t xml:space="preserve"> del RR que se apliquen en la banda de frecuencias 17,7-19,3 GHz, si la administración notificante así lo solicita. Esta práctica se aplicará a los sistemas de satélites no OSG del SFS para los que se hayan recibido solicitudes de coordinación desde el 23 de noviembre de 2019 hasta el último día de la CMR</w:t>
      </w:r>
      <w:r w:rsidRPr="00316036">
        <w:rPr>
          <w:i/>
          <w:iCs/>
          <w:sz w:val="16"/>
          <w:szCs w:val="16"/>
          <w:lang w:val="es-ES"/>
        </w:rPr>
        <w:noBreakHyphen/>
        <w:t>23</w:t>
      </w:r>
      <w:r w:rsidRPr="002C5784">
        <w:rPr>
          <w:sz w:val="16"/>
          <w:szCs w:val="16"/>
          <w:lang w:val="es-ES"/>
        </w:rPr>
        <w:t>».</w:t>
      </w:r>
    </w:p>
  </w:footnote>
  <w:footnote w:id="10">
    <w:p w14:paraId="0D0E02A4" w14:textId="49832036" w:rsidR="003421C9" w:rsidRDefault="003421C9" w:rsidP="007E3FFE">
      <w:pPr>
        <w:pStyle w:val="FootnoteText"/>
        <w:rPr>
          <w:lang w:val="es-ES"/>
        </w:rPr>
      </w:pPr>
      <w:r w:rsidRPr="003421C9">
        <w:rPr>
          <w:rStyle w:val="FootnoteReference"/>
          <w:lang w:val="es-ES"/>
        </w:rPr>
        <w:t>10</w:t>
      </w:r>
      <w:r w:rsidRPr="003421C9">
        <w:rPr>
          <w:lang w:val="es-ES"/>
        </w:rPr>
        <w:t xml:space="preserve"> </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1">
    <w:p w14:paraId="07CF8EF8" w14:textId="77777777" w:rsidR="007303BC" w:rsidRPr="00C124BB" w:rsidRDefault="007303BC">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2">
    <w:p w14:paraId="40AC84BA" w14:textId="77777777" w:rsidR="007303BC" w:rsidRPr="00782C00" w:rsidRDefault="007303BC"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3">
    <w:p w14:paraId="0B7919F2" w14:textId="478AC73F" w:rsidR="003421C9" w:rsidRPr="005E5EFE" w:rsidRDefault="003421C9" w:rsidP="005E5EFE">
      <w:pPr>
        <w:pStyle w:val="FootnoteText"/>
        <w:rPr>
          <w:lang w:val="es-ES_tradnl"/>
        </w:rPr>
      </w:pPr>
      <w:r w:rsidRPr="003421C9">
        <w:rPr>
          <w:rStyle w:val="FootnoteReference"/>
          <w:lang w:val="es-ES"/>
        </w:rPr>
        <w:t>11</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ó 4.2.6 ó 4.2.6</w:t>
      </w:r>
      <w:r w:rsidRPr="005E5EFE">
        <w:rPr>
          <w:i/>
          <w:iCs/>
          <w:lang w:val="es-ES_tradnl"/>
        </w:rPr>
        <w:t>bis</w:t>
      </w:r>
      <w:r w:rsidRPr="005E5EFE">
        <w:rPr>
          <w:lang w:val="es-ES_tradnl"/>
        </w:rPr>
        <w:t xml:space="preserve"> del Artículo 4 de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6.1 ó 6.31</w:t>
      </w:r>
      <w:r w:rsidRPr="005E5EFE">
        <w:rPr>
          <w:i/>
          <w:iCs/>
          <w:lang w:val="es-ES_tradnl"/>
        </w:rPr>
        <w:t>bis</w:t>
      </w:r>
      <w:r w:rsidRPr="005E5EFE">
        <w:rPr>
          <w:lang w:val="es-ES_tradnl"/>
        </w:rPr>
        <w:t xml:space="preserve">, y 6.33 del Artículo 6 del Apéndice </w:t>
      </w:r>
      <w:r w:rsidRPr="005E5EFE">
        <w:rPr>
          <w:b/>
          <w:bCs/>
          <w:lang w:val="es-ES_tradnl"/>
        </w:rPr>
        <w:t>30B</w:t>
      </w:r>
      <w:r w:rsidRPr="005E5EFE">
        <w:rPr>
          <w:lang w:val="es-ES_tradnl"/>
        </w:rPr>
        <w:t>.</w:t>
      </w:r>
    </w:p>
  </w:footnote>
  <w:footnote w:id="14">
    <w:p w14:paraId="50B87F2D" w14:textId="7914C133" w:rsidR="003421C9" w:rsidRPr="005E5EFE" w:rsidRDefault="003421C9" w:rsidP="005E5EFE">
      <w:pPr>
        <w:pStyle w:val="FootnoteText"/>
        <w:rPr>
          <w:lang w:val="es-ES_tradnl"/>
        </w:rPr>
      </w:pPr>
      <w:r w:rsidRPr="003421C9">
        <w:rPr>
          <w:rStyle w:val="FootnoteReference"/>
          <w:lang w:val="es-ES"/>
        </w:rPr>
        <w:t>12</w:t>
      </w:r>
      <w:r w:rsidRPr="005E5EFE">
        <w:rPr>
          <w:lang w:val="es-ES_tradnl"/>
        </w:rPr>
        <w:t xml:space="preserve"> </w:t>
      </w:r>
      <w:r w:rsidRPr="005E5EFE">
        <w:rPr>
          <w:lang w:val="es-ES_tradnl"/>
        </w:rPr>
        <w:tab/>
        <w:t xml:space="preserve">Igualmente, aplicable al § 5.3.1 del Artículo 5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8.16 del Artículo 8 del Apéndice </w:t>
      </w:r>
      <w:r w:rsidRPr="005E5EFE">
        <w:rPr>
          <w:b/>
          <w:bCs/>
          <w:lang w:val="es-ES_tradnl"/>
        </w:rPr>
        <w:t>30B</w:t>
      </w:r>
      <w:r w:rsidRPr="005E5EFE">
        <w:rPr>
          <w:lang w:val="es-ES_tradnl"/>
        </w:rPr>
        <w:t>.</w:t>
      </w:r>
    </w:p>
  </w:footnote>
  <w:footnote w:id="15">
    <w:p w14:paraId="2F6CBD35" w14:textId="021BEF48" w:rsidR="003421C9" w:rsidRPr="005E5EFE" w:rsidRDefault="003421C9" w:rsidP="005E5EFE">
      <w:pPr>
        <w:pStyle w:val="FootnoteText"/>
        <w:rPr>
          <w:lang w:val="es-ES_tradnl"/>
        </w:rPr>
      </w:pPr>
      <w:r w:rsidRPr="003421C9">
        <w:rPr>
          <w:rStyle w:val="FootnoteReference"/>
          <w:lang w:val="es-ES"/>
        </w:rPr>
        <w:t>13</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o 4.2.6 ó 4.2.6</w:t>
      </w:r>
      <w:r w:rsidRPr="005E5EFE">
        <w:rPr>
          <w:i/>
          <w:iCs/>
          <w:lang w:val="es-ES_tradnl"/>
        </w:rPr>
        <w:t>bis</w:t>
      </w:r>
      <w:r w:rsidRPr="005E5EFE">
        <w:rPr>
          <w:lang w:val="es-ES_tradnl"/>
        </w:rPr>
        <w:t xml:space="preserve"> del Artículo 4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6.33 del Artículo 6 del Apéndice </w:t>
      </w:r>
      <w:r w:rsidRPr="005E5EFE">
        <w:rPr>
          <w:b/>
          <w:bCs/>
          <w:lang w:val="es-ES_tradnl"/>
        </w:rPr>
        <w:t>30B</w:t>
      </w:r>
      <w:r w:rsidRPr="005E5EFE">
        <w:rPr>
          <w:lang w:val="es-ES_tradnl"/>
        </w:rPr>
        <w:t>.</w:t>
      </w:r>
    </w:p>
  </w:footnote>
  <w:footnote w:id="16">
    <w:p w14:paraId="1E483746" w14:textId="37FBEA7D" w:rsidR="003421C9" w:rsidRPr="00653B0A" w:rsidRDefault="003421C9" w:rsidP="00653B0A">
      <w:pPr>
        <w:pStyle w:val="FootnoteText"/>
        <w:rPr>
          <w:lang w:val="es-ES_tradnl"/>
        </w:rPr>
      </w:pPr>
      <w:r w:rsidRPr="003421C9">
        <w:rPr>
          <w:rStyle w:val="FootnoteReference"/>
          <w:lang w:val="es-ES"/>
        </w:rPr>
        <w:t>14</w:t>
      </w:r>
      <w:r w:rsidRPr="00653B0A">
        <w:rPr>
          <w:lang w:val="es-ES_tradnl"/>
        </w:rPr>
        <w:t xml:space="preserve"> </w:t>
      </w:r>
      <w:r w:rsidRPr="00653B0A">
        <w:rPr>
          <w:lang w:val="es-ES_tradnl"/>
        </w:rPr>
        <w:tab/>
        <w:t xml:space="preserve">Igualmente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30730" w14:paraId="054B48C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87A402" w14:textId="77777777" w:rsidR="00130730" w:rsidRDefault="00130730">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7ABAEE1" w14:textId="74E12E36" w:rsidR="00130730" w:rsidRDefault="00130730">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60B286" w14:textId="77777777" w:rsidR="00130730" w:rsidRPr="0062524A" w:rsidRDefault="00130730"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AD8EC8" w14:textId="3FD63B43" w:rsidR="00130730" w:rsidRDefault="00130730" w:rsidP="00D70EFE">
          <w:pPr>
            <w:pStyle w:val="HeaderRegProc"/>
            <w:rPr>
              <w:color w:val="000000"/>
              <w:lang w:val="fr-CH"/>
            </w:rPr>
          </w:pPr>
          <w:proofErr w:type="gramStart"/>
          <w:r>
            <w:rPr>
              <w:color w:val="000000"/>
              <w:lang w:val="fr-CH"/>
            </w:rPr>
            <w:t>rev</w:t>
          </w:r>
          <w:proofErr w:type="gramEnd"/>
          <w:r>
            <w:rPr>
              <w:color w:val="000000"/>
              <w:lang w:val="fr-CH"/>
            </w:rPr>
            <w:t xml:space="preserve">. </w:t>
          </w:r>
          <w:r w:rsidR="00D448F7">
            <w:rPr>
              <w:color w:val="000000"/>
              <w:lang w:val="fr-CH"/>
            </w:rPr>
            <w:t>-</w:t>
          </w:r>
        </w:p>
      </w:tc>
    </w:tr>
  </w:tbl>
  <w:p w14:paraId="3434B884" w14:textId="77777777" w:rsidR="00130730" w:rsidRDefault="00130730">
    <w:pPr>
      <w:pStyle w:val="Header"/>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128E" w14:paraId="6E907B2D"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50017AF1" w14:textId="77777777" w:rsidR="006E128E" w:rsidRDefault="006E128E"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63D64F88" w14:textId="58968D8B" w:rsidR="006E128E" w:rsidRDefault="006E128E"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FB60866" w14:textId="16DCAB1E" w:rsidR="006E128E" w:rsidRPr="006E128E" w:rsidRDefault="006E128E" w:rsidP="00007AA8">
          <w:pPr>
            <w:pStyle w:val="HeaderRegProc"/>
            <w:rPr>
              <w:i/>
              <w:iCs/>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756CEB6C" w14:textId="2B2AD2E2" w:rsidR="006E128E" w:rsidRDefault="006E128E" w:rsidP="00007AA8">
          <w:pPr>
            <w:pStyle w:val="HeaderRegProc"/>
            <w:rPr>
              <w:lang w:val="fr-CH"/>
            </w:rPr>
          </w:pPr>
          <w:proofErr w:type="gramStart"/>
          <w:r>
            <w:rPr>
              <w:lang w:val="fr-CH"/>
            </w:rPr>
            <w:t>rev</w:t>
          </w:r>
          <w:proofErr w:type="gramEnd"/>
          <w:r>
            <w:rPr>
              <w:lang w:val="fr-CH"/>
            </w:rPr>
            <w:t xml:space="preserve">. </w:t>
          </w:r>
          <w:r w:rsidR="00D448F7">
            <w:rPr>
              <w:lang w:val="fr-CH"/>
            </w:rPr>
            <w:t>-</w:t>
          </w:r>
        </w:p>
      </w:tc>
    </w:tr>
  </w:tbl>
  <w:p w14:paraId="37D271BF" w14:textId="77777777" w:rsidR="006E128E" w:rsidRDefault="006E128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55CA5" w14:paraId="28D2A970"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6A6E81FE" w14:textId="77777777" w:rsidR="00355CA5" w:rsidRDefault="00355CA5"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2C7DE576" w14:textId="5CA2E97C" w:rsidR="00355CA5" w:rsidRDefault="00355CA5"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4D8A0D4" w14:textId="2F173562" w:rsidR="00355CA5" w:rsidRPr="006E128E" w:rsidRDefault="00355CA5" w:rsidP="00007AA8">
          <w:pPr>
            <w:pStyle w:val="HeaderRegProc"/>
            <w:rPr>
              <w:i/>
              <w:iCs/>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9ED15D" w14:textId="7564EDE4" w:rsidR="00355CA5" w:rsidRDefault="00355CA5" w:rsidP="00007AA8">
          <w:pPr>
            <w:pStyle w:val="HeaderRegProc"/>
            <w:rPr>
              <w:lang w:val="fr-CH"/>
            </w:rPr>
          </w:pPr>
          <w:proofErr w:type="gramStart"/>
          <w:r>
            <w:rPr>
              <w:lang w:val="fr-CH"/>
            </w:rPr>
            <w:t>rev</w:t>
          </w:r>
          <w:proofErr w:type="gramEnd"/>
          <w:r>
            <w:rPr>
              <w:lang w:val="fr-CH"/>
            </w:rPr>
            <w:t xml:space="preserve">. </w:t>
          </w:r>
          <w:r w:rsidR="00D448F7">
            <w:rPr>
              <w:lang w:val="fr-CH"/>
            </w:rPr>
            <w:t>-</w:t>
          </w:r>
        </w:p>
      </w:tc>
    </w:tr>
  </w:tbl>
  <w:p w14:paraId="34BB008F" w14:textId="77777777" w:rsidR="00355CA5" w:rsidRDefault="00355CA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E128E" w14:paraId="3276FD0D"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4ABC9603" w14:textId="77777777" w:rsidR="006E128E" w:rsidRDefault="006E128E"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3FD3E0A9" w14:textId="2E158221" w:rsidR="006E128E" w:rsidRDefault="006E128E"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D455C">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3E5E78A1" w14:textId="77777777" w:rsidR="006E128E" w:rsidRDefault="006E128E"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468C08" w14:textId="794EB4E7" w:rsidR="006E128E" w:rsidRDefault="006E128E" w:rsidP="00007AA8">
          <w:pPr>
            <w:pStyle w:val="HeaderRegProc"/>
            <w:rPr>
              <w:lang w:val="fr-CH"/>
            </w:rPr>
          </w:pPr>
          <w:proofErr w:type="gramStart"/>
          <w:r>
            <w:rPr>
              <w:lang w:val="fr-CH"/>
            </w:rPr>
            <w:t>rev</w:t>
          </w:r>
          <w:proofErr w:type="gramEnd"/>
          <w:r>
            <w:rPr>
              <w:lang w:val="fr-CH"/>
            </w:rPr>
            <w:t xml:space="preserve">. </w:t>
          </w:r>
          <w:r w:rsidR="00D448F7">
            <w:rPr>
              <w:lang w:val="fr-CH"/>
            </w:rPr>
            <w:t>-</w:t>
          </w:r>
        </w:p>
      </w:tc>
    </w:tr>
  </w:tbl>
  <w:p w14:paraId="19D6B604" w14:textId="77777777" w:rsidR="006E128E" w:rsidRDefault="006E128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650B3" w14:paraId="74E6F820"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212FF280" w14:textId="77777777" w:rsidR="00A650B3" w:rsidRDefault="00A650B3"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4776D80A" w14:textId="6E7DBF72" w:rsidR="00A650B3" w:rsidRDefault="00A650B3"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54AD2AC" w14:textId="77777777" w:rsidR="00A650B3" w:rsidRPr="006E128E" w:rsidRDefault="00A650B3" w:rsidP="00007AA8">
          <w:pPr>
            <w:pStyle w:val="HeaderRegProc"/>
            <w:rPr>
              <w:i/>
              <w:iCs/>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80DE90" w14:textId="41B34C29" w:rsidR="00A650B3" w:rsidRDefault="00A650B3" w:rsidP="00007AA8">
          <w:pPr>
            <w:pStyle w:val="HeaderRegProc"/>
            <w:rPr>
              <w:lang w:val="fr-CH"/>
            </w:rPr>
          </w:pPr>
          <w:proofErr w:type="gramStart"/>
          <w:r>
            <w:rPr>
              <w:lang w:val="fr-CH"/>
            </w:rPr>
            <w:t>rev</w:t>
          </w:r>
          <w:proofErr w:type="gramEnd"/>
          <w:r>
            <w:rPr>
              <w:lang w:val="fr-CH"/>
            </w:rPr>
            <w:t>. -</w:t>
          </w:r>
        </w:p>
      </w:tc>
    </w:tr>
  </w:tbl>
  <w:p w14:paraId="5BC9DE35" w14:textId="77777777" w:rsidR="00A650B3" w:rsidRDefault="00A650B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50B3" w14:paraId="4F1896D3"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1364D9EF" w14:textId="77777777" w:rsidR="00A650B3" w:rsidRDefault="00A650B3"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1F096CC9" w14:textId="30BFEE57" w:rsidR="00A650B3" w:rsidRDefault="00A650B3"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D455C">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79F0F05" w14:textId="77777777" w:rsidR="00A650B3" w:rsidRDefault="00A650B3"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100EE7" w14:textId="43EC5F30" w:rsidR="00A650B3" w:rsidRDefault="00A650B3" w:rsidP="00007AA8">
          <w:pPr>
            <w:pStyle w:val="HeaderRegProc"/>
            <w:rPr>
              <w:lang w:val="fr-CH"/>
            </w:rPr>
          </w:pPr>
          <w:proofErr w:type="gramStart"/>
          <w:r>
            <w:rPr>
              <w:lang w:val="fr-CH"/>
            </w:rPr>
            <w:t>rev</w:t>
          </w:r>
          <w:proofErr w:type="gramEnd"/>
          <w:r>
            <w:rPr>
              <w:lang w:val="fr-CH"/>
            </w:rPr>
            <w:t>. -</w:t>
          </w:r>
        </w:p>
      </w:tc>
    </w:tr>
  </w:tbl>
  <w:p w14:paraId="7D5EED7F" w14:textId="77777777" w:rsidR="00A650B3" w:rsidRDefault="00A650B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1E2BCBB"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DEFBEA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0172B16B" w14:textId="08A33CB7"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80CFCB0" w14:textId="77777777" w:rsidR="00F17FBF" w:rsidRDefault="00F17FBF" w:rsidP="00007AA8">
          <w:pPr>
            <w:pStyle w:val="HeaderRegProc"/>
            <w:rPr>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46A2DD" w14:textId="580B68FC" w:rsidR="00F17FBF" w:rsidRDefault="00F17FBF" w:rsidP="00007AA8">
          <w:pPr>
            <w:pStyle w:val="HeaderRegProc"/>
            <w:rPr>
              <w:lang w:val="fr-CH"/>
            </w:rPr>
          </w:pPr>
          <w:proofErr w:type="gramStart"/>
          <w:r>
            <w:rPr>
              <w:lang w:val="fr-CH"/>
            </w:rPr>
            <w:t>rev</w:t>
          </w:r>
          <w:proofErr w:type="gramEnd"/>
          <w:r>
            <w:rPr>
              <w:lang w:val="fr-CH"/>
            </w:rPr>
            <w:t xml:space="preserve">. </w:t>
          </w:r>
          <w:r w:rsidR="00D448F7">
            <w:rPr>
              <w:lang w:val="fr-CH"/>
            </w:rPr>
            <w:t>-</w:t>
          </w:r>
        </w:p>
      </w:tc>
    </w:tr>
  </w:tbl>
  <w:p w14:paraId="026F3C39" w14:textId="77777777" w:rsidR="00F17FBF" w:rsidRDefault="00F17FBF">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60A538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321D0EC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1FCD6C99" w14:textId="348DBBA7"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D455C">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6CBDDCF" w14:textId="77777777" w:rsidR="00F17FBF" w:rsidRDefault="00F17FBF"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0918D3" w14:textId="72F2BB3C" w:rsidR="00F17FBF" w:rsidRDefault="00F17FBF" w:rsidP="00007AA8">
          <w:pPr>
            <w:pStyle w:val="HeaderRegProc"/>
            <w:rPr>
              <w:lang w:val="fr-CH"/>
            </w:rPr>
          </w:pPr>
          <w:proofErr w:type="gramStart"/>
          <w:r>
            <w:rPr>
              <w:lang w:val="fr-CH"/>
            </w:rPr>
            <w:t>rev</w:t>
          </w:r>
          <w:proofErr w:type="gramEnd"/>
          <w:r>
            <w:rPr>
              <w:lang w:val="fr-CH"/>
            </w:rPr>
            <w:t xml:space="preserve">. </w:t>
          </w:r>
          <w:r w:rsidR="00D448F7">
            <w:t>-</w:t>
          </w:r>
        </w:p>
      </w:tc>
    </w:tr>
  </w:tbl>
  <w:p w14:paraId="653466FE" w14:textId="77777777" w:rsidR="00F17FBF" w:rsidRDefault="00F17FB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65021FB3"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4DC851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AEB3D9D" w14:textId="7284E2DF"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A7A3F4" w14:textId="7EF495B2" w:rsidR="007303BC" w:rsidRPr="0062524A" w:rsidRDefault="007303BC" w:rsidP="00E41FDD">
          <w:pPr>
            <w:pStyle w:val="HeaderRegProc"/>
            <w:rPr>
              <w:i/>
              <w:iCs/>
              <w:color w:val="000000"/>
              <w:lang w:val="fr-CH"/>
            </w:rPr>
          </w:pPr>
          <w:proofErr w:type="gramStart"/>
          <w:r>
            <w:rPr>
              <w:lang w:val="fr-CH"/>
            </w:rPr>
            <w:t>p</w:t>
          </w:r>
          <w:r w:rsidR="009E52D0">
            <w:rPr>
              <w:lang w:val="fr-CH"/>
            </w:rPr>
            <w:t>á</w:t>
          </w:r>
          <w:r>
            <w:rPr>
              <w:lang w:val="fr-CH"/>
            </w:rPr>
            <w:t>g</w:t>
          </w:r>
          <w:r w:rsidR="009E52D0">
            <w:rPr>
              <w:lang w:val="fr-CH"/>
            </w:rPr>
            <w:t>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497B0A" w14:textId="5490ED50" w:rsidR="007303BC" w:rsidRDefault="007303BC" w:rsidP="00997054">
          <w:pPr>
            <w:pStyle w:val="HeaderRegProc"/>
            <w:rPr>
              <w:color w:val="000000"/>
              <w:lang w:val="fr-CH"/>
            </w:rPr>
          </w:pPr>
          <w:proofErr w:type="gramStart"/>
          <w:r>
            <w:rPr>
              <w:color w:val="000000"/>
              <w:lang w:val="fr-CH"/>
            </w:rPr>
            <w:t>rev</w:t>
          </w:r>
          <w:proofErr w:type="gramEnd"/>
          <w:r>
            <w:rPr>
              <w:color w:val="000000"/>
              <w:lang w:val="fr-CH"/>
            </w:rPr>
            <w:t xml:space="preserve">. </w:t>
          </w:r>
          <w:r w:rsidR="00243B84">
            <w:rPr>
              <w:color w:val="000000"/>
              <w:lang w:val="fr-CH"/>
            </w:rPr>
            <w:t>-</w:t>
          </w:r>
        </w:p>
      </w:tc>
    </w:tr>
  </w:tbl>
  <w:p w14:paraId="1D86F39D" w14:textId="77777777" w:rsidR="007303BC" w:rsidRDefault="007303BC" w:rsidP="00157BE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1DD5306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A4076B5" w14:textId="51FA4EF3" w:rsidR="007303BC" w:rsidRDefault="007303BC" w:rsidP="00007AA8">
          <w:pPr>
            <w:pStyle w:val="HeaderRegProc"/>
            <w:rPr>
              <w:lang w:val="fr-CH"/>
            </w:rPr>
          </w:pPr>
          <w:r>
            <w:rPr>
              <w:lang w:val="fr-CH"/>
            </w:rPr>
            <w:t>Part</w:t>
          </w:r>
          <w:r w:rsidR="001929B4">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16170514" w14:textId="7F77228E"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D455C">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C2A858B" w14:textId="4ADF626D" w:rsidR="007303BC" w:rsidRDefault="007303BC" w:rsidP="00007AA8">
          <w:pPr>
            <w:pStyle w:val="HeaderRegProc"/>
            <w:rPr>
              <w:lang w:val="fr-CH"/>
            </w:rPr>
          </w:pPr>
          <w:proofErr w:type="gramStart"/>
          <w:r>
            <w:rPr>
              <w:lang w:val="fr-CH"/>
            </w:rPr>
            <w:t>p</w:t>
          </w:r>
          <w:r w:rsidR="009E52D0">
            <w:rPr>
              <w:lang w:val="fr-CH"/>
            </w:rPr>
            <w:t>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51DE97" w14:textId="541516B3" w:rsidR="007303BC" w:rsidRDefault="007303BC" w:rsidP="00007AA8">
          <w:pPr>
            <w:pStyle w:val="HeaderRegProc"/>
            <w:rPr>
              <w:lang w:val="fr-CH"/>
            </w:rPr>
          </w:pPr>
          <w:proofErr w:type="gramStart"/>
          <w:r>
            <w:rPr>
              <w:lang w:val="fr-CH"/>
            </w:rPr>
            <w:t>rev</w:t>
          </w:r>
          <w:proofErr w:type="gramEnd"/>
          <w:r>
            <w:rPr>
              <w:lang w:val="fr-CH"/>
            </w:rPr>
            <w:t xml:space="preserve">. </w:t>
          </w:r>
          <w:r w:rsidR="00243B84">
            <w:t>-</w:t>
          </w:r>
        </w:p>
      </w:tc>
    </w:tr>
  </w:tbl>
  <w:p w14:paraId="16AFC32E" w14:textId="77777777" w:rsidR="007303BC" w:rsidRDefault="007303BC">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4133909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0D26840A" w14:textId="77777777" w:rsidR="00243B84" w:rsidRDefault="00243B84"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9A43379" w14:textId="6F7900FD" w:rsidR="00243B84" w:rsidRDefault="00243B84"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577981" w14:textId="77777777" w:rsidR="00243B84" w:rsidRPr="0062524A" w:rsidRDefault="00243B84" w:rsidP="00E41FDD">
          <w:pPr>
            <w:pStyle w:val="HeaderRegProc"/>
            <w:rPr>
              <w:i/>
              <w:iCs/>
              <w:color w:val="000000"/>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DD2DD1" w14:textId="5938693B" w:rsidR="00243B84" w:rsidRDefault="00243B84" w:rsidP="00997054">
          <w:pPr>
            <w:pStyle w:val="HeaderRegProc"/>
            <w:rPr>
              <w:color w:val="000000"/>
              <w:lang w:val="fr-CH"/>
            </w:rPr>
          </w:pPr>
          <w:proofErr w:type="gramStart"/>
          <w:r>
            <w:rPr>
              <w:color w:val="000000"/>
              <w:lang w:val="fr-CH"/>
            </w:rPr>
            <w:t>rev</w:t>
          </w:r>
          <w:proofErr w:type="gramEnd"/>
          <w:r>
            <w:rPr>
              <w:color w:val="000000"/>
              <w:lang w:val="fr-CH"/>
            </w:rPr>
            <w:t xml:space="preserve">. </w:t>
          </w:r>
          <w:r w:rsidR="00D448F7">
            <w:rPr>
              <w:color w:val="000000"/>
              <w:lang w:val="fr-CH"/>
            </w:rPr>
            <w:t>-</w:t>
          </w:r>
        </w:p>
      </w:tc>
    </w:tr>
  </w:tbl>
  <w:p w14:paraId="723F5083" w14:textId="77777777" w:rsidR="00243B84" w:rsidRDefault="00243B84" w:rsidP="00157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2D2CBF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5165F5"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9C16450" w14:textId="68ED6DEE"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3211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EDD0B" w14:textId="48CF6CF0" w:rsidR="007303BC" w:rsidRDefault="007303BC" w:rsidP="00E41FDD">
          <w:pPr>
            <w:pStyle w:val="HeaderRegProc"/>
            <w:rPr>
              <w:color w:val="000000"/>
              <w:lang w:val="fr-CH"/>
            </w:rPr>
          </w:pPr>
          <w:proofErr w:type="gramStart"/>
          <w:r>
            <w:rPr>
              <w:color w:val="000000"/>
              <w:lang w:val="fr-CH"/>
            </w:rPr>
            <w:t>rev</w:t>
          </w:r>
          <w:proofErr w:type="gramEnd"/>
          <w:r>
            <w:rPr>
              <w:color w:val="000000"/>
              <w:lang w:val="fr-CH"/>
            </w:rPr>
            <w:t>. -</w:t>
          </w:r>
        </w:p>
      </w:tc>
    </w:tr>
  </w:tbl>
  <w:p w14:paraId="2BE845FC" w14:textId="77777777" w:rsidR="007303BC" w:rsidRDefault="007303BC">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23478C1C"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07D65F10" w14:textId="77777777" w:rsidR="00243B84" w:rsidRDefault="00243B84"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46098BA7" w14:textId="7EA7E751" w:rsidR="00243B84" w:rsidRDefault="00243B84"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D455C">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773F7143" w14:textId="77777777" w:rsidR="00243B84" w:rsidRDefault="00243B84"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E9113F" w14:textId="31A86150" w:rsidR="00243B84" w:rsidRDefault="00243B84" w:rsidP="00007AA8">
          <w:pPr>
            <w:pStyle w:val="HeaderRegProc"/>
            <w:rPr>
              <w:lang w:val="fr-CH"/>
            </w:rPr>
          </w:pPr>
          <w:proofErr w:type="gramStart"/>
          <w:r>
            <w:rPr>
              <w:lang w:val="fr-CH"/>
            </w:rPr>
            <w:t>rev</w:t>
          </w:r>
          <w:proofErr w:type="gramEnd"/>
          <w:r>
            <w:rPr>
              <w:lang w:val="fr-CH"/>
            </w:rPr>
            <w:t xml:space="preserve">. </w:t>
          </w:r>
          <w:r w:rsidR="00D448F7">
            <w:t>-</w:t>
          </w:r>
        </w:p>
      </w:tc>
    </w:tr>
  </w:tbl>
  <w:p w14:paraId="0AD6C912" w14:textId="77777777" w:rsidR="00243B84" w:rsidRDefault="00243B8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6004F34C"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1EE4F44" w14:textId="77777777" w:rsidR="00243B84" w:rsidRDefault="00243B84"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E63B047" w14:textId="237BD1EF" w:rsidR="00243B84" w:rsidRDefault="00243B84"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6E8610" w14:textId="77777777" w:rsidR="00243B84" w:rsidRPr="0062524A" w:rsidRDefault="00243B84" w:rsidP="00E41FDD">
          <w:pPr>
            <w:pStyle w:val="HeaderRegProc"/>
            <w:rPr>
              <w:i/>
              <w:iCs/>
              <w:color w:val="000000"/>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9C771" w14:textId="77777777" w:rsidR="00243B84" w:rsidRDefault="00243B84" w:rsidP="00997054">
          <w:pPr>
            <w:pStyle w:val="HeaderRegProc"/>
            <w:rPr>
              <w:color w:val="000000"/>
              <w:lang w:val="fr-CH"/>
            </w:rPr>
          </w:pPr>
          <w:proofErr w:type="gramStart"/>
          <w:r>
            <w:rPr>
              <w:color w:val="000000"/>
              <w:lang w:val="fr-CH"/>
            </w:rPr>
            <w:t>rev</w:t>
          </w:r>
          <w:proofErr w:type="gramEnd"/>
          <w:r>
            <w:rPr>
              <w:color w:val="000000"/>
              <w:lang w:val="fr-CH"/>
            </w:rPr>
            <w:t>. -</w:t>
          </w:r>
        </w:p>
      </w:tc>
    </w:tr>
  </w:tbl>
  <w:p w14:paraId="38F68742" w14:textId="77777777" w:rsidR="00243B84" w:rsidRDefault="00243B84" w:rsidP="00157BE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741AF855"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4BE130C" w14:textId="77777777" w:rsidR="00243B84" w:rsidRDefault="00243B84"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3AEDB9DB" w14:textId="03C35234" w:rsidR="00243B84" w:rsidRDefault="00243B84"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D455C">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CFFE232" w14:textId="77777777" w:rsidR="00243B84" w:rsidRDefault="00243B84"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9577A0" w14:textId="77777777" w:rsidR="00243B84" w:rsidRDefault="00243B84" w:rsidP="00007AA8">
          <w:pPr>
            <w:pStyle w:val="HeaderRegProc"/>
            <w:rPr>
              <w:lang w:val="fr-CH"/>
            </w:rPr>
          </w:pPr>
          <w:proofErr w:type="gramStart"/>
          <w:r>
            <w:rPr>
              <w:lang w:val="fr-CH"/>
            </w:rPr>
            <w:t>rev</w:t>
          </w:r>
          <w:proofErr w:type="gramEnd"/>
          <w:r>
            <w:rPr>
              <w:lang w:val="fr-CH"/>
            </w:rPr>
            <w:t xml:space="preserve">. </w:t>
          </w:r>
          <w:r>
            <w:t>-</w:t>
          </w:r>
        </w:p>
      </w:tc>
    </w:tr>
  </w:tbl>
  <w:p w14:paraId="49B5D275" w14:textId="77777777" w:rsidR="00243B84" w:rsidRDefault="00243B8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158A7D14"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4D455C">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364B5518" w:rsidR="007303BC" w:rsidRDefault="001F528C">
          <w:pPr>
            <w:pStyle w:val="HeaderRegProc"/>
            <w:rPr>
              <w:lang w:val="fr-FR"/>
            </w:rPr>
          </w:pPr>
          <w:fldSimple w:instr=" DOCPROPERTY &quot;Header&quot; \* MERGEFORMAT ">
            <w:r w:rsidR="004D455C">
              <w:t>AR</w:t>
            </w:r>
          </w:fldSimple>
          <w:r w:rsidR="007303BC">
            <w:fldChar w:fldCharType="begin"/>
          </w:r>
          <w:r w:rsidR="007303BC">
            <w:instrText>styleref href2</w:instrText>
          </w:r>
          <w:r w:rsidR="007303BC">
            <w:fldChar w:fldCharType="separate"/>
          </w:r>
          <w:r w:rsidR="004D455C">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7303BC" w:rsidRDefault="007303BC">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0BFC9A78" w:rsidR="007303BC" w:rsidRDefault="007303BC">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4D455C">
            <w:rPr>
              <w:lang w:val="fr-CH"/>
            </w:rPr>
            <w:t>-</w:t>
          </w:r>
          <w:r>
            <w:fldChar w:fldCharType="end"/>
          </w:r>
        </w:p>
      </w:tc>
    </w:tr>
  </w:tbl>
  <w:p w14:paraId="7D4F04DA" w14:textId="77777777" w:rsidR="007303BC" w:rsidRDefault="007303BC">
    <w:pPr>
      <w:rPr>
        <w:lang w:val="fr-CH"/>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26E4407E"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4D455C">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1CD95507" w:rsidR="007303BC" w:rsidRDefault="001F528C">
          <w:pPr>
            <w:pStyle w:val="HeaderRegProc"/>
            <w:rPr>
              <w:lang w:val="fr-FR"/>
            </w:rPr>
          </w:pPr>
          <w:fldSimple w:instr=" DOCPROPERTY &quot;Header&quot; \* MERGEFORMAT ">
            <w:r w:rsidR="004D455C">
              <w:t>AR</w:t>
            </w:r>
          </w:fldSimple>
          <w:r w:rsidR="007303BC">
            <w:fldChar w:fldCharType="begin"/>
          </w:r>
          <w:r w:rsidR="007303BC">
            <w:instrText>styleref href2</w:instrText>
          </w:r>
          <w:r w:rsidR="007303BC">
            <w:fldChar w:fldCharType="separate"/>
          </w:r>
          <w:r w:rsidR="004D455C">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7303BC" w:rsidRDefault="007303BC">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7EA931B8" w:rsidR="007303BC" w:rsidRDefault="007303BC">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4D455C">
            <w:rPr>
              <w:lang w:val="fr-CH"/>
            </w:rPr>
            <w:t>-</w:t>
          </w:r>
          <w:r>
            <w:fldChar w:fldCharType="end"/>
          </w:r>
        </w:p>
      </w:tc>
    </w:tr>
  </w:tbl>
  <w:p w14:paraId="7F93C646" w14:textId="77777777" w:rsidR="007303BC" w:rsidRDefault="007303BC">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837E" w14:textId="77777777" w:rsidR="007303BC" w:rsidRDefault="007303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510D799F"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19804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BB4E9" w14:textId="141D05ED"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380545"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EEB81" w14:textId="7E38B6C5" w:rsidR="007303BC" w:rsidRDefault="007303BC" w:rsidP="00E41FDD">
          <w:pPr>
            <w:pStyle w:val="HeaderRegProc"/>
            <w:rPr>
              <w:color w:val="000000"/>
              <w:lang w:val="fr-CH"/>
            </w:rPr>
          </w:pPr>
          <w:proofErr w:type="gramStart"/>
          <w:r>
            <w:rPr>
              <w:color w:val="000000"/>
              <w:lang w:val="fr-CH"/>
            </w:rPr>
            <w:t>rev</w:t>
          </w:r>
          <w:proofErr w:type="gramEnd"/>
          <w:r>
            <w:rPr>
              <w:color w:val="000000"/>
              <w:lang w:val="fr-CH"/>
            </w:rPr>
            <w:t>.</w:t>
          </w:r>
          <w:r w:rsidR="00C75779">
            <w:rPr>
              <w:color w:val="000000"/>
              <w:lang w:val="fr-CH"/>
            </w:rPr>
            <w:t xml:space="preserve"> </w:t>
          </w:r>
          <w:r>
            <w:rPr>
              <w:color w:val="000000"/>
              <w:lang w:val="fr-CH"/>
            </w:rPr>
            <w:t>-</w:t>
          </w:r>
        </w:p>
      </w:tc>
    </w:tr>
  </w:tbl>
  <w:p w14:paraId="0CFFA6BA" w14:textId="77777777" w:rsidR="007303BC" w:rsidRDefault="007303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577D1" w14:paraId="48AF319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3B71A3A" w14:textId="77777777" w:rsidR="00F577D1" w:rsidRDefault="00F577D1">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275D294" w14:textId="3000043B" w:rsidR="00F577D1" w:rsidRDefault="00F577D1">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C3163" w14:textId="77777777" w:rsidR="00F577D1" w:rsidRPr="0062524A" w:rsidRDefault="00F577D1"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9F7097" w14:textId="48D9E55F" w:rsidR="00F577D1" w:rsidRDefault="00F577D1" w:rsidP="00D70EFE">
          <w:pPr>
            <w:pStyle w:val="HeaderRegProc"/>
            <w:rPr>
              <w:color w:val="000000"/>
              <w:lang w:val="fr-CH"/>
            </w:rPr>
          </w:pPr>
          <w:proofErr w:type="gramStart"/>
          <w:r>
            <w:rPr>
              <w:color w:val="000000"/>
              <w:lang w:val="fr-CH"/>
            </w:rPr>
            <w:t>rev</w:t>
          </w:r>
          <w:proofErr w:type="gramEnd"/>
          <w:r>
            <w:rPr>
              <w:color w:val="000000"/>
              <w:lang w:val="fr-CH"/>
            </w:rPr>
            <w:t>. -</w:t>
          </w:r>
        </w:p>
      </w:tc>
    </w:tr>
  </w:tbl>
  <w:p w14:paraId="040E3471" w14:textId="77777777" w:rsidR="00F577D1" w:rsidRDefault="00F577D1">
    <w:pPr>
      <w:pStyle w:val="Header"/>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85E51C8"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99DA9C6"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086F3C3" w14:textId="698AA4A0"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249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2F56E" w14:textId="3886812C" w:rsidR="007303BC" w:rsidRDefault="007303BC" w:rsidP="00997054">
          <w:pPr>
            <w:pStyle w:val="HeaderRegProc"/>
            <w:rPr>
              <w:color w:val="000000"/>
              <w:lang w:val="fr-CH"/>
            </w:rPr>
          </w:pPr>
          <w:proofErr w:type="gramStart"/>
          <w:r>
            <w:rPr>
              <w:color w:val="000000"/>
              <w:lang w:val="fr-CH"/>
            </w:rPr>
            <w:t>rev</w:t>
          </w:r>
          <w:proofErr w:type="gramEnd"/>
          <w:r>
            <w:rPr>
              <w:color w:val="000000"/>
              <w:lang w:val="fr-CH"/>
            </w:rPr>
            <w:t xml:space="preserve">. </w:t>
          </w:r>
          <w:r w:rsidR="00D448F7">
            <w:rPr>
              <w:color w:val="000000"/>
              <w:lang w:val="fr-CH"/>
            </w:rPr>
            <w:t>-</w:t>
          </w:r>
        </w:p>
      </w:tc>
    </w:tr>
  </w:tbl>
  <w:p w14:paraId="657430CF" w14:textId="77777777" w:rsidR="007303BC" w:rsidRDefault="007303B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CDC4D5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31805"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64D4956" w14:textId="08D546BA"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35A0F"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2C7EB" w14:textId="77777777" w:rsidR="007303BC" w:rsidRDefault="007303BC" w:rsidP="00D70EFE">
          <w:pPr>
            <w:pStyle w:val="HeaderRegProc"/>
            <w:rPr>
              <w:color w:val="000000"/>
              <w:lang w:val="fr-CH"/>
            </w:rPr>
          </w:pPr>
          <w:proofErr w:type="gramStart"/>
          <w:r>
            <w:rPr>
              <w:color w:val="000000"/>
              <w:lang w:val="fr-CH"/>
            </w:rPr>
            <w:t>rev</w:t>
          </w:r>
          <w:proofErr w:type="gramEnd"/>
          <w:r>
            <w:rPr>
              <w:color w:val="000000"/>
              <w:lang w:val="fr-CH"/>
            </w:rPr>
            <w:t>. -</w:t>
          </w:r>
        </w:p>
      </w:tc>
    </w:tr>
  </w:tbl>
  <w:p w14:paraId="2A912EE6" w14:textId="77777777" w:rsidR="007303BC" w:rsidRDefault="007303BC">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B58A910"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A013081"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AAEBDB9" w14:textId="1D32F5DC"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D455C">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13B86"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454AF0" w14:textId="4143877E" w:rsidR="007303BC" w:rsidRDefault="007303BC" w:rsidP="00997054">
          <w:pPr>
            <w:pStyle w:val="HeaderRegProc"/>
            <w:rPr>
              <w:color w:val="000000"/>
              <w:lang w:val="fr-CH"/>
            </w:rPr>
          </w:pPr>
          <w:proofErr w:type="gramStart"/>
          <w:r>
            <w:rPr>
              <w:color w:val="000000"/>
              <w:lang w:val="fr-CH"/>
            </w:rPr>
            <w:t>rev</w:t>
          </w:r>
          <w:proofErr w:type="gramEnd"/>
          <w:r>
            <w:rPr>
              <w:color w:val="000000"/>
              <w:lang w:val="fr-CH"/>
            </w:rPr>
            <w:t>. -</w:t>
          </w:r>
        </w:p>
      </w:tc>
    </w:tr>
  </w:tbl>
  <w:p w14:paraId="235A966B" w14:textId="77777777" w:rsidR="007303BC" w:rsidRDefault="007303BC" w:rsidP="006B1FA3">
    <w:pPr>
      <w:pStyle w:val="Header"/>
      <w:spacing w:befor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0AD40F15"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6E587C5" w14:textId="600BFFD1"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6E966455" w14:textId="0FB344E4"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A9413EE" w14:textId="3F94100A" w:rsidR="007303BC" w:rsidRDefault="009E52D0" w:rsidP="00007AA8">
          <w:pPr>
            <w:pStyle w:val="HeaderRegProc"/>
            <w:rPr>
              <w:lang w:val="fr-CH"/>
            </w:rPr>
          </w:pPr>
          <w:proofErr w:type="gramStart"/>
          <w:r w:rsidRPr="009E52D0">
            <w:rPr>
              <w:lang w:val="fr-CH"/>
            </w:rPr>
            <w:t>página</w:t>
          </w:r>
          <w:proofErr w:type="gramEnd"/>
          <w:r w:rsidR="007303BC">
            <w:rPr>
              <w:lang w:val="fr-CH"/>
            </w:rPr>
            <w:t xml:space="preserve"> </w:t>
          </w:r>
          <w:r w:rsidR="007303BC">
            <w:rPr>
              <w:rStyle w:val="PageNumber"/>
            </w:rPr>
            <w:fldChar w:fldCharType="begin"/>
          </w:r>
          <w:r w:rsidR="007303BC">
            <w:rPr>
              <w:rStyle w:val="PageNumber"/>
            </w:rPr>
            <w:instrText xml:space="preserve"> PAGE </w:instrText>
          </w:r>
          <w:r w:rsidR="007303BC">
            <w:rPr>
              <w:rStyle w:val="PageNumber"/>
            </w:rPr>
            <w:fldChar w:fldCharType="separate"/>
          </w:r>
          <w:r w:rsidR="007303BC">
            <w:rPr>
              <w:rStyle w:val="PageNumber"/>
              <w:noProof/>
            </w:rPr>
            <w:t>26</w:t>
          </w:r>
          <w:r w:rsidR="007303B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D5F76" w14:textId="1CE97434" w:rsidR="007303BC" w:rsidRDefault="007303BC" w:rsidP="00007AA8">
          <w:pPr>
            <w:pStyle w:val="HeaderRegProc"/>
            <w:rPr>
              <w:lang w:val="fr-CH"/>
            </w:rPr>
          </w:pPr>
          <w:proofErr w:type="gramStart"/>
          <w:r>
            <w:rPr>
              <w:lang w:val="fr-CH"/>
            </w:rPr>
            <w:t>rev</w:t>
          </w:r>
          <w:proofErr w:type="gramEnd"/>
          <w:r>
            <w:rPr>
              <w:lang w:val="fr-CH"/>
            </w:rPr>
            <w:t>.</w:t>
          </w:r>
          <w:r w:rsidR="00C75779">
            <w:rPr>
              <w:lang w:val="fr-CH"/>
            </w:rPr>
            <w:t xml:space="preserve"> </w:t>
          </w:r>
          <w:r>
            <w:rPr>
              <w:lang w:val="fr-CH"/>
            </w:rPr>
            <w:t>-</w:t>
          </w:r>
        </w:p>
      </w:tc>
    </w:tr>
  </w:tbl>
  <w:p w14:paraId="04534A9C" w14:textId="77777777" w:rsidR="007303BC" w:rsidRDefault="007303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363363CB"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6C0FF742" w14:textId="7DA4B438"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3B8D8C13" w14:textId="696C2F96"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D455C">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0437A5C" w14:textId="6184CBE4" w:rsidR="007303BC" w:rsidRDefault="007303BC" w:rsidP="00007AA8">
          <w:pPr>
            <w:pStyle w:val="HeaderRegProc"/>
            <w:rPr>
              <w:lang w:val="fr-CH"/>
            </w:rPr>
          </w:pPr>
          <w:proofErr w:type="gramStart"/>
          <w:r>
            <w:rPr>
              <w:lang w:val="fr-CH"/>
            </w:rPr>
            <w:t>p</w:t>
          </w:r>
          <w:r w:rsidR="009E52D0">
            <w:rPr>
              <w:lang w:val="fr-CH"/>
            </w:rPr>
            <w:t>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BA03DE" w14:textId="1B9042E6" w:rsidR="007303BC" w:rsidRDefault="007303BC" w:rsidP="00007AA8">
          <w:pPr>
            <w:pStyle w:val="HeaderRegProc"/>
            <w:rPr>
              <w:lang w:val="fr-CH"/>
            </w:rPr>
          </w:pPr>
          <w:proofErr w:type="gramStart"/>
          <w:r>
            <w:rPr>
              <w:lang w:val="fr-CH"/>
            </w:rPr>
            <w:t>rev</w:t>
          </w:r>
          <w:proofErr w:type="gramEnd"/>
          <w:r>
            <w:rPr>
              <w:lang w:val="fr-CH"/>
            </w:rPr>
            <w:t xml:space="preserve">. </w:t>
          </w:r>
          <w:r>
            <w:t>-</w:t>
          </w:r>
        </w:p>
      </w:tc>
    </w:tr>
  </w:tbl>
  <w:p w14:paraId="6C883E3B" w14:textId="77777777" w:rsidR="007303BC" w:rsidRDefault="007303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6497"/>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C8C"/>
    <w:rsid w:val="00002269"/>
    <w:rsid w:val="00007AA8"/>
    <w:rsid w:val="00014758"/>
    <w:rsid w:val="00025ECD"/>
    <w:rsid w:val="00033BEB"/>
    <w:rsid w:val="000343C9"/>
    <w:rsid w:val="00042807"/>
    <w:rsid w:val="00073433"/>
    <w:rsid w:val="00073763"/>
    <w:rsid w:val="000809F6"/>
    <w:rsid w:val="00084978"/>
    <w:rsid w:val="00087EB6"/>
    <w:rsid w:val="0009055E"/>
    <w:rsid w:val="000A24DA"/>
    <w:rsid w:val="000A6753"/>
    <w:rsid w:val="000D5CB8"/>
    <w:rsid w:val="000E7FB4"/>
    <w:rsid w:val="000F043D"/>
    <w:rsid w:val="000F3E5A"/>
    <w:rsid w:val="00106427"/>
    <w:rsid w:val="00130730"/>
    <w:rsid w:val="00131423"/>
    <w:rsid w:val="00141CA8"/>
    <w:rsid w:val="00145089"/>
    <w:rsid w:val="00151019"/>
    <w:rsid w:val="00157BE3"/>
    <w:rsid w:val="00163294"/>
    <w:rsid w:val="00170AA7"/>
    <w:rsid w:val="00171097"/>
    <w:rsid w:val="0017350B"/>
    <w:rsid w:val="001926B4"/>
    <w:rsid w:val="001929B4"/>
    <w:rsid w:val="001A29BD"/>
    <w:rsid w:val="001A74A8"/>
    <w:rsid w:val="001B34F3"/>
    <w:rsid w:val="001B4FEE"/>
    <w:rsid w:val="001B6F4B"/>
    <w:rsid w:val="001D4D9D"/>
    <w:rsid w:val="001E33F5"/>
    <w:rsid w:val="001E4B6D"/>
    <w:rsid w:val="001E71F0"/>
    <w:rsid w:val="001F528C"/>
    <w:rsid w:val="00202D8A"/>
    <w:rsid w:val="00231A73"/>
    <w:rsid w:val="002400F2"/>
    <w:rsid w:val="00243A7A"/>
    <w:rsid w:val="00243B84"/>
    <w:rsid w:val="00243C1F"/>
    <w:rsid w:val="002606DA"/>
    <w:rsid w:val="002611BA"/>
    <w:rsid w:val="00261E6D"/>
    <w:rsid w:val="00263244"/>
    <w:rsid w:val="00273900"/>
    <w:rsid w:val="00275DC3"/>
    <w:rsid w:val="002855F0"/>
    <w:rsid w:val="00285A0D"/>
    <w:rsid w:val="00290328"/>
    <w:rsid w:val="002956CA"/>
    <w:rsid w:val="0029768E"/>
    <w:rsid w:val="002C5784"/>
    <w:rsid w:val="002E7999"/>
    <w:rsid w:val="002F07F7"/>
    <w:rsid w:val="003011F9"/>
    <w:rsid w:val="00312F2B"/>
    <w:rsid w:val="003155E4"/>
    <w:rsid w:val="00316036"/>
    <w:rsid w:val="00323936"/>
    <w:rsid w:val="00334209"/>
    <w:rsid w:val="00334C36"/>
    <w:rsid w:val="003379CE"/>
    <w:rsid w:val="00340DF3"/>
    <w:rsid w:val="003421C9"/>
    <w:rsid w:val="003511A6"/>
    <w:rsid w:val="00353B4B"/>
    <w:rsid w:val="00354082"/>
    <w:rsid w:val="00355CA5"/>
    <w:rsid w:val="00363FC4"/>
    <w:rsid w:val="00364B5B"/>
    <w:rsid w:val="003667EC"/>
    <w:rsid w:val="00376B7F"/>
    <w:rsid w:val="00380438"/>
    <w:rsid w:val="00384465"/>
    <w:rsid w:val="00397807"/>
    <w:rsid w:val="003A212D"/>
    <w:rsid w:val="003A2B3C"/>
    <w:rsid w:val="003B3F7A"/>
    <w:rsid w:val="003C601A"/>
    <w:rsid w:val="003F178D"/>
    <w:rsid w:val="003F1DCA"/>
    <w:rsid w:val="003F4605"/>
    <w:rsid w:val="003F5E8B"/>
    <w:rsid w:val="003F7F87"/>
    <w:rsid w:val="00402C5C"/>
    <w:rsid w:val="004102CD"/>
    <w:rsid w:val="004270DD"/>
    <w:rsid w:val="004306BF"/>
    <w:rsid w:val="00432D3A"/>
    <w:rsid w:val="00437321"/>
    <w:rsid w:val="00437E8C"/>
    <w:rsid w:val="00443745"/>
    <w:rsid w:val="004609E2"/>
    <w:rsid w:val="004623D9"/>
    <w:rsid w:val="00493826"/>
    <w:rsid w:val="004962F1"/>
    <w:rsid w:val="004B0B17"/>
    <w:rsid w:val="004B74BC"/>
    <w:rsid w:val="004C1035"/>
    <w:rsid w:val="004C365A"/>
    <w:rsid w:val="004C44AE"/>
    <w:rsid w:val="004C6036"/>
    <w:rsid w:val="004C7294"/>
    <w:rsid w:val="004C789C"/>
    <w:rsid w:val="004D2453"/>
    <w:rsid w:val="004D455C"/>
    <w:rsid w:val="00510FE2"/>
    <w:rsid w:val="00514FDE"/>
    <w:rsid w:val="00515A02"/>
    <w:rsid w:val="005164F3"/>
    <w:rsid w:val="005212EF"/>
    <w:rsid w:val="005213D7"/>
    <w:rsid w:val="00525B76"/>
    <w:rsid w:val="0055260C"/>
    <w:rsid w:val="00552F92"/>
    <w:rsid w:val="00580ACB"/>
    <w:rsid w:val="00581AB1"/>
    <w:rsid w:val="00582968"/>
    <w:rsid w:val="00585B28"/>
    <w:rsid w:val="00585E27"/>
    <w:rsid w:val="00587B8C"/>
    <w:rsid w:val="005913DD"/>
    <w:rsid w:val="0059231A"/>
    <w:rsid w:val="00594CF0"/>
    <w:rsid w:val="005A1C6C"/>
    <w:rsid w:val="005A408A"/>
    <w:rsid w:val="005B4993"/>
    <w:rsid w:val="005D3354"/>
    <w:rsid w:val="005D38B8"/>
    <w:rsid w:val="005E5EFE"/>
    <w:rsid w:val="005E750A"/>
    <w:rsid w:val="006050D0"/>
    <w:rsid w:val="006159FB"/>
    <w:rsid w:val="00624015"/>
    <w:rsid w:val="0062524A"/>
    <w:rsid w:val="0064339D"/>
    <w:rsid w:val="00653B0A"/>
    <w:rsid w:val="006541ED"/>
    <w:rsid w:val="0066792B"/>
    <w:rsid w:val="00671B06"/>
    <w:rsid w:val="006746D2"/>
    <w:rsid w:val="00676A4C"/>
    <w:rsid w:val="00676B57"/>
    <w:rsid w:val="00685DBD"/>
    <w:rsid w:val="006A5246"/>
    <w:rsid w:val="006B10B0"/>
    <w:rsid w:val="006B1FA3"/>
    <w:rsid w:val="006B6892"/>
    <w:rsid w:val="006D45DA"/>
    <w:rsid w:val="006E128E"/>
    <w:rsid w:val="006E3C11"/>
    <w:rsid w:val="00700F38"/>
    <w:rsid w:val="007025D6"/>
    <w:rsid w:val="00710A76"/>
    <w:rsid w:val="007142E9"/>
    <w:rsid w:val="00727D35"/>
    <w:rsid w:val="007303BC"/>
    <w:rsid w:val="007359FE"/>
    <w:rsid w:val="00735FE0"/>
    <w:rsid w:val="007429E4"/>
    <w:rsid w:val="0074662C"/>
    <w:rsid w:val="00756910"/>
    <w:rsid w:val="0077079D"/>
    <w:rsid w:val="00770D86"/>
    <w:rsid w:val="00771F68"/>
    <w:rsid w:val="00774C65"/>
    <w:rsid w:val="00782C00"/>
    <w:rsid w:val="007A21C3"/>
    <w:rsid w:val="007A3BDE"/>
    <w:rsid w:val="007A4CCC"/>
    <w:rsid w:val="007B5234"/>
    <w:rsid w:val="007C0E12"/>
    <w:rsid w:val="007C0F78"/>
    <w:rsid w:val="007E3FFE"/>
    <w:rsid w:val="007F700A"/>
    <w:rsid w:val="008036F8"/>
    <w:rsid w:val="0081048C"/>
    <w:rsid w:val="00820A8C"/>
    <w:rsid w:val="0082172F"/>
    <w:rsid w:val="008254E1"/>
    <w:rsid w:val="00827074"/>
    <w:rsid w:val="0083715B"/>
    <w:rsid w:val="00842CB9"/>
    <w:rsid w:val="008475FA"/>
    <w:rsid w:val="00857FBA"/>
    <w:rsid w:val="00862DC2"/>
    <w:rsid w:val="008709D6"/>
    <w:rsid w:val="00871B18"/>
    <w:rsid w:val="00873EF9"/>
    <w:rsid w:val="0088251D"/>
    <w:rsid w:val="00890F16"/>
    <w:rsid w:val="008A04C4"/>
    <w:rsid w:val="008A4B01"/>
    <w:rsid w:val="008A784F"/>
    <w:rsid w:val="008B66A6"/>
    <w:rsid w:val="008D3F16"/>
    <w:rsid w:val="009056FF"/>
    <w:rsid w:val="009243FB"/>
    <w:rsid w:val="0092491E"/>
    <w:rsid w:val="00934300"/>
    <w:rsid w:val="00947C8C"/>
    <w:rsid w:val="0095388D"/>
    <w:rsid w:val="0097090C"/>
    <w:rsid w:val="009749F0"/>
    <w:rsid w:val="0097772C"/>
    <w:rsid w:val="00997054"/>
    <w:rsid w:val="009A2F2C"/>
    <w:rsid w:val="009A5612"/>
    <w:rsid w:val="009A6831"/>
    <w:rsid w:val="009B0E26"/>
    <w:rsid w:val="009B4895"/>
    <w:rsid w:val="009B7147"/>
    <w:rsid w:val="009C3798"/>
    <w:rsid w:val="009C54F8"/>
    <w:rsid w:val="009C6C75"/>
    <w:rsid w:val="009D0297"/>
    <w:rsid w:val="009E52D0"/>
    <w:rsid w:val="009F15F9"/>
    <w:rsid w:val="00A00B06"/>
    <w:rsid w:val="00A160F1"/>
    <w:rsid w:val="00A36A08"/>
    <w:rsid w:val="00A60C28"/>
    <w:rsid w:val="00A650B3"/>
    <w:rsid w:val="00A76EAD"/>
    <w:rsid w:val="00A80144"/>
    <w:rsid w:val="00A841B7"/>
    <w:rsid w:val="00A84BA2"/>
    <w:rsid w:val="00A8577C"/>
    <w:rsid w:val="00A963AA"/>
    <w:rsid w:val="00AA0190"/>
    <w:rsid w:val="00AA6D4D"/>
    <w:rsid w:val="00AB6150"/>
    <w:rsid w:val="00AB7173"/>
    <w:rsid w:val="00AC3017"/>
    <w:rsid w:val="00AE2C45"/>
    <w:rsid w:val="00AE5F97"/>
    <w:rsid w:val="00AF0BF6"/>
    <w:rsid w:val="00AF7287"/>
    <w:rsid w:val="00B05D12"/>
    <w:rsid w:val="00B0754A"/>
    <w:rsid w:val="00B35150"/>
    <w:rsid w:val="00B4459B"/>
    <w:rsid w:val="00B643BE"/>
    <w:rsid w:val="00B76760"/>
    <w:rsid w:val="00B90E64"/>
    <w:rsid w:val="00B97C02"/>
    <w:rsid w:val="00BA4474"/>
    <w:rsid w:val="00BA65FC"/>
    <w:rsid w:val="00BB5039"/>
    <w:rsid w:val="00BC75E2"/>
    <w:rsid w:val="00BE0EE8"/>
    <w:rsid w:val="00BF0573"/>
    <w:rsid w:val="00BF2F88"/>
    <w:rsid w:val="00C03BB1"/>
    <w:rsid w:val="00C124BB"/>
    <w:rsid w:val="00C13E79"/>
    <w:rsid w:val="00C23ED0"/>
    <w:rsid w:val="00C30B0F"/>
    <w:rsid w:val="00C522B9"/>
    <w:rsid w:val="00C54CFD"/>
    <w:rsid w:val="00C75779"/>
    <w:rsid w:val="00C93AC2"/>
    <w:rsid w:val="00CA2E46"/>
    <w:rsid w:val="00CA33C4"/>
    <w:rsid w:val="00CD7CA4"/>
    <w:rsid w:val="00CE260D"/>
    <w:rsid w:val="00CE3DE4"/>
    <w:rsid w:val="00CE4342"/>
    <w:rsid w:val="00D00CA3"/>
    <w:rsid w:val="00D01428"/>
    <w:rsid w:val="00D15B32"/>
    <w:rsid w:val="00D16069"/>
    <w:rsid w:val="00D223F5"/>
    <w:rsid w:val="00D2326A"/>
    <w:rsid w:val="00D26314"/>
    <w:rsid w:val="00D405CB"/>
    <w:rsid w:val="00D43A78"/>
    <w:rsid w:val="00D448F7"/>
    <w:rsid w:val="00D47A90"/>
    <w:rsid w:val="00D561C2"/>
    <w:rsid w:val="00D6002A"/>
    <w:rsid w:val="00D70EFE"/>
    <w:rsid w:val="00D71E4B"/>
    <w:rsid w:val="00D72BCF"/>
    <w:rsid w:val="00D74F5F"/>
    <w:rsid w:val="00DA47A4"/>
    <w:rsid w:val="00DB387B"/>
    <w:rsid w:val="00DC5BEC"/>
    <w:rsid w:val="00DD0038"/>
    <w:rsid w:val="00DE1E30"/>
    <w:rsid w:val="00DE2B84"/>
    <w:rsid w:val="00DF5A15"/>
    <w:rsid w:val="00E14361"/>
    <w:rsid w:val="00E20345"/>
    <w:rsid w:val="00E239D8"/>
    <w:rsid w:val="00E30F08"/>
    <w:rsid w:val="00E41412"/>
    <w:rsid w:val="00E41FDD"/>
    <w:rsid w:val="00E52D87"/>
    <w:rsid w:val="00E55618"/>
    <w:rsid w:val="00E573EE"/>
    <w:rsid w:val="00E6127D"/>
    <w:rsid w:val="00E90A91"/>
    <w:rsid w:val="00EA2D8D"/>
    <w:rsid w:val="00EA6945"/>
    <w:rsid w:val="00ED7544"/>
    <w:rsid w:val="00EF41B3"/>
    <w:rsid w:val="00EF6BA1"/>
    <w:rsid w:val="00F01943"/>
    <w:rsid w:val="00F064A9"/>
    <w:rsid w:val="00F07F11"/>
    <w:rsid w:val="00F10B0B"/>
    <w:rsid w:val="00F15E33"/>
    <w:rsid w:val="00F17FBF"/>
    <w:rsid w:val="00F23BAE"/>
    <w:rsid w:val="00F4327C"/>
    <w:rsid w:val="00F5147F"/>
    <w:rsid w:val="00F566E3"/>
    <w:rsid w:val="00F56981"/>
    <w:rsid w:val="00F577D1"/>
    <w:rsid w:val="00F60ECF"/>
    <w:rsid w:val="00F74C0C"/>
    <w:rsid w:val="00FB02FE"/>
    <w:rsid w:val="00FB0FA5"/>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F566E3"/>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 w:type="paragraph" w:customStyle="1" w:styleId="Reasons">
    <w:name w:val="Reasons"/>
    <w:basedOn w:val="Normal"/>
    <w:qFormat/>
    <w:rsid w:val="006159FB"/>
    <w:pPr>
      <w:tabs>
        <w:tab w:val="clear" w:pos="1871"/>
        <w:tab w:val="clear" w:pos="2268"/>
        <w:tab w:val="left" w:pos="1588"/>
        <w:tab w:val="left" w:pos="1985"/>
      </w:tabs>
      <w:spacing w:before="12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29"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header" Target="header22.xml"/><Relationship Id="rId10" Type="http://schemas.openxmlformats.org/officeDocument/2006/relationships/header" Target="header4.xml"/><Relationship Id="rId19" Type="http://schemas.openxmlformats.org/officeDocument/2006/relationships/header" Target="header13.xml"/><Relationship Id="rId31" Type="http://schemas.openxmlformats.org/officeDocument/2006/relationships/header" Target="header25.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 Id="rId30" Type="http://schemas.openxmlformats.org/officeDocument/2006/relationships/header" Target="header24.xml"/><Relationship Id="rId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18DD-2033-415B-B193-A3046157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1131</TotalTime>
  <Pages>33</Pages>
  <Words>12945</Words>
  <Characters>73787</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Règles de procédures / Edition 20024</vt:lpstr>
    </vt:vector>
  </TitlesOfParts>
  <Manager>C--107223/DD</Manager>
  <Company>ITU</Company>
  <LinksUpToDate>false</LinksUpToDate>
  <CharactersWithSpaces>86559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20024</dc:title>
  <dc:subject>Art. 11</dc:subject>
  <dc:creator>Composition des Publications</dc:creator>
  <cp:keywords>Folios: 1 - 24 (blanc)</cp:keywords>
  <dc:description>Edition 2009:  12.02.2009/DD  (dict. ok)_x000d_
Corr. 1ère interne:  09.03.2009/DD</dc:description>
  <cp:lastModifiedBy>Saez Grau, Ricardo</cp:lastModifiedBy>
  <cp:revision>267</cp:revision>
  <cp:lastPrinted>2025-12-05T10:52:00Z</cp:lastPrinted>
  <dcterms:created xsi:type="dcterms:W3CDTF">2012-10-02T12:17:00Z</dcterms:created>
  <dcterms:modified xsi:type="dcterms:W3CDTF">2025-12-05T10:52:00Z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