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821D49" w14:textId="77777777" w:rsidR="00CB0787" w:rsidRPr="00277E7C" w:rsidRDefault="00CB0787" w:rsidP="00D20D54">
      <w:pPr>
        <w:pStyle w:val="Heading1"/>
        <w:spacing w:before="300"/>
        <w:jc w:val="center"/>
        <w:rPr>
          <w:color w:val="000000"/>
          <w:lang w:val="fr-FR"/>
        </w:rPr>
      </w:pPr>
      <w:r w:rsidRPr="00277E7C">
        <w:rPr>
          <w:color w:val="000000"/>
          <w:lang w:val="fr-FR"/>
        </w:rPr>
        <w:t>Règles relatives à</w:t>
      </w:r>
    </w:p>
    <w:p w14:paraId="23AA298D" w14:textId="77777777" w:rsidR="00CB0787" w:rsidRDefault="00CB0787" w:rsidP="00C37705">
      <w:pPr>
        <w:pStyle w:val="Heading2"/>
        <w:spacing w:before="400"/>
        <w:jc w:val="center"/>
        <w:rPr>
          <w:color w:val="000000"/>
          <w:lang w:val="fr-FR"/>
        </w:rPr>
      </w:pPr>
      <w:r w:rsidRPr="00277E7C">
        <w:rPr>
          <w:color w:val="000000"/>
          <w:lang w:val="fr-FR"/>
        </w:rPr>
        <w:t xml:space="preserve">l'ARTICLE </w:t>
      </w:r>
      <w:r w:rsidR="00910E82" w:rsidRPr="00277E7C">
        <w:rPr>
          <w:color w:val="000000"/>
          <w:lang w:val="fr-FR"/>
        </w:rPr>
        <w:t xml:space="preserve"> </w:t>
      </w:r>
      <w:r w:rsidRPr="00277E7C">
        <w:rPr>
          <w:lang w:val="fr-FR"/>
        </w:rPr>
        <w:t>11</w:t>
      </w:r>
      <w:r w:rsidRPr="00277E7C">
        <w:rPr>
          <w:color w:val="000000"/>
          <w:lang w:val="fr-FR"/>
        </w:rPr>
        <w:t xml:space="preserve"> du RR</w:t>
      </w:r>
    </w:p>
    <w:p w14:paraId="3A7AC4F7" w14:textId="0AF1D9EC" w:rsidR="00CB0787" w:rsidRPr="00277E7C" w:rsidRDefault="00CB0787">
      <w:pPr>
        <w:pStyle w:val="Heading8"/>
        <w:rPr>
          <w:color w:val="000000"/>
          <w:lang w:val="fr-FR"/>
        </w:rPr>
      </w:pPr>
      <w:r w:rsidRPr="00277E7C">
        <w:rPr>
          <w:rStyle w:val="href2"/>
          <w:color w:val="000000"/>
          <w:lang w:val="fr-FR"/>
        </w:rPr>
        <w:t>11</w:t>
      </w:r>
      <w:r w:rsidRPr="00277E7C">
        <w:rPr>
          <w:color w:val="000000"/>
          <w:lang w:val="fr-FR"/>
        </w:rPr>
        <w:t>.13</w:t>
      </w:r>
      <w:r w:rsidR="00B461E3" w:rsidRPr="007C23E7">
        <w:rPr>
          <w:color w:val="000000"/>
          <w:lang w:val="fr-CH"/>
        </w:rPr>
        <w:tab/>
      </w:r>
    </w:p>
    <w:p w14:paraId="1053E2AC" w14:textId="77777777" w:rsidR="00B461E3" w:rsidRPr="00B461E3" w:rsidRDefault="00B461E3" w:rsidP="00B461E3">
      <w:pPr>
        <w:rPr>
          <w:lang w:val="fr-FR"/>
        </w:rPr>
      </w:pPr>
      <w:r w:rsidRPr="00B461E3">
        <w:rPr>
          <w:lang w:val="fr-FR"/>
        </w:rPr>
        <w:t>1</w:t>
      </w:r>
      <w:r w:rsidRPr="00B461E3">
        <w:rPr>
          <w:lang w:val="fr-FR"/>
        </w:rPr>
        <w:tab/>
        <w:t>Cette disposition stipule que les fréquences qui sont prescrites comme devant être utilisées en commun par les stations d'un service déterminé ne doivent pas faire l'objet d'une notification. Conformément à cette disposition, le Bureau a établi une liste des fréquences qui entrent dans cette catégorie. Cette liste est régulièrement mise à jour et publiée dans la Préface à la Circulaire internationale d'information sur les fréquences (BR IFIC), dans l'ordre des fréquences (Chapitre VI de la Préface). Les fréquences communes figurent dans le Fichier de référence et dans la BR IFIC.</w:t>
      </w:r>
    </w:p>
    <w:p w14:paraId="29E6F994" w14:textId="77777777" w:rsidR="00014F87" w:rsidRPr="00277E7C" w:rsidRDefault="00014F87" w:rsidP="00014F87">
      <w:pPr>
        <w:rPr>
          <w:lang w:val="fr-FR"/>
        </w:rPr>
      </w:pPr>
      <w:r w:rsidRPr="00277E7C">
        <w:rPr>
          <w:lang w:val="fr-FR"/>
        </w:rPr>
        <w:t>2</w:t>
      </w:r>
      <w:r w:rsidRPr="00277E7C">
        <w:rPr>
          <w:lang w:val="fr-FR"/>
        </w:rPr>
        <w:tab/>
        <w:t>Une liste récapitulative des fréquences/bandes de fréquences prescrites comme devant être utilisées en commun est donnée ci-dessous:</w:t>
      </w:r>
    </w:p>
    <w:p w14:paraId="1D016860" w14:textId="6CE0BABF" w:rsidR="00014F87" w:rsidRPr="00277E7C" w:rsidRDefault="00014F87" w:rsidP="00910E82">
      <w:pPr>
        <w:pStyle w:val="enumlev1"/>
        <w:rPr>
          <w:color w:val="000000"/>
          <w:lang w:val="fr-FR"/>
        </w:rPr>
      </w:pPr>
      <w:r w:rsidRPr="00277E7C">
        <w:rPr>
          <w:color w:val="000000"/>
          <w:lang w:val="fr-FR"/>
        </w:rPr>
        <w:t>–</w:t>
      </w:r>
      <w:r w:rsidRPr="00277E7C">
        <w:rPr>
          <w:color w:val="000000"/>
          <w:lang w:val="fr-FR"/>
        </w:rPr>
        <w:tab/>
        <w:t>fréquences du système mondial de détresse et de sécurité en mer (SMDSM) pour les</w:t>
      </w:r>
      <w:r w:rsidR="00910E82" w:rsidRPr="00277E7C">
        <w:rPr>
          <w:color w:val="000000"/>
          <w:lang w:val="fr-FR"/>
        </w:rPr>
        <w:t> </w:t>
      </w:r>
      <w:r w:rsidRPr="00277E7C">
        <w:rPr>
          <w:color w:val="000000"/>
          <w:lang w:val="fr-FR"/>
        </w:rPr>
        <w:t>appels</w:t>
      </w:r>
      <w:r w:rsidR="00910E82" w:rsidRPr="00277E7C">
        <w:rPr>
          <w:color w:val="000000"/>
          <w:lang w:val="fr-FR"/>
        </w:rPr>
        <w:t xml:space="preserve"> </w:t>
      </w:r>
      <w:r w:rsidRPr="00277E7C">
        <w:rPr>
          <w:color w:val="000000"/>
          <w:lang w:val="fr-FR"/>
        </w:rPr>
        <w:t>de détresse et de sécurité utilisant les techniques d'appel sélectif numérique (ASN) (2</w:t>
      </w:r>
      <w:r w:rsidRPr="00277E7C">
        <w:rPr>
          <w:rFonts w:ascii="Tms Rmn" w:hAnsi="Tms Rmn"/>
          <w:color w:val="000000"/>
          <w:sz w:val="12"/>
          <w:lang w:val="fr-FR"/>
        </w:rPr>
        <w:t> </w:t>
      </w:r>
      <w:r w:rsidRPr="00277E7C">
        <w:rPr>
          <w:color w:val="000000"/>
          <w:lang w:val="fr-FR"/>
        </w:rPr>
        <w:t>187,5 kHz, 4</w:t>
      </w:r>
      <w:r w:rsidRPr="00277E7C">
        <w:rPr>
          <w:rFonts w:ascii="Tms Rmn" w:hAnsi="Tms Rmn"/>
          <w:color w:val="000000"/>
          <w:sz w:val="12"/>
          <w:lang w:val="fr-FR"/>
        </w:rPr>
        <w:t> </w:t>
      </w:r>
      <w:r w:rsidRPr="00277E7C">
        <w:rPr>
          <w:color w:val="000000"/>
          <w:lang w:val="fr-FR"/>
        </w:rPr>
        <w:t>207,5</w:t>
      </w:r>
      <w:r w:rsidR="00910E82" w:rsidRPr="00277E7C">
        <w:rPr>
          <w:color w:val="000000"/>
          <w:lang w:val="fr-FR"/>
        </w:rPr>
        <w:t xml:space="preserve"> </w:t>
      </w:r>
      <w:r w:rsidRPr="00277E7C">
        <w:rPr>
          <w:color w:val="000000"/>
          <w:lang w:val="fr-FR"/>
        </w:rPr>
        <w:t>kHz, 6</w:t>
      </w:r>
      <w:r w:rsidRPr="00277E7C">
        <w:rPr>
          <w:rFonts w:ascii="Tms Rmn" w:hAnsi="Tms Rmn"/>
          <w:color w:val="000000"/>
          <w:sz w:val="12"/>
          <w:lang w:val="fr-FR"/>
        </w:rPr>
        <w:t> </w:t>
      </w:r>
      <w:r w:rsidRPr="00277E7C">
        <w:rPr>
          <w:color w:val="000000"/>
          <w:lang w:val="fr-FR"/>
        </w:rPr>
        <w:t>312 kHz, 8</w:t>
      </w:r>
      <w:r w:rsidRPr="00277E7C">
        <w:rPr>
          <w:rFonts w:ascii="Tms Rmn" w:hAnsi="Tms Rmn"/>
          <w:color w:val="000000"/>
          <w:sz w:val="12"/>
          <w:lang w:val="fr-FR"/>
        </w:rPr>
        <w:t> </w:t>
      </w:r>
      <w:r w:rsidRPr="00277E7C">
        <w:rPr>
          <w:color w:val="000000"/>
          <w:lang w:val="fr-FR"/>
        </w:rPr>
        <w:t>414,5 kHz, 12</w:t>
      </w:r>
      <w:r w:rsidRPr="00277E7C">
        <w:rPr>
          <w:rFonts w:ascii="Tms Rmn" w:hAnsi="Tms Rmn"/>
          <w:color w:val="000000"/>
          <w:sz w:val="12"/>
          <w:lang w:val="fr-FR"/>
        </w:rPr>
        <w:t> </w:t>
      </w:r>
      <w:r w:rsidRPr="00277E7C">
        <w:rPr>
          <w:color w:val="000000"/>
          <w:lang w:val="fr-FR"/>
        </w:rPr>
        <w:t>577 kHz, 16</w:t>
      </w:r>
      <w:r w:rsidRPr="00277E7C">
        <w:rPr>
          <w:rFonts w:ascii="Tms Rmn" w:hAnsi="Tms Rmn"/>
          <w:color w:val="000000"/>
          <w:sz w:val="12"/>
          <w:lang w:val="fr-FR"/>
        </w:rPr>
        <w:t> </w:t>
      </w:r>
      <w:r w:rsidRPr="00277E7C">
        <w:rPr>
          <w:color w:val="000000"/>
          <w:lang w:val="fr-FR"/>
        </w:rPr>
        <w:t>804,5 kHz et 156,525 MHz);</w:t>
      </w:r>
    </w:p>
    <w:p w14:paraId="655F2318" w14:textId="77777777" w:rsidR="00014F87" w:rsidRPr="00277E7C" w:rsidRDefault="00014F87" w:rsidP="00014F87">
      <w:pPr>
        <w:pStyle w:val="enumlev1"/>
        <w:rPr>
          <w:color w:val="000000"/>
          <w:lang w:val="fr-FR"/>
        </w:rPr>
      </w:pPr>
      <w:r w:rsidRPr="00277E7C">
        <w:rPr>
          <w:color w:val="000000"/>
          <w:lang w:val="fr-FR"/>
        </w:rPr>
        <w:t>–</w:t>
      </w:r>
      <w:r w:rsidRPr="00277E7C">
        <w:rPr>
          <w:color w:val="000000"/>
          <w:lang w:val="fr-FR"/>
        </w:rPr>
        <w:tab/>
        <w:t>fréquences du SMDSM pour les appels de détresse et de sécurité par radiotéléphonie (2</w:t>
      </w:r>
      <w:r w:rsidRPr="00277E7C">
        <w:rPr>
          <w:rFonts w:ascii="Tms Rmn" w:hAnsi="Tms Rmn"/>
          <w:color w:val="000000"/>
          <w:sz w:val="12"/>
          <w:lang w:val="fr-FR"/>
        </w:rPr>
        <w:t> </w:t>
      </w:r>
      <w:r w:rsidRPr="00277E7C">
        <w:rPr>
          <w:color w:val="000000"/>
          <w:lang w:val="fr-FR"/>
        </w:rPr>
        <w:t>182 kHz, 4</w:t>
      </w:r>
      <w:r w:rsidRPr="00277E7C">
        <w:rPr>
          <w:rFonts w:ascii="Tms Rmn" w:hAnsi="Tms Rmn"/>
          <w:color w:val="000000"/>
          <w:sz w:val="12"/>
          <w:lang w:val="fr-FR"/>
        </w:rPr>
        <w:t> </w:t>
      </w:r>
      <w:r w:rsidRPr="00277E7C">
        <w:rPr>
          <w:color w:val="000000"/>
          <w:lang w:val="fr-FR"/>
        </w:rPr>
        <w:t>125 kHz, 6</w:t>
      </w:r>
      <w:r w:rsidRPr="00277E7C">
        <w:rPr>
          <w:rFonts w:ascii="Tms Rmn" w:hAnsi="Tms Rmn"/>
          <w:color w:val="000000"/>
          <w:sz w:val="12"/>
          <w:lang w:val="fr-FR"/>
        </w:rPr>
        <w:t> </w:t>
      </w:r>
      <w:r w:rsidRPr="00277E7C">
        <w:rPr>
          <w:color w:val="000000"/>
          <w:lang w:val="fr-FR"/>
        </w:rPr>
        <w:t>215 kHz, 8</w:t>
      </w:r>
      <w:r w:rsidRPr="00277E7C">
        <w:rPr>
          <w:rFonts w:ascii="Tms Rmn" w:hAnsi="Tms Rmn"/>
          <w:color w:val="000000"/>
          <w:sz w:val="12"/>
          <w:lang w:val="fr-FR"/>
        </w:rPr>
        <w:t> </w:t>
      </w:r>
      <w:r w:rsidRPr="00277E7C">
        <w:rPr>
          <w:color w:val="000000"/>
          <w:lang w:val="fr-FR"/>
        </w:rPr>
        <w:t>291 kHz, 12</w:t>
      </w:r>
      <w:r w:rsidRPr="00277E7C">
        <w:rPr>
          <w:rFonts w:ascii="Tms Rmn" w:hAnsi="Tms Rmn"/>
          <w:color w:val="000000"/>
          <w:sz w:val="12"/>
          <w:lang w:val="fr-FR"/>
        </w:rPr>
        <w:t> </w:t>
      </w:r>
      <w:r w:rsidRPr="00277E7C">
        <w:rPr>
          <w:color w:val="000000"/>
          <w:lang w:val="fr-FR"/>
        </w:rPr>
        <w:t>290 kHz, 16</w:t>
      </w:r>
      <w:r w:rsidRPr="00277E7C">
        <w:rPr>
          <w:rFonts w:ascii="Tms Rmn" w:hAnsi="Tms Rmn"/>
          <w:color w:val="000000"/>
          <w:sz w:val="12"/>
          <w:lang w:val="fr-FR"/>
        </w:rPr>
        <w:t> </w:t>
      </w:r>
      <w:r w:rsidRPr="00277E7C">
        <w:rPr>
          <w:color w:val="000000"/>
          <w:lang w:val="fr-FR"/>
        </w:rPr>
        <w:t>420 kHz et 156,8 MHz);</w:t>
      </w:r>
    </w:p>
    <w:p w14:paraId="0DD22BE2" w14:textId="77777777" w:rsidR="00014F87" w:rsidRPr="00277E7C" w:rsidRDefault="00014F87" w:rsidP="00014F87">
      <w:pPr>
        <w:pStyle w:val="enumlev1"/>
        <w:rPr>
          <w:color w:val="000000"/>
          <w:lang w:val="fr-FR"/>
        </w:rPr>
      </w:pPr>
      <w:r w:rsidRPr="00277E7C">
        <w:rPr>
          <w:color w:val="000000"/>
          <w:lang w:val="fr-FR"/>
        </w:rPr>
        <w:t>–</w:t>
      </w:r>
      <w:r w:rsidRPr="00277E7C">
        <w:rPr>
          <w:color w:val="000000"/>
          <w:lang w:val="fr-FR"/>
        </w:rPr>
        <w:tab/>
        <w:t>fréquences internationales pour les opérations de recherche et de sauvetage (2</w:t>
      </w:r>
      <w:r w:rsidRPr="00277E7C">
        <w:rPr>
          <w:color w:val="000000"/>
          <w:sz w:val="12"/>
          <w:lang w:val="fr-FR"/>
        </w:rPr>
        <w:t> </w:t>
      </w:r>
      <w:r w:rsidRPr="00277E7C">
        <w:rPr>
          <w:color w:val="000000"/>
          <w:lang w:val="fr-FR"/>
        </w:rPr>
        <w:t>182 kHz, 3</w:t>
      </w:r>
      <w:r w:rsidRPr="00277E7C">
        <w:rPr>
          <w:color w:val="000000"/>
          <w:sz w:val="12"/>
          <w:lang w:val="fr-FR"/>
        </w:rPr>
        <w:t> </w:t>
      </w:r>
      <w:r w:rsidRPr="00277E7C">
        <w:rPr>
          <w:color w:val="000000"/>
          <w:lang w:val="fr-FR"/>
        </w:rPr>
        <w:t>023 kHz, 5</w:t>
      </w:r>
      <w:r w:rsidRPr="00277E7C">
        <w:rPr>
          <w:color w:val="000000"/>
          <w:sz w:val="12"/>
          <w:lang w:val="fr-FR"/>
        </w:rPr>
        <w:t> </w:t>
      </w:r>
      <w:r w:rsidRPr="00277E7C">
        <w:rPr>
          <w:color w:val="000000"/>
          <w:lang w:val="fr-FR"/>
        </w:rPr>
        <w:t>680 kHz, 8</w:t>
      </w:r>
      <w:r w:rsidRPr="00277E7C">
        <w:rPr>
          <w:color w:val="000000"/>
          <w:sz w:val="12"/>
          <w:lang w:val="fr-FR"/>
        </w:rPr>
        <w:t> </w:t>
      </w:r>
      <w:r w:rsidRPr="00277E7C">
        <w:rPr>
          <w:color w:val="000000"/>
          <w:lang w:val="fr-FR"/>
        </w:rPr>
        <w:t>364 kHz, 10</w:t>
      </w:r>
      <w:r w:rsidRPr="00277E7C">
        <w:rPr>
          <w:color w:val="000000"/>
          <w:sz w:val="12"/>
          <w:lang w:val="fr-FR"/>
        </w:rPr>
        <w:t> </w:t>
      </w:r>
      <w:r w:rsidRPr="00277E7C">
        <w:rPr>
          <w:color w:val="000000"/>
          <w:lang w:val="fr-FR"/>
        </w:rPr>
        <w:t>003 kHz, 14</w:t>
      </w:r>
      <w:r w:rsidRPr="00277E7C">
        <w:rPr>
          <w:color w:val="000000"/>
          <w:sz w:val="12"/>
          <w:lang w:val="fr-FR"/>
        </w:rPr>
        <w:t> </w:t>
      </w:r>
      <w:r w:rsidRPr="00277E7C">
        <w:rPr>
          <w:color w:val="000000"/>
          <w:lang w:val="fr-FR"/>
        </w:rPr>
        <w:t>993 kHz, 19</w:t>
      </w:r>
      <w:r w:rsidRPr="00277E7C">
        <w:rPr>
          <w:color w:val="000000"/>
          <w:sz w:val="12"/>
          <w:lang w:val="fr-FR"/>
        </w:rPr>
        <w:t> </w:t>
      </w:r>
      <w:r w:rsidRPr="00277E7C">
        <w:rPr>
          <w:color w:val="000000"/>
          <w:lang w:val="fr-FR"/>
        </w:rPr>
        <w:t>993 kHz, 121,5 MHz, 123,1 MHz, 156,3</w:t>
      </w:r>
      <w:r w:rsidRPr="00277E7C">
        <w:rPr>
          <w:color w:val="000000"/>
          <w:sz w:val="12"/>
          <w:lang w:val="fr-FR"/>
        </w:rPr>
        <w:t> </w:t>
      </w:r>
      <w:r w:rsidRPr="00277E7C">
        <w:rPr>
          <w:color w:val="000000"/>
          <w:lang w:val="fr-FR"/>
        </w:rPr>
        <w:t>MHz, 156,8 MHz, 161,975 MHz, 162,025 MHz et 243 MHz);</w:t>
      </w:r>
    </w:p>
    <w:p w14:paraId="52EA409C" w14:textId="77777777" w:rsidR="00014F87" w:rsidRDefault="00014F87" w:rsidP="00910E82">
      <w:pPr>
        <w:pStyle w:val="enumlev1"/>
        <w:rPr>
          <w:color w:val="000000"/>
          <w:lang w:val="fr-FR"/>
        </w:rPr>
      </w:pPr>
      <w:r w:rsidRPr="00277E7C">
        <w:rPr>
          <w:color w:val="000000"/>
          <w:lang w:val="fr-FR"/>
        </w:rPr>
        <w:t>–</w:t>
      </w:r>
      <w:r w:rsidRPr="00277E7C">
        <w:rPr>
          <w:color w:val="000000"/>
          <w:lang w:val="fr-FR"/>
        </w:rPr>
        <w:tab/>
        <w:t>fréquences internationales pour l'appel ASN, à des fins autres que la détresse et la sécurité (455,5; 458,5; 2</w:t>
      </w:r>
      <w:r w:rsidRPr="00277E7C">
        <w:rPr>
          <w:color w:val="000000"/>
          <w:sz w:val="12"/>
          <w:lang w:val="fr-FR"/>
        </w:rPr>
        <w:t> </w:t>
      </w:r>
      <w:r w:rsidRPr="00277E7C">
        <w:rPr>
          <w:color w:val="000000"/>
          <w:lang w:val="fr-FR"/>
        </w:rPr>
        <w:t>177; 2</w:t>
      </w:r>
      <w:r w:rsidRPr="00277E7C">
        <w:rPr>
          <w:color w:val="000000"/>
          <w:sz w:val="12"/>
          <w:lang w:val="fr-FR"/>
        </w:rPr>
        <w:t> </w:t>
      </w:r>
      <w:r w:rsidRPr="00277E7C">
        <w:rPr>
          <w:color w:val="000000"/>
          <w:lang w:val="fr-FR"/>
        </w:rPr>
        <w:t>189,5; 4</w:t>
      </w:r>
      <w:r w:rsidRPr="00277E7C">
        <w:rPr>
          <w:color w:val="000000"/>
          <w:sz w:val="12"/>
          <w:lang w:val="fr-FR"/>
        </w:rPr>
        <w:t> </w:t>
      </w:r>
      <w:r w:rsidRPr="00277E7C">
        <w:rPr>
          <w:color w:val="000000"/>
          <w:lang w:val="fr-FR"/>
        </w:rPr>
        <w:t>208; 4</w:t>
      </w:r>
      <w:r w:rsidRPr="00277E7C">
        <w:rPr>
          <w:color w:val="000000"/>
          <w:sz w:val="12"/>
          <w:lang w:val="fr-FR"/>
        </w:rPr>
        <w:t> </w:t>
      </w:r>
      <w:r w:rsidRPr="00277E7C">
        <w:rPr>
          <w:color w:val="000000"/>
          <w:lang w:val="fr-FR"/>
        </w:rPr>
        <w:t>208,5; 4</w:t>
      </w:r>
      <w:r w:rsidRPr="00277E7C">
        <w:rPr>
          <w:color w:val="000000"/>
          <w:sz w:val="12"/>
          <w:lang w:val="fr-FR"/>
        </w:rPr>
        <w:t> </w:t>
      </w:r>
      <w:r w:rsidRPr="00277E7C">
        <w:rPr>
          <w:color w:val="000000"/>
          <w:lang w:val="fr-FR"/>
        </w:rPr>
        <w:t>209; 4</w:t>
      </w:r>
      <w:r w:rsidRPr="00277E7C">
        <w:rPr>
          <w:color w:val="000000"/>
          <w:sz w:val="12"/>
          <w:lang w:val="fr-FR"/>
        </w:rPr>
        <w:t> </w:t>
      </w:r>
      <w:r w:rsidRPr="00277E7C">
        <w:rPr>
          <w:color w:val="000000"/>
          <w:lang w:val="fr-FR"/>
        </w:rPr>
        <w:t>219,5; 4</w:t>
      </w:r>
      <w:r w:rsidRPr="00277E7C">
        <w:rPr>
          <w:color w:val="000000"/>
          <w:sz w:val="12"/>
          <w:lang w:val="fr-FR"/>
        </w:rPr>
        <w:t> </w:t>
      </w:r>
      <w:r w:rsidRPr="00277E7C">
        <w:rPr>
          <w:color w:val="000000"/>
          <w:lang w:val="fr-FR"/>
        </w:rPr>
        <w:t>220; 4</w:t>
      </w:r>
      <w:r w:rsidRPr="00277E7C">
        <w:rPr>
          <w:color w:val="000000"/>
          <w:sz w:val="12"/>
          <w:lang w:val="fr-FR"/>
        </w:rPr>
        <w:t> </w:t>
      </w:r>
      <w:r w:rsidRPr="00277E7C">
        <w:rPr>
          <w:color w:val="000000"/>
          <w:lang w:val="fr-FR"/>
        </w:rPr>
        <w:t>220,5; 6</w:t>
      </w:r>
      <w:r w:rsidRPr="00277E7C">
        <w:rPr>
          <w:color w:val="000000"/>
          <w:sz w:val="12"/>
          <w:lang w:val="fr-FR"/>
        </w:rPr>
        <w:t> </w:t>
      </w:r>
      <w:r w:rsidRPr="00277E7C">
        <w:rPr>
          <w:color w:val="000000"/>
          <w:lang w:val="fr-FR"/>
        </w:rPr>
        <w:t>312,5; 6</w:t>
      </w:r>
      <w:r w:rsidRPr="00277E7C">
        <w:rPr>
          <w:color w:val="000000"/>
          <w:sz w:val="12"/>
          <w:lang w:val="fr-FR"/>
        </w:rPr>
        <w:t> </w:t>
      </w:r>
      <w:r w:rsidRPr="00277E7C">
        <w:rPr>
          <w:color w:val="000000"/>
          <w:lang w:val="fr-FR"/>
        </w:rPr>
        <w:t>313; 6</w:t>
      </w:r>
      <w:r w:rsidRPr="00277E7C">
        <w:rPr>
          <w:color w:val="000000"/>
          <w:sz w:val="12"/>
          <w:lang w:val="fr-FR"/>
        </w:rPr>
        <w:t> </w:t>
      </w:r>
      <w:r w:rsidRPr="00277E7C">
        <w:rPr>
          <w:color w:val="000000"/>
          <w:lang w:val="fr-FR"/>
        </w:rPr>
        <w:t>313,5; 6</w:t>
      </w:r>
      <w:r w:rsidRPr="00277E7C">
        <w:rPr>
          <w:color w:val="000000"/>
          <w:sz w:val="12"/>
          <w:lang w:val="fr-FR"/>
        </w:rPr>
        <w:t> </w:t>
      </w:r>
      <w:r w:rsidRPr="00277E7C">
        <w:rPr>
          <w:color w:val="000000"/>
          <w:lang w:val="fr-FR"/>
        </w:rPr>
        <w:t>331; 6</w:t>
      </w:r>
      <w:r w:rsidRPr="00277E7C">
        <w:rPr>
          <w:color w:val="000000"/>
          <w:sz w:val="12"/>
          <w:lang w:val="fr-FR"/>
        </w:rPr>
        <w:t> </w:t>
      </w:r>
      <w:r w:rsidRPr="00277E7C">
        <w:rPr>
          <w:color w:val="000000"/>
          <w:lang w:val="fr-FR"/>
        </w:rPr>
        <w:t>331,5; 6</w:t>
      </w:r>
      <w:r w:rsidRPr="00277E7C">
        <w:rPr>
          <w:color w:val="000000"/>
          <w:sz w:val="12"/>
          <w:lang w:val="fr-FR"/>
        </w:rPr>
        <w:t> </w:t>
      </w:r>
      <w:r w:rsidRPr="00277E7C">
        <w:rPr>
          <w:color w:val="000000"/>
          <w:lang w:val="fr-FR"/>
        </w:rPr>
        <w:t>332; 8</w:t>
      </w:r>
      <w:r w:rsidRPr="00277E7C">
        <w:rPr>
          <w:color w:val="000000"/>
          <w:sz w:val="12"/>
          <w:lang w:val="fr-FR"/>
        </w:rPr>
        <w:t> </w:t>
      </w:r>
      <w:r w:rsidRPr="00277E7C">
        <w:rPr>
          <w:color w:val="000000"/>
          <w:lang w:val="fr-FR"/>
        </w:rPr>
        <w:t>415; 8</w:t>
      </w:r>
      <w:r w:rsidRPr="00277E7C">
        <w:rPr>
          <w:color w:val="000000"/>
          <w:sz w:val="12"/>
          <w:lang w:val="fr-FR"/>
        </w:rPr>
        <w:t> </w:t>
      </w:r>
      <w:r w:rsidRPr="00277E7C">
        <w:rPr>
          <w:color w:val="000000"/>
          <w:lang w:val="fr-FR"/>
        </w:rPr>
        <w:t>415,5; 8</w:t>
      </w:r>
      <w:r w:rsidRPr="00277E7C">
        <w:rPr>
          <w:color w:val="000000"/>
          <w:sz w:val="12"/>
          <w:lang w:val="fr-FR"/>
        </w:rPr>
        <w:t> </w:t>
      </w:r>
      <w:r w:rsidRPr="00277E7C">
        <w:rPr>
          <w:color w:val="000000"/>
          <w:lang w:val="fr-FR"/>
        </w:rPr>
        <w:t>416; 8</w:t>
      </w:r>
      <w:r w:rsidRPr="00277E7C">
        <w:rPr>
          <w:color w:val="000000"/>
          <w:sz w:val="12"/>
          <w:lang w:val="fr-FR"/>
        </w:rPr>
        <w:t> </w:t>
      </w:r>
      <w:r w:rsidRPr="00277E7C">
        <w:rPr>
          <w:color w:val="000000"/>
          <w:lang w:val="fr-FR"/>
        </w:rPr>
        <w:t>436,5; 8</w:t>
      </w:r>
      <w:r w:rsidRPr="00277E7C">
        <w:rPr>
          <w:color w:val="000000"/>
          <w:sz w:val="12"/>
          <w:lang w:val="fr-FR"/>
        </w:rPr>
        <w:t> </w:t>
      </w:r>
      <w:r w:rsidRPr="00277E7C">
        <w:rPr>
          <w:color w:val="000000"/>
          <w:lang w:val="fr-FR"/>
        </w:rPr>
        <w:t>437; 8</w:t>
      </w:r>
      <w:r w:rsidRPr="00277E7C">
        <w:rPr>
          <w:color w:val="000000"/>
          <w:sz w:val="12"/>
          <w:lang w:val="fr-FR"/>
        </w:rPr>
        <w:t> </w:t>
      </w:r>
      <w:r w:rsidRPr="00277E7C">
        <w:rPr>
          <w:color w:val="000000"/>
          <w:lang w:val="fr-FR"/>
        </w:rPr>
        <w:t>437,5; 12</w:t>
      </w:r>
      <w:r w:rsidRPr="00277E7C">
        <w:rPr>
          <w:color w:val="000000"/>
          <w:sz w:val="12"/>
          <w:lang w:val="fr-FR"/>
        </w:rPr>
        <w:t> </w:t>
      </w:r>
      <w:r w:rsidRPr="00277E7C">
        <w:rPr>
          <w:color w:val="000000"/>
          <w:lang w:val="fr-FR"/>
        </w:rPr>
        <w:t>577,5; 12</w:t>
      </w:r>
      <w:r w:rsidRPr="00277E7C">
        <w:rPr>
          <w:color w:val="000000"/>
          <w:sz w:val="12"/>
          <w:lang w:val="fr-FR"/>
        </w:rPr>
        <w:t> </w:t>
      </w:r>
      <w:r w:rsidRPr="00277E7C">
        <w:rPr>
          <w:color w:val="000000"/>
          <w:lang w:val="fr-FR"/>
        </w:rPr>
        <w:t>578; 12</w:t>
      </w:r>
      <w:r w:rsidRPr="00277E7C">
        <w:rPr>
          <w:color w:val="000000"/>
          <w:sz w:val="12"/>
          <w:lang w:val="fr-FR"/>
        </w:rPr>
        <w:t> </w:t>
      </w:r>
      <w:r w:rsidRPr="00277E7C">
        <w:rPr>
          <w:color w:val="000000"/>
          <w:lang w:val="fr-FR"/>
        </w:rPr>
        <w:t>578,5; 12</w:t>
      </w:r>
      <w:r w:rsidRPr="00277E7C">
        <w:rPr>
          <w:color w:val="000000"/>
          <w:sz w:val="12"/>
          <w:lang w:val="fr-FR"/>
        </w:rPr>
        <w:t> </w:t>
      </w:r>
      <w:r w:rsidRPr="00277E7C">
        <w:rPr>
          <w:color w:val="000000"/>
          <w:lang w:val="fr-FR"/>
        </w:rPr>
        <w:t>657; 12</w:t>
      </w:r>
      <w:r w:rsidRPr="00277E7C">
        <w:rPr>
          <w:color w:val="000000"/>
          <w:sz w:val="12"/>
          <w:lang w:val="fr-FR"/>
        </w:rPr>
        <w:t> </w:t>
      </w:r>
      <w:r w:rsidRPr="00277E7C">
        <w:rPr>
          <w:color w:val="000000"/>
          <w:lang w:val="fr-FR"/>
        </w:rPr>
        <w:t>657,5; 12</w:t>
      </w:r>
      <w:r w:rsidRPr="00277E7C">
        <w:rPr>
          <w:color w:val="000000"/>
          <w:sz w:val="12"/>
          <w:lang w:val="fr-FR"/>
        </w:rPr>
        <w:t> </w:t>
      </w:r>
      <w:r w:rsidRPr="00277E7C">
        <w:rPr>
          <w:color w:val="000000"/>
          <w:lang w:val="fr-FR"/>
        </w:rPr>
        <w:t>658; 16</w:t>
      </w:r>
      <w:r w:rsidRPr="00277E7C">
        <w:rPr>
          <w:color w:val="000000"/>
          <w:sz w:val="12"/>
          <w:lang w:val="fr-FR"/>
        </w:rPr>
        <w:t> </w:t>
      </w:r>
      <w:r w:rsidRPr="00277E7C">
        <w:rPr>
          <w:color w:val="000000"/>
          <w:lang w:val="fr-FR"/>
        </w:rPr>
        <w:t>805; 16</w:t>
      </w:r>
      <w:r w:rsidRPr="00277E7C">
        <w:rPr>
          <w:color w:val="000000"/>
          <w:sz w:val="12"/>
          <w:lang w:val="fr-FR"/>
        </w:rPr>
        <w:t> </w:t>
      </w:r>
      <w:r w:rsidRPr="00277E7C">
        <w:rPr>
          <w:color w:val="000000"/>
          <w:lang w:val="fr-FR"/>
        </w:rPr>
        <w:t>805,5; 16</w:t>
      </w:r>
      <w:r w:rsidRPr="00277E7C">
        <w:rPr>
          <w:color w:val="000000"/>
          <w:sz w:val="12"/>
          <w:lang w:val="fr-FR"/>
        </w:rPr>
        <w:t> </w:t>
      </w:r>
      <w:r w:rsidRPr="00277E7C">
        <w:rPr>
          <w:color w:val="000000"/>
          <w:lang w:val="fr-FR"/>
        </w:rPr>
        <w:t>806; 16</w:t>
      </w:r>
      <w:r w:rsidRPr="00277E7C">
        <w:rPr>
          <w:color w:val="000000"/>
          <w:sz w:val="12"/>
          <w:lang w:val="fr-FR"/>
        </w:rPr>
        <w:t> </w:t>
      </w:r>
      <w:r w:rsidRPr="00277E7C">
        <w:rPr>
          <w:color w:val="000000"/>
          <w:lang w:val="fr-FR"/>
        </w:rPr>
        <w:t>903; 16</w:t>
      </w:r>
      <w:r w:rsidRPr="00277E7C">
        <w:rPr>
          <w:color w:val="000000"/>
          <w:sz w:val="12"/>
          <w:lang w:val="fr-FR"/>
        </w:rPr>
        <w:t> </w:t>
      </w:r>
      <w:r w:rsidRPr="00277E7C">
        <w:rPr>
          <w:color w:val="000000"/>
          <w:lang w:val="fr-FR"/>
        </w:rPr>
        <w:t>903,5; 16</w:t>
      </w:r>
      <w:r w:rsidRPr="00277E7C">
        <w:rPr>
          <w:color w:val="000000"/>
          <w:sz w:val="12"/>
          <w:lang w:val="fr-FR"/>
        </w:rPr>
        <w:t> </w:t>
      </w:r>
      <w:r w:rsidRPr="00277E7C">
        <w:rPr>
          <w:color w:val="000000"/>
          <w:lang w:val="fr-FR"/>
        </w:rPr>
        <w:t>904; 18</w:t>
      </w:r>
      <w:r w:rsidRPr="00277E7C">
        <w:rPr>
          <w:color w:val="000000"/>
          <w:sz w:val="12"/>
          <w:lang w:val="fr-FR"/>
        </w:rPr>
        <w:t> </w:t>
      </w:r>
      <w:r w:rsidRPr="00277E7C">
        <w:rPr>
          <w:color w:val="000000"/>
          <w:lang w:val="fr-FR"/>
        </w:rPr>
        <w:t>898,5; 18</w:t>
      </w:r>
      <w:r w:rsidRPr="00277E7C">
        <w:rPr>
          <w:color w:val="000000"/>
          <w:sz w:val="12"/>
          <w:lang w:val="fr-FR"/>
        </w:rPr>
        <w:t> </w:t>
      </w:r>
      <w:r w:rsidRPr="00277E7C">
        <w:rPr>
          <w:color w:val="000000"/>
          <w:lang w:val="fr-FR"/>
        </w:rPr>
        <w:t>899; 18</w:t>
      </w:r>
      <w:r w:rsidRPr="00277E7C">
        <w:rPr>
          <w:color w:val="000000"/>
          <w:sz w:val="12"/>
          <w:lang w:val="fr-FR"/>
        </w:rPr>
        <w:t> </w:t>
      </w:r>
      <w:r w:rsidRPr="00277E7C">
        <w:rPr>
          <w:color w:val="000000"/>
          <w:lang w:val="fr-FR"/>
        </w:rPr>
        <w:t>899,5; 19</w:t>
      </w:r>
      <w:r w:rsidRPr="00277E7C">
        <w:rPr>
          <w:color w:val="000000"/>
          <w:sz w:val="12"/>
          <w:lang w:val="fr-FR"/>
        </w:rPr>
        <w:t> </w:t>
      </w:r>
      <w:r w:rsidRPr="00277E7C">
        <w:rPr>
          <w:color w:val="000000"/>
          <w:lang w:val="fr-FR"/>
        </w:rPr>
        <w:t>703,5; 19</w:t>
      </w:r>
      <w:r w:rsidRPr="00277E7C">
        <w:rPr>
          <w:color w:val="000000"/>
          <w:sz w:val="12"/>
          <w:lang w:val="fr-FR"/>
        </w:rPr>
        <w:t> </w:t>
      </w:r>
      <w:r w:rsidRPr="00277E7C">
        <w:rPr>
          <w:color w:val="000000"/>
          <w:lang w:val="fr-FR"/>
        </w:rPr>
        <w:t>704; 19</w:t>
      </w:r>
      <w:r w:rsidRPr="00277E7C">
        <w:rPr>
          <w:color w:val="000000"/>
          <w:sz w:val="12"/>
          <w:lang w:val="fr-FR"/>
        </w:rPr>
        <w:t> </w:t>
      </w:r>
      <w:r w:rsidRPr="00277E7C">
        <w:rPr>
          <w:color w:val="000000"/>
          <w:lang w:val="fr-FR"/>
        </w:rPr>
        <w:t>704,5; 22</w:t>
      </w:r>
      <w:r w:rsidRPr="00277E7C">
        <w:rPr>
          <w:color w:val="000000"/>
          <w:sz w:val="12"/>
          <w:lang w:val="fr-FR"/>
        </w:rPr>
        <w:t> </w:t>
      </w:r>
      <w:r w:rsidRPr="00277E7C">
        <w:rPr>
          <w:color w:val="000000"/>
          <w:lang w:val="fr-FR"/>
        </w:rPr>
        <w:t>374,5; 22</w:t>
      </w:r>
      <w:r w:rsidRPr="00277E7C">
        <w:rPr>
          <w:color w:val="000000"/>
          <w:sz w:val="12"/>
          <w:lang w:val="fr-FR"/>
        </w:rPr>
        <w:t> </w:t>
      </w:r>
      <w:r w:rsidRPr="00277E7C">
        <w:rPr>
          <w:color w:val="000000"/>
          <w:lang w:val="fr-FR"/>
        </w:rPr>
        <w:t>375; 22</w:t>
      </w:r>
      <w:r w:rsidRPr="00277E7C">
        <w:rPr>
          <w:color w:val="000000"/>
          <w:sz w:val="12"/>
          <w:lang w:val="fr-FR"/>
        </w:rPr>
        <w:t> </w:t>
      </w:r>
      <w:r w:rsidRPr="00277E7C">
        <w:rPr>
          <w:color w:val="000000"/>
          <w:lang w:val="fr-FR"/>
        </w:rPr>
        <w:t>375,5; 22</w:t>
      </w:r>
      <w:r w:rsidRPr="00277E7C">
        <w:rPr>
          <w:color w:val="000000"/>
          <w:sz w:val="12"/>
          <w:lang w:val="fr-FR"/>
        </w:rPr>
        <w:t> </w:t>
      </w:r>
      <w:r w:rsidRPr="00277E7C">
        <w:rPr>
          <w:color w:val="000000"/>
          <w:lang w:val="fr-FR"/>
        </w:rPr>
        <w:t>444; 22</w:t>
      </w:r>
      <w:r w:rsidRPr="00277E7C">
        <w:rPr>
          <w:color w:val="000000"/>
          <w:sz w:val="12"/>
          <w:lang w:val="fr-FR"/>
        </w:rPr>
        <w:t> </w:t>
      </w:r>
      <w:r w:rsidRPr="00277E7C">
        <w:rPr>
          <w:color w:val="000000"/>
          <w:lang w:val="fr-FR"/>
        </w:rPr>
        <w:t>444,5; 22</w:t>
      </w:r>
      <w:r w:rsidRPr="00277E7C">
        <w:rPr>
          <w:color w:val="000000"/>
          <w:sz w:val="12"/>
          <w:lang w:val="fr-FR"/>
        </w:rPr>
        <w:t> </w:t>
      </w:r>
      <w:r w:rsidRPr="00277E7C">
        <w:rPr>
          <w:color w:val="000000"/>
          <w:lang w:val="fr-FR"/>
        </w:rPr>
        <w:t>445; 25</w:t>
      </w:r>
      <w:r w:rsidRPr="00277E7C">
        <w:rPr>
          <w:color w:val="000000"/>
          <w:sz w:val="12"/>
          <w:lang w:val="fr-FR"/>
        </w:rPr>
        <w:t> </w:t>
      </w:r>
      <w:r w:rsidRPr="00277E7C">
        <w:rPr>
          <w:color w:val="000000"/>
          <w:lang w:val="fr-FR"/>
        </w:rPr>
        <w:t>208,5; 25</w:t>
      </w:r>
      <w:r w:rsidRPr="00277E7C">
        <w:rPr>
          <w:color w:val="000000"/>
          <w:sz w:val="12"/>
          <w:lang w:val="fr-FR"/>
        </w:rPr>
        <w:t> </w:t>
      </w:r>
      <w:r w:rsidRPr="00277E7C">
        <w:rPr>
          <w:color w:val="000000"/>
          <w:lang w:val="fr-FR"/>
        </w:rPr>
        <w:t>209; 25</w:t>
      </w:r>
      <w:r w:rsidRPr="00277E7C">
        <w:rPr>
          <w:color w:val="000000"/>
          <w:sz w:val="12"/>
          <w:lang w:val="fr-FR"/>
        </w:rPr>
        <w:t> </w:t>
      </w:r>
      <w:r w:rsidRPr="00277E7C">
        <w:rPr>
          <w:color w:val="000000"/>
          <w:lang w:val="fr-FR"/>
        </w:rPr>
        <w:t>209,5; 26</w:t>
      </w:r>
      <w:r w:rsidRPr="00277E7C">
        <w:rPr>
          <w:color w:val="000000"/>
          <w:sz w:val="12"/>
          <w:lang w:val="fr-FR"/>
        </w:rPr>
        <w:t> </w:t>
      </w:r>
      <w:r w:rsidRPr="00277E7C">
        <w:rPr>
          <w:color w:val="000000"/>
          <w:lang w:val="fr-FR"/>
        </w:rPr>
        <w:t>121; 26</w:t>
      </w:r>
      <w:r w:rsidRPr="00277E7C">
        <w:rPr>
          <w:color w:val="000000"/>
          <w:sz w:val="12"/>
          <w:lang w:val="fr-FR"/>
        </w:rPr>
        <w:t> </w:t>
      </w:r>
      <w:r w:rsidRPr="00277E7C">
        <w:rPr>
          <w:color w:val="000000"/>
          <w:lang w:val="fr-FR"/>
        </w:rPr>
        <w:t>121,5 et</w:t>
      </w:r>
      <w:r w:rsidR="00910E82" w:rsidRPr="00277E7C">
        <w:rPr>
          <w:color w:val="000000"/>
          <w:lang w:val="fr-FR"/>
        </w:rPr>
        <w:t> </w:t>
      </w:r>
      <w:r w:rsidRPr="00277E7C">
        <w:rPr>
          <w:color w:val="000000"/>
          <w:lang w:val="fr-FR"/>
        </w:rPr>
        <w:t>26</w:t>
      </w:r>
      <w:r w:rsidRPr="00277E7C">
        <w:rPr>
          <w:color w:val="000000"/>
          <w:sz w:val="12"/>
          <w:lang w:val="fr-FR"/>
        </w:rPr>
        <w:t> </w:t>
      </w:r>
      <w:r w:rsidRPr="00277E7C">
        <w:rPr>
          <w:color w:val="000000"/>
          <w:lang w:val="fr-FR"/>
        </w:rPr>
        <w:t>122 kHz);</w:t>
      </w:r>
    </w:p>
    <w:p w14:paraId="78186F1B" w14:textId="28F23BAA" w:rsidR="00B461E3" w:rsidRPr="00B461E3" w:rsidRDefault="00B461E3" w:rsidP="00B461E3">
      <w:pPr>
        <w:pStyle w:val="enumlev1"/>
        <w:rPr>
          <w:lang w:val="fr-FR"/>
        </w:rPr>
      </w:pPr>
      <w:r w:rsidRPr="00B461E3">
        <w:rPr>
          <w:lang w:val="fr-FR"/>
        </w:rPr>
        <w:t>–</w:t>
      </w:r>
      <w:r w:rsidRPr="00B461E3">
        <w:rPr>
          <w:lang w:val="fr-FR"/>
        </w:rPr>
        <w:tab/>
        <w:t>fréquences internationales pour le système de connexion automatique (ACS) utilisant l'appel sélectif numérique des stations de navire et des stations côtières (2 174,5; 4 177,5; 6</w:t>
      </w:r>
      <w:r>
        <w:rPr>
          <w:lang w:val="fr-FR"/>
        </w:rPr>
        <w:t> </w:t>
      </w:r>
      <w:r w:rsidRPr="00B461E3">
        <w:rPr>
          <w:lang w:val="fr-FR"/>
        </w:rPr>
        <w:t>268; 8 376,5; 12 520 et 16 695 kHz);</w:t>
      </w:r>
    </w:p>
    <w:p w14:paraId="26DA79AE" w14:textId="77777777" w:rsidR="00014F87" w:rsidRPr="00277E7C" w:rsidRDefault="00014F87" w:rsidP="00014F87">
      <w:pPr>
        <w:pStyle w:val="enumlev1"/>
        <w:rPr>
          <w:color w:val="000000"/>
          <w:lang w:val="fr-FR"/>
        </w:rPr>
      </w:pPr>
      <w:r w:rsidRPr="00277E7C">
        <w:rPr>
          <w:color w:val="000000"/>
          <w:lang w:val="fr-FR"/>
        </w:rPr>
        <w:t>–</w:t>
      </w:r>
      <w:r w:rsidRPr="00277E7C">
        <w:rPr>
          <w:color w:val="000000"/>
          <w:lang w:val="fr-FR"/>
        </w:rPr>
        <w:tab/>
        <w:t>fréquences internationales pour les appels radiotéléphoniques (4</w:t>
      </w:r>
      <w:r w:rsidRPr="00277E7C">
        <w:rPr>
          <w:color w:val="000000"/>
          <w:sz w:val="12"/>
          <w:lang w:val="fr-FR"/>
        </w:rPr>
        <w:t> </w:t>
      </w:r>
      <w:r w:rsidRPr="00277E7C">
        <w:rPr>
          <w:color w:val="000000"/>
          <w:lang w:val="fr-FR"/>
        </w:rPr>
        <w:t>125, 4</w:t>
      </w:r>
      <w:r w:rsidRPr="00277E7C">
        <w:rPr>
          <w:color w:val="000000"/>
          <w:sz w:val="12"/>
          <w:lang w:val="fr-FR"/>
        </w:rPr>
        <w:t> </w:t>
      </w:r>
      <w:r w:rsidRPr="00277E7C">
        <w:rPr>
          <w:color w:val="000000"/>
          <w:lang w:val="fr-FR"/>
        </w:rPr>
        <w:t>417, 6</w:t>
      </w:r>
      <w:r w:rsidRPr="00277E7C">
        <w:rPr>
          <w:color w:val="000000"/>
          <w:sz w:val="12"/>
          <w:lang w:val="fr-FR"/>
        </w:rPr>
        <w:t> </w:t>
      </w:r>
      <w:r w:rsidRPr="00277E7C">
        <w:rPr>
          <w:color w:val="000000"/>
          <w:lang w:val="fr-FR"/>
        </w:rPr>
        <w:t>215, 6</w:t>
      </w:r>
      <w:r w:rsidRPr="00277E7C">
        <w:rPr>
          <w:color w:val="000000"/>
          <w:sz w:val="12"/>
          <w:lang w:val="fr-FR"/>
        </w:rPr>
        <w:t> </w:t>
      </w:r>
      <w:r w:rsidRPr="00277E7C">
        <w:rPr>
          <w:color w:val="000000"/>
          <w:lang w:val="fr-FR"/>
        </w:rPr>
        <w:t>516, 8</w:t>
      </w:r>
      <w:r w:rsidRPr="00277E7C">
        <w:rPr>
          <w:color w:val="000000"/>
          <w:sz w:val="12"/>
          <w:lang w:val="fr-FR"/>
        </w:rPr>
        <w:t> </w:t>
      </w:r>
      <w:r w:rsidRPr="00277E7C">
        <w:rPr>
          <w:color w:val="000000"/>
          <w:lang w:val="fr-FR"/>
        </w:rPr>
        <w:t>255, 8</w:t>
      </w:r>
      <w:r w:rsidRPr="00277E7C">
        <w:rPr>
          <w:color w:val="000000"/>
          <w:sz w:val="12"/>
          <w:lang w:val="fr-FR"/>
        </w:rPr>
        <w:t> </w:t>
      </w:r>
      <w:r w:rsidRPr="00277E7C">
        <w:rPr>
          <w:color w:val="000000"/>
          <w:lang w:val="fr-FR"/>
        </w:rPr>
        <w:t>779, 12</w:t>
      </w:r>
      <w:r w:rsidRPr="00277E7C">
        <w:rPr>
          <w:color w:val="000000"/>
          <w:sz w:val="12"/>
          <w:lang w:val="fr-FR"/>
        </w:rPr>
        <w:t> </w:t>
      </w:r>
      <w:r w:rsidRPr="00277E7C">
        <w:rPr>
          <w:color w:val="000000"/>
          <w:lang w:val="fr-FR"/>
        </w:rPr>
        <w:t>290, 12</w:t>
      </w:r>
      <w:r w:rsidRPr="00277E7C">
        <w:rPr>
          <w:color w:val="000000"/>
          <w:sz w:val="12"/>
          <w:lang w:val="fr-FR"/>
        </w:rPr>
        <w:t> </w:t>
      </w:r>
      <w:r w:rsidRPr="00277E7C">
        <w:rPr>
          <w:color w:val="000000"/>
          <w:lang w:val="fr-FR"/>
        </w:rPr>
        <w:t>359, 13</w:t>
      </w:r>
      <w:r w:rsidRPr="00277E7C">
        <w:rPr>
          <w:color w:val="000000"/>
          <w:sz w:val="12"/>
          <w:lang w:val="fr-FR"/>
        </w:rPr>
        <w:t> </w:t>
      </w:r>
      <w:r w:rsidRPr="00277E7C">
        <w:rPr>
          <w:color w:val="000000"/>
          <w:lang w:val="fr-FR"/>
        </w:rPr>
        <w:t>137, 16</w:t>
      </w:r>
      <w:r w:rsidRPr="00277E7C">
        <w:rPr>
          <w:color w:val="000000"/>
          <w:sz w:val="12"/>
          <w:lang w:val="fr-FR"/>
        </w:rPr>
        <w:t> </w:t>
      </w:r>
      <w:r w:rsidRPr="00277E7C">
        <w:rPr>
          <w:color w:val="000000"/>
          <w:lang w:val="fr-FR"/>
        </w:rPr>
        <w:t>420, 16</w:t>
      </w:r>
      <w:r w:rsidRPr="00277E7C">
        <w:rPr>
          <w:rFonts w:ascii="Tms Rmn" w:hAnsi="Tms Rmn"/>
          <w:color w:val="000000"/>
          <w:sz w:val="12"/>
          <w:lang w:val="fr-FR"/>
        </w:rPr>
        <w:t> </w:t>
      </w:r>
      <w:r w:rsidRPr="00277E7C">
        <w:rPr>
          <w:color w:val="000000"/>
          <w:lang w:val="fr-FR"/>
        </w:rPr>
        <w:t>537, 17</w:t>
      </w:r>
      <w:r w:rsidRPr="00277E7C">
        <w:rPr>
          <w:color w:val="000000"/>
          <w:sz w:val="12"/>
          <w:lang w:val="fr-FR"/>
        </w:rPr>
        <w:t> </w:t>
      </w:r>
      <w:r w:rsidRPr="00277E7C">
        <w:rPr>
          <w:color w:val="000000"/>
          <w:lang w:val="fr-FR"/>
        </w:rPr>
        <w:t>302, 18</w:t>
      </w:r>
      <w:r w:rsidRPr="00277E7C">
        <w:rPr>
          <w:color w:val="000000"/>
          <w:sz w:val="12"/>
          <w:lang w:val="fr-FR"/>
        </w:rPr>
        <w:t> </w:t>
      </w:r>
      <w:r w:rsidRPr="00277E7C">
        <w:rPr>
          <w:color w:val="000000"/>
          <w:lang w:val="fr-FR"/>
        </w:rPr>
        <w:t>795, 19</w:t>
      </w:r>
      <w:r w:rsidRPr="00277E7C">
        <w:rPr>
          <w:color w:val="000000"/>
          <w:sz w:val="12"/>
          <w:lang w:val="fr-FR"/>
        </w:rPr>
        <w:t> </w:t>
      </w:r>
      <w:r w:rsidRPr="00277E7C">
        <w:rPr>
          <w:color w:val="000000"/>
          <w:lang w:val="fr-FR"/>
        </w:rPr>
        <w:t>770, 22</w:t>
      </w:r>
      <w:r w:rsidRPr="00277E7C">
        <w:rPr>
          <w:color w:val="000000"/>
          <w:sz w:val="12"/>
          <w:lang w:val="fr-FR"/>
        </w:rPr>
        <w:t> </w:t>
      </w:r>
      <w:r w:rsidRPr="00277E7C">
        <w:rPr>
          <w:color w:val="000000"/>
          <w:lang w:val="fr-FR"/>
        </w:rPr>
        <w:t>060, 22</w:t>
      </w:r>
      <w:r w:rsidRPr="00277E7C">
        <w:rPr>
          <w:color w:val="000000"/>
          <w:sz w:val="12"/>
          <w:lang w:val="fr-FR"/>
        </w:rPr>
        <w:t> </w:t>
      </w:r>
      <w:r w:rsidRPr="00277E7C">
        <w:rPr>
          <w:color w:val="000000"/>
          <w:lang w:val="fr-FR"/>
        </w:rPr>
        <w:t>756, 25</w:t>
      </w:r>
      <w:r w:rsidRPr="00277E7C">
        <w:rPr>
          <w:color w:val="000000"/>
          <w:sz w:val="12"/>
          <w:lang w:val="fr-FR"/>
        </w:rPr>
        <w:t> </w:t>
      </w:r>
      <w:r w:rsidRPr="00277E7C">
        <w:rPr>
          <w:color w:val="000000"/>
          <w:lang w:val="fr-FR"/>
        </w:rPr>
        <w:t>097 et 26</w:t>
      </w:r>
      <w:r w:rsidRPr="00277E7C">
        <w:rPr>
          <w:color w:val="000000"/>
          <w:sz w:val="12"/>
          <w:lang w:val="fr-FR"/>
        </w:rPr>
        <w:t> </w:t>
      </w:r>
      <w:r w:rsidRPr="00277E7C">
        <w:rPr>
          <w:color w:val="000000"/>
          <w:lang w:val="fr-FR"/>
        </w:rPr>
        <w:t>172 kHz);</w:t>
      </w:r>
    </w:p>
    <w:p w14:paraId="267AD9F6" w14:textId="77777777" w:rsidR="00014F87" w:rsidRPr="00277E7C" w:rsidRDefault="00014F87" w:rsidP="00014F87">
      <w:pPr>
        <w:pStyle w:val="enumlev1"/>
        <w:rPr>
          <w:color w:val="000000"/>
          <w:lang w:val="fr-FR"/>
        </w:rPr>
      </w:pPr>
      <w:r w:rsidRPr="00277E7C">
        <w:rPr>
          <w:color w:val="000000"/>
          <w:lang w:val="fr-FR"/>
        </w:rPr>
        <w:t>–</w:t>
      </w:r>
      <w:r w:rsidRPr="00277E7C">
        <w:rPr>
          <w:color w:val="000000"/>
          <w:lang w:val="fr-FR"/>
        </w:rPr>
        <w:tab/>
        <w:t>fréquences internationales de travail navire-côtière ou navire-navire (2</w:t>
      </w:r>
      <w:r w:rsidRPr="00277E7C">
        <w:rPr>
          <w:color w:val="000000"/>
          <w:sz w:val="12"/>
          <w:lang w:val="fr-FR"/>
        </w:rPr>
        <w:t> </w:t>
      </w:r>
      <w:r w:rsidRPr="00277E7C">
        <w:rPr>
          <w:color w:val="000000"/>
          <w:lang w:val="fr-FR"/>
        </w:rPr>
        <w:t>045, 2</w:t>
      </w:r>
      <w:r w:rsidRPr="00277E7C">
        <w:rPr>
          <w:color w:val="000000"/>
          <w:sz w:val="12"/>
          <w:lang w:val="fr-FR"/>
        </w:rPr>
        <w:t> </w:t>
      </w:r>
      <w:r w:rsidRPr="00277E7C">
        <w:rPr>
          <w:color w:val="000000"/>
          <w:lang w:val="fr-FR"/>
        </w:rPr>
        <w:t>048, 2</w:t>
      </w:r>
      <w:r w:rsidRPr="00277E7C">
        <w:rPr>
          <w:color w:val="000000"/>
          <w:sz w:val="12"/>
          <w:lang w:val="fr-FR"/>
        </w:rPr>
        <w:t> </w:t>
      </w:r>
      <w:r w:rsidRPr="00277E7C">
        <w:rPr>
          <w:color w:val="000000"/>
          <w:lang w:val="fr-FR"/>
        </w:rPr>
        <w:t>635 et 2</w:t>
      </w:r>
      <w:r w:rsidRPr="00277E7C">
        <w:rPr>
          <w:color w:val="000000"/>
          <w:sz w:val="12"/>
          <w:lang w:val="fr-FR"/>
        </w:rPr>
        <w:t> </w:t>
      </w:r>
      <w:r w:rsidRPr="00277E7C">
        <w:rPr>
          <w:color w:val="000000"/>
          <w:lang w:val="fr-FR"/>
        </w:rPr>
        <w:t>638 kHz);</w:t>
      </w:r>
    </w:p>
    <w:p w14:paraId="0B91E3FD" w14:textId="77777777" w:rsidR="00B461E3" w:rsidRDefault="00B461E3" w:rsidP="00014F87">
      <w:pPr>
        <w:pStyle w:val="enumlev1"/>
        <w:rPr>
          <w:color w:val="000000"/>
          <w:lang w:val="fr-FR"/>
        </w:rPr>
      </w:pPr>
    </w:p>
    <w:p w14:paraId="38EB463E" w14:textId="77777777" w:rsidR="00B461E3" w:rsidRDefault="00B461E3" w:rsidP="00014F87">
      <w:pPr>
        <w:pStyle w:val="enumlev1"/>
        <w:rPr>
          <w:color w:val="000000"/>
          <w:lang w:val="fr-FR"/>
        </w:rPr>
        <w:sectPr w:rsidR="00B461E3" w:rsidSect="00526050">
          <w:headerReference w:type="even" r:id="rId8"/>
          <w:headerReference w:type="default" r:id="rId9"/>
          <w:footnotePr>
            <w:pos w:val="beneathText"/>
          </w:footnotePr>
          <w:pgSz w:w="11907" w:h="16840" w:code="9"/>
          <w:pgMar w:top="1701" w:right="851" w:bottom="1134" w:left="1985" w:header="720" w:footer="482" w:gutter="0"/>
          <w:cols w:space="720"/>
          <w:vAlign w:val="both"/>
          <w:docGrid w:linePitch="326"/>
        </w:sectPr>
      </w:pPr>
    </w:p>
    <w:p w14:paraId="2831F5E4" w14:textId="312E8592" w:rsidR="00014F87" w:rsidRPr="00277E7C" w:rsidRDefault="00014F87" w:rsidP="00014F87">
      <w:pPr>
        <w:pStyle w:val="enumlev1"/>
        <w:rPr>
          <w:color w:val="000000"/>
          <w:lang w:val="fr-FR"/>
        </w:rPr>
      </w:pPr>
      <w:r w:rsidRPr="00277E7C">
        <w:rPr>
          <w:color w:val="000000"/>
          <w:lang w:val="fr-FR"/>
        </w:rPr>
        <w:lastRenderedPageBreak/>
        <w:t>–</w:t>
      </w:r>
      <w:r w:rsidRPr="00277E7C">
        <w:rPr>
          <w:color w:val="000000"/>
          <w:lang w:val="fr-FR"/>
        </w:rPr>
        <w:tab/>
        <w:t>fréquence mondiale de 410 kHz pour la radiogoniométrie dans les services de radio</w:t>
      </w:r>
      <w:r w:rsidR="00910E82" w:rsidRPr="00277E7C">
        <w:rPr>
          <w:color w:val="000000"/>
          <w:lang w:val="fr-FR"/>
        </w:rPr>
        <w:softHyphen/>
      </w:r>
      <w:r w:rsidRPr="00277E7C">
        <w:rPr>
          <w:color w:val="000000"/>
          <w:lang w:val="fr-FR"/>
        </w:rPr>
        <w:t>navigation maritime;</w:t>
      </w:r>
    </w:p>
    <w:p w14:paraId="1FB2F7F5" w14:textId="77777777" w:rsidR="00014F87" w:rsidRPr="00277E7C" w:rsidRDefault="00014F87" w:rsidP="00910E82">
      <w:pPr>
        <w:pStyle w:val="enumlev1"/>
        <w:rPr>
          <w:lang w:val="fr-FR"/>
        </w:rPr>
      </w:pPr>
      <w:r w:rsidRPr="00277E7C">
        <w:rPr>
          <w:lang w:val="fr-FR"/>
        </w:rPr>
        <w:t>–</w:t>
      </w:r>
      <w:r w:rsidRPr="00277E7C">
        <w:rPr>
          <w:lang w:val="fr-FR"/>
        </w:rPr>
        <w:tab/>
        <w:t>fréquence mondiale de 75 MHz assignée aux radiobornes aéronautiques.</w:t>
      </w:r>
    </w:p>
    <w:p w14:paraId="2FDF3A76" w14:textId="77777777" w:rsidR="00014F87" w:rsidRPr="00277E7C" w:rsidRDefault="00014F87" w:rsidP="00014F87">
      <w:pPr>
        <w:rPr>
          <w:color w:val="000000"/>
          <w:lang w:val="fr-FR"/>
        </w:rPr>
      </w:pPr>
      <w:r w:rsidRPr="00277E7C">
        <w:rPr>
          <w:color w:val="000000"/>
          <w:lang w:val="fr-FR"/>
        </w:rPr>
        <w:t>3</w:t>
      </w:r>
      <w:r w:rsidRPr="00277E7C">
        <w:rPr>
          <w:color w:val="000000"/>
          <w:lang w:val="fr-FR"/>
        </w:rPr>
        <w:tab/>
        <w:t xml:space="preserve">Si ces fréquences sont utilisées par d'autres services et/ou à de fins autres que celles spécifiées dans le Règlement des radiocommunications, elles devraient être notifiées au titre des dispositions pertinentes de l'Article </w:t>
      </w:r>
      <w:r w:rsidRPr="00277E7C">
        <w:rPr>
          <w:rStyle w:val="Artref0"/>
          <w:b/>
          <w:color w:val="000000"/>
          <w:lang w:val="fr-FR"/>
        </w:rPr>
        <w:t>11</w:t>
      </w:r>
      <w:r w:rsidRPr="00277E7C">
        <w:rPr>
          <w:color w:val="000000"/>
          <w:lang w:val="fr-FR"/>
        </w:rPr>
        <w:t xml:space="preserve"> et, dans certains cas, au titre des dispositions du numéro </w:t>
      </w:r>
      <w:r w:rsidRPr="00277E7C">
        <w:rPr>
          <w:rStyle w:val="Artref0"/>
          <w:b/>
          <w:color w:val="000000"/>
          <w:lang w:val="fr-FR"/>
        </w:rPr>
        <w:t>4.4</w:t>
      </w:r>
      <w:r w:rsidRPr="00277E7C">
        <w:rPr>
          <w:color w:val="000000"/>
          <w:lang w:val="fr-FR"/>
        </w:rPr>
        <w:t>.</w:t>
      </w:r>
    </w:p>
    <w:p w14:paraId="21D28D25" w14:textId="77777777" w:rsidR="00CB0787" w:rsidRPr="00277E7C" w:rsidRDefault="00CB0787">
      <w:pPr>
        <w:pStyle w:val="Heading8"/>
        <w:rPr>
          <w:color w:val="000000"/>
          <w:lang w:val="fr-FR"/>
        </w:rPr>
      </w:pPr>
      <w:r w:rsidRPr="00277E7C">
        <w:rPr>
          <w:color w:val="000000"/>
          <w:lang w:val="fr-FR"/>
        </w:rPr>
        <w:t>11.14</w:t>
      </w:r>
    </w:p>
    <w:p w14:paraId="5EA9C7C7" w14:textId="77777777" w:rsidR="00667361" w:rsidRPr="00277E7C" w:rsidRDefault="00667361" w:rsidP="00892AB5">
      <w:pPr>
        <w:rPr>
          <w:color w:val="000000"/>
          <w:lang w:val="fr-FR"/>
        </w:rPr>
      </w:pPr>
      <w:r w:rsidRPr="00277E7C">
        <w:rPr>
          <w:color w:val="000000"/>
          <w:lang w:val="fr-FR"/>
        </w:rPr>
        <w:t>1</w:t>
      </w:r>
      <w:r w:rsidRPr="00277E7C">
        <w:rPr>
          <w:color w:val="000000"/>
          <w:lang w:val="fr-FR"/>
        </w:rPr>
        <w:tab/>
        <w:t>Cette disposition prévoit notamment que les assignations de fréquence aux stations de navire et aux stations mobiles d'autres services ne sont pas notifiées aux termes de l'Article </w:t>
      </w:r>
      <w:r w:rsidRPr="00277E7C">
        <w:rPr>
          <w:rStyle w:val="Artref0"/>
          <w:b/>
          <w:color w:val="000000"/>
          <w:lang w:val="fr-FR"/>
        </w:rPr>
        <w:t>11</w:t>
      </w:r>
      <w:r w:rsidRPr="00277E7C">
        <w:rPr>
          <w:color w:val="000000"/>
          <w:lang w:val="fr-FR"/>
        </w:rPr>
        <w:t xml:space="preserve">. Par ailleurs, les dispositions du numéro </w:t>
      </w:r>
      <w:r w:rsidRPr="00277E7C">
        <w:rPr>
          <w:rStyle w:val="Artref0"/>
          <w:b/>
          <w:color w:val="000000"/>
          <w:lang w:val="fr-FR"/>
        </w:rPr>
        <w:t>11.2</w:t>
      </w:r>
      <w:r w:rsidRPr="00277E7C">
        <w:rPr>
          <w:color w:val="000000"/>
          <w:lang w:val="fr-FR"/>
        </w:rPr>
        <w:t xml:space="preserve"> précisent les conditions dans lesquelles les stations de réception doivent être notifiées au Bureau. De même, les dispositions du numéro </w:t>
      </w:r>
      <w:r w:rsidRPr="00277E7C">
        <w:rPr>
          <w:rStyle w:val="Artref0"/>
          <w:b/>
          <w:color w:val="000000"/>
          <w:lang w:val="fr-FR"/>
        </w:rPr>
        <w:t>11.9</w:t>
      </w:r>
      <w:r w:rsidRPr="00277E7C">
        <w:rPr>
          <w:color w:val="000000"/>
          <w:lang w:val="fr-FR"/>
        </w:rPr>
        <w:t xml:space="preserve"> indiquent les conditions dans lesquelles une station terrestre de réception des émissions de stations mobiles doit être notifiée au Bureau. Après avoir regroupé les conditions prescrites dans toutes ces dispositions, le Comité a conclu que les catégories suivantes ne devaient pas être notifiées au Bureau:</w:t>
      </w:r>
    </w:p>
    <w:p w14:paraId="3261F470" w14:textId="77777777" w:rsidR="00667361" w:rsidRPr="00277E7C" w:rsidRDefault="00667361" w:rsidP="00D20D54">
      <w:pPr>
        <w:pStyle w:val="enumlev1"/>
        <w:spacing w:before="100"/>
        <w:rPr>
          <w:color w:val="000000"/>
          <w:lang w:val="fr-FR"/>
        </w:rPr>
      </w:pPr>
      <w:r w:rsidRPr="00277E7C">
        <w:rPr>
          <w:color w:val="000000"/>
          <w:lang w:val="fr-FR"/>
        </w:rPr>
        <w:t>–</w:t>
      </w:r>
      <w:r w:rsidRPr="00277E7C">
        <w:rPr>
          <w:color w:val="000000"/>
          <w:lang w:val="fr-FR"/>
        </w:rPr>
        <w:tab/>
        <w:t>fréquences mondiales utilisables par les stations radiotéléphoniques à bande latérale unique (BLU) de navire et côtières pour exploitation simplex (voies à une fréquence) et exploitation à bandes croisées entre navires (deux fréquences) (fréquences indiquées dans la Partie B, Section</w:t>
      </w:r>
      <w:r w:rsidR="00D20D54" w:rsidRPr="00277E7C">
        <w:rPr>
          <w:color w:val="000000"/>
          <w:lang w:val="fr-FR"/>
        </w:rPr>
        <w:t> </w:t>
      </w:r>
      <w:r w:rsidRPr="00277E7C">
        <w:rPr>
          <w:color w:val="000000"/>
          <w:lang w:val="fr-FR"/>
        </w:rPr>
        <w:t>I, Sous</w:t>
      </w:r>
      <w:r w:rsidR="00D20D54" w:rsidRPr="00277E7C">
        <w:rPr>
          <w:color w:val="000000"/>
          <w:lang w:val="fr-FR"/>
        </w:rPr>
        <w:noBreakHyphen/>
      </w:r>
      <w:r w:rsidRPr="00277E7C">
        <w:rPr>
          <w:color w:val="000000"/>
          <w:lang w:val="fr-FR"/>
        </w:rPr>
        <w:t>section</w:t>
      </w:r>
      <w:r w:rsidR="00D20D54" w:rsidRPr="00277E7C">
        <w:rPr>
          <w:color w:val="000000"/>
          <w:lang w:val="fr-FR"/>
        </w:rPr>
        <w:t> </w:t>
      </w:r>
      <w:r w:rsidRPr="00277E7C">
        <w:rPr>
          <w:color w:val="000000"/>
          <w:lang w:val="fr-FR"/>
        </w:rPr>
        <w:t>B de l'Appendice </w:t>
      </w:r>
      <w:r w:rsidRPr="00277E7C">
        <w:rPr>
          <w:rStyle w:val="Appref"/>
          <w:b/>
          <w:color w:val="000000"/>
          <w:lang w:val="fr-FR"/>
        </w:rPr>
        <w:t>17</w:t>
      </w:r>
      <w:r w:rsidRPr="00277E7C">
        <w:rPr>
          <w:color w:val="000000"/>
          <w:lang w:val="fr-FR"/>
        </w:rPr>
        <w:t>);</w:t>
      </w:r>
    </w:p>
    <w:p w14:paraId="72EB29AD" w14:textId="77777777" w:rsidR="00667361" w:rsidRPr="00277E7C" w:rsidRDefault="00667361" w:rsidP="00EE2E03">
      <w:pPr>
        <w:pStyle w:val="enumlev1"/>
        <w:spacing w:before="100"/>
        <w:rPr>
          <w:color w:val="000000"/>
          <w:lang w:val="fr-FR"/>
        </w:rPr>
      </w:pPr>
      <w:r w:rsidRPr="00277E7C">
        <w:rPr>
          <w:color w:val="000000"/>
          <w:lang w:val="fr-FR"/>
        </w:rPr>
        <w:t>–</w:t>
      </w:r>
      <w:r w:rsidRPr="00277E7C">
        <w:rPr>
          <w:color w:val="000000"/>
          <w:lang w:val="fr-FR"/>
        </w:rPr>
        <w:tab/>
        <w:t>fréquences mondiales de travail pour les stations de navire équipées de systèmes de télé</w:t>
      </w:r>
      <w:r w:rsidR="00D20D54" w:rsidRPr="00277E7C">
        <w:rPr>
          <w:color w:val="000000"/>
          <w:lang w:val="fr-FR"/>
        </w:rPr>
        <w:softHyphen/>
      </w:r>
      <w:r w:rsidRPr="00277E7C">
        <w:rPr>
          <w:color w:val="000000"/>
          <w:lang w:val="fr-FR"/>
        </w:rPr>
        <w:t>graphie IDBE et de transmission de données sur une base non appariée (fréquences indiquées dans la Partie B, Section III de l'Appendice </w:t>
      </w:r>
      <w:r w:rsidRPr="00277E7C">
        <w:rPr>
          <w:rStyle w:val="Appref"/>
          <w:b/>
          <w:color w:val="000000"/>
          <w:lang w:val="fr-FR"/>
        </w:rPr>
        <w:t>17</w:t>
      </w:r>
      <w:r w:rsidR="00D94BB4">
        <w:rPr>
          <w:color w:val="000000"/>
          <w:lang w:val="fr-FR"/>
        </w:rPr>
        <w:t>).</w:t>
      </w:r>
    </w:p>
    <w:p w14:paraId="42AACC81" w14:textId="77777777" w:rsidR="00667361" w:rsidRPr="00277E7C" w:rsidRDefault="00667361" w:rsidP="00D20D54">
      <w:pPr>
        <w:rPr>
          <w:color w:val="000000"/>
          <w:lang w:val="fr-FR"/>
        </w:rPr>
      </w:pPr>
      <w:r w:rsidRPr="00277E7C">
        <w:rPr>
          <w:color w:val="000000"/>
          <w:lang w:val="fr-FR"/>
        </w:rPr>
        <w:t>2</w:t>
      </w:r>
      <w:r w:rsidRPr="00277E7C">
        <w:rPr>
          <w:color w:val="000000"/>
          <w:lang w:val="fr-FR"/>
        </w:rPr>
        <w:tab/>
        <w:t>Si les fréquences mentionnées au § 1 ci-dessus sont utilisées par d'autres services et/ou à des fins autres que celles spécifiées dans le Règlement des radiocommunications, elles doivent être notifiées au titre des dispositions pertinentes de l'Article</w:t>
      </w:r>
      <w:r w:rsidR="00D20D54" w:rsidRPr="00277E7C">
        <w:rPr>
          <w:color w:val="000000"/>
          <w:lang w:val="fr-FR"/>
        </w:rPr>
        <w:t xml:space="preserve"> </w:t>
      </w:r>
      <w:r w:rsidRPr="00277E7C">
        <w:rPr>
          <w:rStyle w:val="Artref0"/>
          <w:b/>
          <w:color w:val="000000"/>
          <w:lang w:val="fr-FR"/>
        </w:rPr>
        <w:t>11</w:t>
      </w:r>
      <w:r w:rsidRPr="00277E7C">
        <w:rPr>
          <w:color w:val="000000"/>
          <w:lang w:val="fr-FR"/>
        </w:rPr>
        <w:t xml:space="preserve"> et, dans certains cas, au titre des dispositions du numéro </w:t>
      </w:r>
      <w:r w:rsidRPr="00277E7C">
        <w:rPr>
          <w:rStyle w:val="Artref0"/>
          <w:b/>
          <w:color w:val="000000"/>
          <w:lang w:val="fr-FR"/>
        </w:rPr>
        <w:t>4.4</w:t>
      </w:r>
      <w:r w:rsidRPr="00277E7C">
        <w:rPr>
          <w:color w:val="000000"/>
          <w:lang w:val="fr-FR"/>
        </w:rPr>
        <w:t>.</w:t>
      </w:r>
    </w:p>
    <w:p w14:paraId="12900398" w14:textId="77777777" w:rsidR="00093869" w:rsidRDefault="00093869" w:rsidP="00D20D54">
      <w:pPr>
        <w:overflowPunct/>
        <w:textAlignment w:val="auto"/>
        <w:rPr>
          <w:color w:val="000000"/>
          <w:lang w:val="fr-FR"/>
        </w:rPr>
      </w:pPr>
      <w:r>
        <w:rPr>
          <w:color w:val="000000"/>
          <w:lang w:val="fr-FR"/>
        </w:rPr>
        <w:br w:type="page"/>
      </w:r>
    </w:p>
    <w:p w14:paraId="6362560A" w14:textId="4348AAA8" w:rsidR="00667361" w:rsidRPr="00277E7C" w:rsidRDefault="00667361" w:rsidP="00D20D54">
      <w:pPr>
        <w:overflowPunct/>
        <w:textAlignment w:val="auto"/>
        <w:rPr>
          <w:color w:val="000000"/>
          <w:lang w:val="fr-FR"/>
        </w:rPr>
      </w:pPr>
      <w:r w:rsidRPr="00277E7C">
        <w:rPr>
          <w:color w:val="000000"/>
          <w:lang w:val="fr-FR"/>
        </w:rPr>
        <w:lastRenderedPageBreak/>
        <w:t>3</w:t>
      </w:r>
      <w:r w:rsidRPr="00277E7C">
        <w:rPr>
          <w:color w:val="000000"/>
          <w:lang w:val="fr-FR"/>
        </w:rPr>
        <w:tab/>
        <w:t>Etant donné que dans les services mobiles aéronautiques (R) et (OR) utilisant les</w:t>
      </w:r>
      <w:r w:rsidR="00D20D54" w:rsidRPr="00277E7C">
        <w:rPr>
          <w:color w:val="000000"/>
          <w:lang w:val="fr-FR"/>
        </w:rPr>
        <w:t> </w:t>
      </w:r>
      <w:r w:rsidRPr="00277E7C">
        <w:rPr>
          <w:color w:val="000000"/>
          <w:lang w:val="fr-FR"/>
        </w:rPr>
        <w:t>bandes d'ondes décamétriques attribuées en exclusivité, toutes les communications sont assurées en mode simplex à une seule fréquence, l'utilisation de la fréquence concernée est dûment prise en compte dans le cadre de la notification de la station aéronautique de trans</w:t>
      </w:r>
      <w:r w:rsidRPr="00277E7C">
        <w:rPr>
          <w:color w:val="000000"/>
          <w:lang w:val="fr-FR"/>
        </w:rPr>
        <w:softHyphen/>
        <w:t xml:space="preserve">mission et la notification de la station de réception associée (pour la réception des émissions de stations d'aéronef) n'est pas nécessaire. </w:t>
      </w:r>
      <w:r w:rsidRPr="00277E7C">
        <w:rPr>
          <w:rFonts w:ascii="TimesNewRoman" w:eastAsia="SimSun" w:hAnsi="TimesNewRoman" w:cs="TimesNewRoman"/>
          <w:szCs w:val="24"/>
          <w:lang w:val="fr-FR" w:eastAsia="zh-CN"/>
        </w:rPr>
        <w:t>En conséquence, le Comité a chargé le Bureau de n'accepter aucune fiche de notification d'assignation de fréquence relative à une station aéronautique de réception dans les bandes régies par les Appendices</w:t>
      </w:r>
      <w:r w:rsidR="00910E82" w:rsidRPr="00277E7C">
        <w:rPr>
          <w:rFonts w:ascii="TimesNewRoman" w:eastAsia="SimSun" w:hAnsi="TimesNewRoman" w:cs="TimesNewRoman"/>
          <w:szCs w:val="24"/>
          <w:lang w:val="fr-FR" w:eastAsia="zh-CN"/>
        </w:rPr>
        <w:t> </w:t>
      </w:r>
      <w:r w:rsidRPr="0031780E">
        <w:rPr>
          <w:rFonts w:eastAsia="SimSun"/>
          <w:b/>
          <w:bCs/>
          <w:lang w:val="fr-CH"/>
        </w:rPr>
        <w:t>26</w:t>
      </w:r>
      <w:r w:rsidRPr="0076068A">
        <w:rPr>
          <w:rFonts w:ascii="TimesNewRoman,Bold" w:eastAsia="SimSun" w:hAnsi="TimesNewRoman,Bold" w:cs="TimesNewRoman,Bold"/>
          <w:szCs w:val="24"/>
          <w:lang w:val="fr-FR" w:eastAsia="zh-CN"/>
        </w:rPr>
        <w:t xml:space="preserve"> </w:t>
      </w:r>
      <w:r w:rsidRPr="00277E7C">
        <w:rPr>
          <w:rFonts w:ascii="TimesNewRoman" w:eastAsia="SimSun" w:hAnsi="TimesNewRoman" w:cs="TimesNewRoman"/>
          <w:szCs w:val="24"/>
          <w:lang w:val="fr-FR" w:eastAsia="zh-CN"/>
        </w:rPr>
        <w:t>et</w:t>
      </w:r>
      <w:r w:rsidR="00910E82" w:rsidRPr="00277E7C">
        <w:rPr>
          <w:rFonts w:ascii="TimesNewRoman" w:eastAsia="SimSun" w:hAnsi="TimesNewRoman" w:cs="TimesNewRoman"/>
          <w:szCs w:val="24"/>
          <w:lang w:val="fr-FR" w:eastAsia="zh-CN"/>
        </w:rPr>
        <w:t> </w:t>
      </w:r>
      <w:r w:rsidRPr="0031780E">
        <w:rPr>
          <w:rFonts w:eastAsia="SimSun"/>
          <w:b/>
          <w:bCs/>
          <w:lang w:val="fr-CH"/>
        </w:rPr>
        <w:t>27</w:t>
      </w:r>
      <w:r w:rsidRPr="00277E7C">
        <w:rPr>
          <w:rFonts w:ascii="TimesNewRoman" w:eastAsia="SimSun" w:hAnsi="TimesNewRoman" w:cs="TimesNewRoman"/>
          <w:szCs w:val="24"/>
          <w:lang w:val="fr-FR" w:eastAsia="zh-CN"/>
        </w:rPr>
        <w:t>.</w:t>
      </w:r>
    </w:p>
    <w:p w14:paraId="4E8BB8BD" w14:textId="77777777" w:rsidR="00CC1169" w:rsidRPr="00277E7C" w:rsidRDefault="00CC1169" w:rsidP="007B37F7">
      <w:pPr>
        <w:pStyle w:val="Heading8"/>
        <w:spacing w:before="0"/>
        <w:rPr>
          <w:color w:val="000000"/>
          <w:lang w:val="fr-FR"/>
        </w:rPr>
      </w:pPr>
      <w:r w:rsidRPr="00277E7C">
        <w:rPr>
          <w:color w:val="000000"/>
          <w:lang w:val="fr-FR"/>
        </w:rPr>
        <w:t>11.17</w:t>
      </w:r>
    </w:p>
    <w:p w14:paraId="613B1535" w14:textId="77777777" w:rsidR="00CC1169" w:rsidRPr="00277E7C" w:rsidRDefault="00CC1169" w:rsidP="00CC1169">
      <w:pPr>
        <w:rPr>
          <w:color w:val="000000"/>
          <w:lang w:val="fr-FR"/>
        </w:rPr>
      </w:pPr>
      <w:r w:rsidRPr="00277E7C">
        <w:rPr>
          <w:color w:val="000000"/>
          <w:lang w:val="fr-FR"/>
        </w:rPr>
        <w:t xml:space="preserve">Cette disposition ainsi que les dispositions des numéros </w:t>
      </w:r>
      <w:r w:rsidRPr="00277E7C">
        <w:rPr>
          <w:rStyle w:val="Artref0"/>
          <w:b/>
          <w:color w:val="000000"/>
          <w:lang w:val="fr-FR"/>
        </w:rPr>
        <w:t>11.18</w:t>
      </w:r>
      <w:r w:rsidRPr="00277E7C">
        <w:rPr>
          <w:b/>
          <w:color w:val="000000"/>
          <w:lang w:val="fr-FR"/>
        </w:rPr>
        <w:t xml:space="preserve"> </w:t>
      </w:r>
      <w:r w:rsidRPr="00277E7C">
        <w:rPr>
          <w:color w:val="000000"/>
          <w:lang w:val="fr-FR"/>
        </w:rPr>
        <w:t xml:space="preserve">à </w:t>
      </w:r>
      <w:r w:rsidRPr="00277E7C">
        <w:rPr>
          <w:rStyle w:val="Artref0"/>
          <w:b/>
          <w:color w:val="000000"/>
          <w:lang w:val="fr-FR"/>
        </w:rPr>
        <w:t>11.21B</w:t>
      </w:r>
      <w:r w:rsidRPr="00277E7C">
        <w:rPr>
          <w:color w:val="000000"/>
          <w:lang w:val="fr-FR"/>
        </w:rPr>
        <w:t xml:space="preserve"> définissent les assignations à des stations de Terre devant faire l'objet d'une notification individuelle. Toutes les autres assignations</w:t>
      </w:r>
      <w:r w:rsidRPr="00277E7C">
        <w:rPr>
          <w:rStyle w:val="FootnoteReference"/>
          <w:color w:val="000000"/>
          <w:sz w:val="20"/>
          <w:lang w:val="fr-FR"/>
        </w:rPr>
        <w:footnoteReference w:customMarkFollows="1" w:id="1"/>
        <w:t>1</w:t>
      </w:r>
      <w:r w:rsidRPr="00277E7C">
        <w:rPr>
          <w:color w:val="000000"/>
          <w:position w:val="6"/>
          <w:sz w:val="20"/>
          <w:lang w:val="fr-FR"/>
        </w:rPr>
        <w:t>,</w:t>
      </w:r>
      <w:r w:rsidRPr="00277E7C">
        <w:rPr>
          <w:rFonts w:ascii="Tms Rmn" w:hAnsi="Tms Rmn"/>
          <w:color w:val="000000"/>
          <w:position w:val="6"/>
          <w:sz w:val="20"/>
          <w:lang w:val="fr-FR"/>
        </w:rPr>
        <w:t> </w:t>
      </w:r>
      <w:r w:rsidRPr="00277E7C">
        <w:rPr>
          <w:rStyle w:val="FootnoteReference"/>
          <w:color w:val="000000"/>
          <w:sz w:val="20"/>
          <w:lang w:val="fr-FR"/>
        </w:rPr>
        <w:footnoteReference w:customMarkFollows="1" w:id="2"/>
        <w:t>2</w:t>
      </w:r>
      <w:r w:rsidRPr="00277E7C">
        <w:rPr>
          <w:color w:val="000000"/>
          <w:position w:val="6"/>
          <w:sz w:val="20"/>
          <w:lang w:val="fr-FR"/>
        </w:rPr>
        <w:t>,</w:t>
      </w:r>
      <w:r w:rsidRPr="00277E7C">
        <w:rPr>
          <w:rFonts w:ascii="Tms Rmn" w:hAnsi="Tms Rmn"/>
          <w:color w:val="000000"/>
          <w:position w:val="6"/>
          <w:sz w:val="20"/>
          <w:lang w:val="fr-FR"/>
        </w:rPr>
        <w:t> </w:t>
      </w:r>
      <w:r w:rsidRPr="00277E7C">
        <w:rPr>
          <w:rStyle w:val="FootnoteReference"/>
          <w:color w:val="000000"/>
          <w:sz w:val="20"/>
          <w:lang w:val="fr-FR"/>
        </w:rPr>
        <w:footnoteReference w:customMarkFollows="1" w:id="3"/>
        <w:t>3</w:t>
      </w:r>
      <w:r w:rsidRPr="00277E7C">
        <w:rPr>
          <w:color w:val="000000"/>
          <w:lang w:val="fr-FR"/>
        </w:rPr>
        <w:t xml:space="preserve"> peuvent être notifiées soit comme station type soit comme stations individuelles, selon que l'administration concernée le juge approprié. Les assignations de fréquence devant faire l'objet d'une notification individuelle en vertu de la procédure de l'Article </w:t>
      </w:r>
      <w:r w:rsidRPr="00277E7C">
        <w:rPr>
          <w:rStyle w:val="Artref0"/>
          <w:b/>
          <w:color w:val="000000"/>
          <w:lang w:val="fr-FR"/>
        </w:rPr>
        <w:t>11</w:t>
      </w:r>
      <w:r w:rsidRPr="00277E7C">
        <w:rPr>
          <w:color w:val="000000"/>
          <w:lang w:val="fr-FR"/>
        </w:rPr>
        <w:t>, sont les suivantes:</w:t>
      </w:r>
    </w:p>
    <w:p w14:paraId="32A97755" w14:textId="411EFB9A" w:rsidR="00CC1169" w:rsidRPr="00277E7C" w:rsidRDefault="00CC1169" w:rsidP="00B04273">
      <w:pPr>
        <w:rPr>
          <w:color w:val="000000"/>
          <w:lang w:val="fr-FR"/>
        </w:rPr>
      </w:pPr>
      <w:r w:rsidRPr="00277E7C">
        <w:rPr>
          <w:color w:val="000000"/>
          <w:lang w:val="fr-FR"/>
        </w:rPr>
        <w:t>1</w:t>
      </w:r>
      <w:r w:rsidRPr="00277E7C">
        <w:rPr>
          <w:color w:val="000000"/>
          <w:lang w:val="fr-FR"/>
        </w:rPr>
        <w:tab/>
        <w:t>Assignations aux stations des Plans d'allotissement des Appendices</w:t>
      </w:r>
      <w:r w:rsidR="00910E82" w:rsidRPr="00277E7C">
        <w:rPr>
          <w:color w:val="000000"/>
          <w:lang w:val="fr-FR"/>
        </w:rPr>
        <w:t xml:space="preserve"> </w:t>
      </w:r>
      <w:r w:rsidRPr="00277E7C">
        <w:rPr>
          <w:rStyle w:val="Appref"/>
          <w:b/>
          <w:color w:val="000000"/>
          <w:lang w:val="fr-FR"/>
        </w:rPr>
        <w:t>25</w:t>
      </w:r>
      <w:r w:rsidRPr="00277E7C">
        <w:rPr>
          <w:color w:val="000000"/>
          <w:lang w:val="fr-FR"/>
        </w:rPr>
        <w:t xml:space="preserve">, </w:t>
      </w:r>
      <w:r w:rsidRPr="00277E7C">
        <w:rPr>
          <w:rStyle w:val="Appref"/>
          <w:b/>
          <w:color w:val="000000"/>
          <w:lang w:val="fr-FR"/>
        </w:rPr>
        <w:t>26</w:t>
      </w:r>
      <w:r w:rsidRPr="00277E7C">
        <w:rPr>
          <w:color w:val="000000"/>
          <w:lang w:val="fr-FR"/>
        </w:rPr>
        <w:t xml:space="preserve"> et </w:t>
      </w:r>
      <w:r w:rsidRPr="00277E7C">
        <w:rPr>
          <w:rStyle w:val="Appref"/>
          <w:b/>
          <w:color w:val="000000"/>
          <w:lang w:val="fr-FR"/>
        </w:rPr>
        <w:t>27</w:t>
      </w:r>
      <w:r w:rsidR="00B04273" w:rsidRPr="00277E7C">
        <w:rPr>
          <w:rStyle w:val="Appref"/>
          <w:b/>
          <w:color w:val="000000"/>
          <w:lang w:val="fr-FR"/>
        </w:rPr>
        <w:t xml:space="preserve"> </w:t>
      </w:r>
      <w:r w:rsidRPr="00277E7C">
        <w:rPr>
          <w:color w:val="000000"/>
          <w:lang w:val="fr-FR"/>
        </w:rPr>
        <w:t>(</w:t>
      </w:r>
      <w:r w:rsidR="00520B7A" w:rsidRPr="00277E7C">
        <w:rPr>
          <w:color w:val="000000"/>
          <w:lang w:val="fr-FR"/>
        </w:rPr>
        <w:t>numéro </w:t>
      </w:r>
      <w:r w:rsidRPr="00277E7C">
        <w:rPr>
          <w:rStyle w:val="Artref0"/>
          <w:b/>
          <w:color w:val="000000"/>
          <w:lang w:val="fr-FR"/>
        </w:rPr>
        <w:t>11.18</w:t>
      </w:r>
      <w:r w:rsidRPr="00277E7C">
        <w:rPr>
          <w:color w:val="000000"/>
          <w:lang w:val="fr-FR"/>
        </w:rPr>
        <w:t>) et par n'importe quel Plan d'assignations de fréquence.</w:t>
      </w:r>
    </w:p>
    <w:p w14:paraId="2A53D2FE" w14:textId="77777777" w:rsidR="00CC1169" w:rsidRPr="00277E7C" w:rsidRDefault="00CC1169" w:rsidP="00CC1169">
      <w:pPr>
        <w:rPr>
          <w:color w:val="000000"/>
          <w:lang w:val="fr-FR"/>
        </w:rPr>
      </w:pPr>
      <w:r w:rsidRPr="00277E7C">
        <w:rPr>
          <w:color w:val="000000"/>
          <w:lang w:val="fr-FR"/>
        </w:rPr>
        <w:t>2</w:t>
      </w:r>
      <w:r w:rsidRPr="00277E7C">
        <w:rPr>
          <w:color w:val="000000"/>
          <w:lang w:val="fr-FR"/>
        </w:rPr>
        <w:tab/>
        <w:t>Assignations aux stations du service de radiodiffusion dans n'importe quelle bande (numéro </w:t>
      </w:r>
      <w:r w:rsidRPr="00277E7C">
        <w:rPr>
          <w:rStyle w:val="Artref0"/>
          <w:b/>
          <w:color w:val="000000"/>
          <w:lang w:val="fr-FR"/>
        </w:rPr>
        <w:t>11.19</w:t>
      </w:r>
      <w:r w:rsidRPr="00277E7C">
        <w:rPr>
          <w:color w:val="000000"/>
          <w:lang w:val="fr-FR"/>
        </w:rPr>
        <w:t>).</w:t>
      </w:r>
    </w:p>
    <w:p w14:paraId="6CD22F51" w14:textId="77777777" w:rsidR="00CC1169" w:rsidRPr="00277E7C" w:rsidRDefault="00CC1169" w:rsidP="00B04273">
      <w:pPr>
        <w:rPr>
          <w:color w:val="000000"/>
          <w:lang w:val="fr-FR"/>
        </w:rPr>
      </w:pPr>
      <w:r w:rsidRPr="00277E7C">
        <w:rPr>
          <w:color w:val="000000"/>
          <w:lang w:val="fr-FR"/>
        </w:rPr>
        <w:t>3</w:t>
      </w:r>
      <w:r w:rsidRPr="00277E7C">
        <w:rPr>
          <w:color w:val="000000"/>
          <w:lang w:val="fr-FR"/>
        </w:rPr>
        <w:tab/>
        <w:t xml:space="preserve">Assignations aux stations de tous les services de Terre situées à l'intérieur de la zone de coordination d'une station terrienne (numéro </w:t>
      </w:r>
      <w:r w:rsidRPr="00277E7C">
        <w:rPr>
          <w:rStyle w:val="Artref0"/>
          <w:b/>
          <w:color w:val="000000"/>
          <w:lang w:val="fr-FR"/>
        </w:rPr>
        <w:t>11.20</w:t>
      </w:r>
      <w:r w:rsidRPr="00277E7C">
        <w:rPr>
          <w:color w:val="000000"/>
          <w:lang w:val="fr-FR"/>
        </w:rPr>
        <w:t>) si la largeur de bande notifiée de la station de Terre est située en totalité ou en partie dans une bande de fréquences attribuée avec égalité des droits aux services de Terre et aux services spatiaux lorsqu'une coordination est requise au titre de l'Appendice</w:t>
      </w:r>
      <w:r w:rsidR="00B04273" w:rsidRPr="00277E7C">
        <w:rPr>
          <w:color w:val="000000"/>
          <w:lang w:val="fr-FR"/>
        </w:rPr>
        <w:t> </w:t>
      </w:r>
      <w:r w:rsidRPr="00277E7C">
        <w:rPr>
          <w:rStyle w:val="Appref"/>
          <w:b/>
          <w:color w:val="000000"/>
          <w:lang w:val="fr-FR"/>
        </w:rPr>
        <w:t>5</w:t>
      </w:r>
      <w:r w:rsidRPr="00277E7C">
        <w:rPr>
          <w:color w:val="000000"/>
          <w:lang w:val="fr-FR"/>
        </w:rPr>
        <w:t xml:space="preserve"> (Tableau 5-1).</w:t>
      </w:r>
    </w:p>
    <w:p w14:paraId="566E167C" w14:textId="4F5BB697" w:rsidR="00FC272E" w:rsidRDefault="00CC1169" w:rsidP="00FC272E">
      <w:pPr>
        <w:rPr>
          <w:lang w:val="fr-FR"/>
        </w:rPr>
      </w:pPr>
      <w:r w:rsidRPr="00277E7C">
        <w:rPr>
          <w:color w:val="000000"/>
          <w:lang w:val="fr-FR"/>
        </w:rPr>
        <w:t xml:space="preserve">Conformément au numéro </w:t>
      </w:r>
      <w:r w:rsidRPr="00277E7C">
        <w:rPr>
          <w:rStyle w:val="Artref0"/>
          <w:b/>
          <w:color w:val="000000"/>
          <w:lang w:val="fr-FR"/>
        </w:rPr>
        <w:t>11.20</w:t>
      </w:r>
      <w:r w:rsidRPr="00277E7C">
        <w:rPr>
          <w:color w:val="000000"/>
          <w:lang w:val="fr-FR"/>
        </w:rPr>
        <w:t>, aucune notification d'une station de Terre type n'est rece</w:t>
      </w:r>
      <w:r w:rsidRPr="00277E7C">
        <w:rPr>
          <w:color w:val="000000"/>
          <w:lang w:val="fr-FR"/>
        </w:rPr>
        <w:softHyphen/>
        <w:t>vable si la station de Terre est située à l'intérieur de la zone de coordination d'une station terrienne. Compte tenu des difficultés rencontrées actuellement par le Bureau pour déter</w:t>
      </w:r>
      <w:r w:rsidRPr="00277E7C">
        <w:rPr>
          <w:color w:val="000000"/>
          <w:lang w:val="fr-FR"/>
        </w:rPr>
        <w:softHyphen/>
        <w:t>miner, lorsqu'il reçoit la fiche de notification, si une station de Terre est située à l'intérieur de la zone de coordination d'une station terrienne existante ou d'une station pour laquelle la coor</w:t>
      </w:r>
      <w:r w:rsidRPr="00277E7C">
        <w:rPr>
          <w:color w:val="000000"/>
          <w:lang w:val="fr-FR"/>
        </w:rPr>
        <w:softHyphen/>
        <w:t>dination a été effectuée ou engagée, le Comité a chargé le Bureau d'encourager les adminis</w:t>
      </w:r>
      <w:r w:rsidRPr="00277E7C">
        <w:rPr>
          <w:color w:val="000000"/>
          <w:lang w:val="fr-FR"/>
        </w:rPr>
        <w:softHyphen/>
        <w:t>trations à soumettre des fiches de notification individuelles pour les stations de Terre dans tous les cas où la largeur de bande notifiée de la station de Terre est située en totalité ou en</w:t>
      </w:r>
      <w:r w:rsidR="0076068A">
        <w:rPr>
          <w:color w:val="000000"/>
          <w:lang w:val="fr-FR"/>
        </w:rPr>
        <w:t xml:space="preserve"> </w:t>
      </w:r>
      <w:r w:rsidR="0076068A">
        <w:rPr>
          <w:color w:val="000000"/>
          <w:lang w:val="fr-FR"/>
        </w:rPr>
        <w:br/>
      </w:r>
      <w:r w:rsidR="00FC272E">
        <w:rPr>
          <w:lang w:val="fr-FR"/>
        </w:rPr>
        <w:br w:type="page"/>
      </w:r>
    </w:p>
    <w:p w14:paraId="586167CA" w14:textId="77777777" w:rsidR="00CC1169" w:rsidRPr="00277E7C" w:rsidRDefault="00CC1169" w:rsidP="00910E82">
      <w:pPr>
        <w:rPr>
          <w:color w:val="000000"/>
          <w:lang w:val="fr-FR"/>
        </w:rPr>
      </w:pPr>
      <w:r w:rsidRPr="00277E7C">
        <w:rPr>
          <w:color w:val="000000"/>
          <w:lang w:val="fr-FR"/>
        </w:rPr>
        <w:lastRenderedPageBreak/>
        <w:t>partie dans l'une quelconque des bandes partagées avec égalité des droits entre les services de Terre et les services spatiaux, si la bande attribuée au service spatial est également attribuée dans le sens espace vers Terre. Le Bureau pourra également accepter une notification pour une station type dans ces bandes, si l'administration notificatrice le souhaite, étant entendu que la fiche de notification considérée pourra lui être retournée ultérieurement s'il ressort de l'examen qu'il a effectué que la zone d'exploitation géographique notifiée de la station de Terre type empiète sur la zone de coordination d'une station terrienne. Lorsqu'elle sera publiée dans la Partie</w:t>
      </w:r>
      <w:r w:rsidR="00910E82" w:rsidRPr="00277E7C">
        <w:rPr>
          <w:color w:val="000000"/>
          <w:lang w:val="fr-FR"/>
        </w:rPr>
        <w:t xml:space="preserve"> </w:t>
      </w:r>
      <w:r w:rsidRPr="00277E7C">
        <w:rPr>
          <w:color w:val="000000"/>
          <w:lang w:val="fr-FR"/>
        </w:rPr>
        <w:t>1 de la Circulaire BR IFIC, cette fiche de notification portera un symbole spécial faisant mention de la présente Règle de procédure.</w:t>
      </w:r>
    </w:p>
    <w:p w14:paraId="2BD79AEF" w14:textId="77777777" w:rsidR="00106B7C" w:rsidRDefault="00CC1169" w:rsidP="00106B7C">
      <w:pPr>
        <w:rPr>
          <w:color w:val="000000"/>
          <w:lang w:val="fr-FR"/>
        </w:rPr>
      </w:pPr>
      <w:r w:rsidRPr="00277E7C">
        <w:rPr>
          <w:color w:val="000000"/>
          <w:lang w:val="fr-FR"/>
        </w:rPr>
        <w:t>4</w:t>
      </w:r>
      <w:r w:rsidRPr="00277E7C">
        <w:rPr>
          <w:color w:val="000000"/>
          <w:lang w:val="fr-FR"/>
        </w:rPr>
        <w:tab/>
        <w:t xml:space="preserve">Assignations à toute station de Terre, dans les bandes partagées avec les services spatiaux avec égalité des droits, qui dépassent les limites des paramètres de la station de Terre spécifiées dans les Tableaux 8a, 8b, 8c et 8d de l'Appendice </w:t>
      </w:r>
      <w:r w:rsidRPr="00277E7C">
        <w:rPr>
          <w:rStyle w:val="Appref"/>
          <w:b/>
          <w:color w:val="000000"/>
          <w:lang w:val="fr-FR"/>
        </w:rPr>
        <w:t>7</w:t>
      </w:r>
      <w:r w:rsidRPr="00277E7C">
        <w:rPr>
          <w:b/>
          <w:color w:val="000000"/>
          <w:lang w:val="fr-FR"/>
        </w:rPr>
        <w:t xml:space="preserve"> </w:t>
      </w:r>
      <w:r w:rsidRPr="00277E7C">
        <w:rPr>
          <w:color w:val="000000"/>
          <w:lang w:val="fr-FR"/>
        </w:rPr>
        <w:t xml:space="preserve">et dans le numéro </w:t>
      </w:r>
      <w:r w:rsidRPr="00277E7C">
        <w:rPr>
          <w:rStyle w:val="Artref0"/>
          <w:b/>
          <w:color w:val="000000"/>
          <w:lang w:val="fr-FR"/>
        </w:rPr>
        <w:t>21.3</w:t>
      </w:r>
      <w:r w:rsidRPr="00277E7C">
        <w:rPr>
          <w:color w:val="000000"/>
          <w:lang w:val="fr-FR"/>
        </w:rPr>
        <w:t xml:space="preserve"> (numéro </w:t>
      </w:r>
      <w:r w:rsidRPr="00277E7C">
        <w:rPr>
          <w:rStyle w:val="Artref0"/>
          <w:b/>
          <w:color w:val="000000"/>
          <w:lang w:val="fr-FR"/>
        </w:rPr>
        <w:t>11.21</w:t>
      </w:r>
      <w:r w:rsidRPr="00277E7C">
        <w:rPr>
          <w:color w:val="000000"/>
          <w:lang w:val="fr-FR"/>
        </w:rPr>
        <w:t>).</w:t>
      </w:r>
    </w:p>
    <w:p w14:paraId="095F818B" w14:textId="77777777" w:rsidR="00CC1169" w:rsidRPr="00277E7C" w:rsidRDefault="00CC1169" w:rsidP="00106B7C">
      <w:pPr>
        <w:rPr>
          <w:color w:val="000000"/>
          <w:lang w:val="fr-FR"/>
        </w:rPr>
      </w:pPr>
      <w:r w:rsidRPr="00277E7C">
        <w:rPr>
          <w:color w:val="000000"/>
          <w:lang w:val="fr-FR"/>
        </w:rPr>
        <w:t xml:space="preserve">Le Comité comprend la première partie de cette disposition comme étant destinée à donner une protection appropriée aux stations terriennes de réception lorsque les stations de Terre utilisent une p.i.r.e. élevée. Compte tenu de la grande diversité des conditions énoncées dans les tableaux de l'Appendice </w:t>
      </w:r>
      <w:r w:rsidRPr="00277E7C">
        <w:rPr>
          <w:rStyle w:val="Appref"/>
          <w:b/>
          <w:color w:val="000000"/>
          <w:lang w:val="fr-FR"/>
        </w:rPr>
        <w:t>7</w:t>
      </w:r>
      <w:r w:rsidRPr="00277E7C">
        <w:rPr>
          <w:color w:val="000000"/>
          <w:lang w:val="fr-FR"/>
        </w:rPr>
        <w:t xml:space="preserve"> susmentionnés, le Comité a estimé que les administrations doivent soumettre des fiches de notification individuelles chaque fois que la p.i.r.e. dépasse les limites suivantes:</w:t>
      </w:r>
    </w:p>
    <w:p w14:paraId="2FF9663F" w14:textId="77777777" w:rsidR="00CC1169" w:rsidRPr="00277E7C" w:rsidRDefault="00CC1169" w:rsidP="008C4C13">
      <w:pPr>
        <w:pStyle w:val="enumlev1"/>
        <w:spacing w:before="40"/>
        <w:rPr>
          <w:color w:val="000000"/>
          <w:lang w:val="fr-FR"/>
        </w:rPr>
      </w:pPr>
      <w:r w:rsidRPr="00277E7C">
        <w:rPr>
          <w:color w:val="000000"/>
          <w:lang w:val="fr-FR"/>
        </w:rPr>
        <w:tab/>
        <w:t>50 dBW (pour une modulation analogique) et 37 dBW (pour une modulation numérique) dans toutes les bandes de fréquences au-dessous de 3 GHz qui sont indiquées dans les Tableaux 8a et 8b.</w:t>
      </w:r>
    </w:p>
    <w:p w14:paraId="0DD453EF" w14:textId="77777777" w:rsidR="00CC1169" w:rsidRPr="00277E7C" w:rsidRDefault="00CC1169" w:rsidP="008C4C13">
      <w:pPr>
        <w:pStyle w:val="enumlev1"/>
        <w:spacing w:before="40"/>
        <w:rPr>
          <w:color w:val="000000"/>
          <w:lang w:val="fr-FR"/>
        </w:rPr>
      </w:pPr>
      <w:r w:rsidRPr="00277E7C">
        <w:rPr>
          <w:color w:val="000000"/>
          <w:lang w:val="fr-FR"/>
        </w:rPr>
        <w:tab/>
        <w:t>55 dBW (pour une modulation analogique)</w:t>
      </w:r>
      <w:r w:rsidRPr="00277E7C">
        <w:rPr>
          <w:rStyle w:val="FootnoteReference"/>
          <w:color w:val="000000"/>
          <w:sz w:val="20"/>
          <w:lang w:val="fr-FR"/>
        </w:rPr>
        <w:footnoteReference w:customMarkFollows="1" w:id="4"/>
        <w:t>4</w:t>
      </w:r>
      <w:r w:rsidRPr="00277E7C">
        <w:rPr>
          <w:color w:val="000000"/>
          <w:lang w:val="fr-FR"/>
        </w:rPr>
        <w:t xml:space="preserve"> et 42 dBW (pour une modulation numérique) dans toutes les bandes de fréquences situées entre 3 GHz et 15 GHz qui sont indiquées dans les Tableaux 8b et 8c.</w:t>
      </w:r>
    </w:p>
    <w:p w14:paraId="25A4B185" w14:textId="77777777" w:rsidR="00CC1169" w:rsidRPr="00277E7C" w:rsidRDefault="00CC1169" w:rsidP="008C4C13">
      <w:pPr>
        <w:pStyle w:val="enumlev1"/>
        <w:spacing w:before="40"/>
        <w:rPr>
          <w:color w:val="000000"/>
          <w:lang w:val="fr-FR"/>
        </w:rPr>
      </w:pPr>
      <w:r w:rsidRPr="00277E7C">
        <w:rPr>
          <w:color w:val="000000"/>
          <w:lang w:val="fr-FR"/>
        </w:rPr>
        <w:tab/>
        <w:t>55 dBW (pour une modulation analogique)</w:t>
      </w:r>
      <w:r w:rsidRPr="00277E7C">
        <w:rPr>
          <w:color w:val="000000"/>
          <w:position w:val="6"/>
          <w:sz w:val="20"/>
          <w:lang w:val="fr-FR"/>
        </w:rPr>
        <w:t>4</w:t>
      </w:r>
      <w:r w:rsidRPr="00277E7C">
        <w:rPr>
          <w:color w:val="000000"/>
          <w:lang w:val="fr-FR"/>
        </w:rPr>
        <w:t xml:space="preserve"> et 40 dBW (pour une modulation numérique) dans toutes les bandes de fréquences au-dessus de 15 GHz qui sont indiquées dans les Tableaux 8c et 8d.</w:t>
      </w:r>
    </w:p>
    <w:p w14:paraId="3A3B0FE9" w14:textId="77777777" w:rsidR="00CC1169" w:rsidRPr="00277E7C" w:rsidRDefault="00CC1169" w:rsidP="008C4C13">
      <w:pPr>
        <w:spacing w:before="80"/>
        <w:rPr>
          <w:color w:val="000000"/>
          <w:lang w:val="fr-FR"/>
        </w:rPr>
      </w:pPr>
      <w:r w:rsidRPr="00277E7C">
        <w:rPr>
          <w:color w:val="000000"/>
          <w:lang w:val="fr-FR"/>
        </w:rPr>
        <w:t>5</w:t>
      </w:r>
      <w:r w:rsidRPr="00277E7C">
        <w:rPr>
          <w:color w:val="000000"/>
          <w:lang w:val="fr-FR"/>
        </w:rPr>
        <w:tab/>
        <w:t>Assignations aux stations de Terre dans les bandes de fréquences visées au Tableau </w:t>
      </w:r>
      <w:r w:rsidRPr="00277E7C">
        <w:rPr>
          <w:b/>
          <w:bCs/>
          <w:lang w:val="fr-FR"/>
        </w:rPr>
        <w:t>21-2</w:t>
      </w:r>
      <w:r w:rsidRPr="00277E7C">
        <w:rPr>
          <w:color w:val="000000"/>
          <w:lang w:val="fr-FR"/>
        </w:rPr>
        <w:t xml:space="preserve"> (numéro </w:t>
      </w:r>
      <w:r w:rsidRPr="00277E7C">
        <w:rPr>
          <w:rStyle w:val="Artref0"/>
          <w:b/>
          <w:color w:val="000000"/>
          <w:lang w:val="fr-FR"/>
        </w:rPr>
        <w:t>11.21A</w:t>
      </w:r>
      <w:r w:rsidRPr="00277E7C">
        <w:rPr>
          <w:color w:val="000000"/>
          <w:lang w:val="fr-FR"/>
        </w:rPr>
        <w:t>).</w:t>
      </w:r>
    </w:p>
    <w:p w14:paraId="06DE3A42" w14:textId="77777777" w:rsidR="00CC1169" w:rsidRPr="00277E7C" w:rsidRDefault="00CC1169" w:rsidP="008C4C13">
      <w:pPr>
        <w:spacing w:before="80"/>
        <w:rPr>
          <w:color w:val="000000"/>
          <w:lang w:val="fr-FR"/>
        </w:rPr>
      </w:pPr>
      <w:r w:rsidRPr="00277E7C">
        <w:rPr>
          <w:color w:val="000000"/>
          <w:lang w:val="fr-FR"/>
        </w:rPr>
        <w:t>Le Comité comprend cette disposition comme étant destinée à protéger l'OSG. Elle doit s'appliquer à tous les services de Terre dans les bandes susmentionnées, quelle que soit leur catégorie d'attribution.</w:t>
      </w:r>
    </w:p>
    <w:p w14:paraId="166DBCF0" w14:textId="77777777" w:rsidR="00CC1169" w:rsidRPr="00277E7C" w:rsidRDefault="00CC1169" w:rsidP="008C4C13">
      <w:pPr>
        <w:spacing w:before="80"/>
        <w:rPr>
          <w:color w:val="000000"/>
          <w:lang w:val="fr-FR"/>
        </w:rPr>
      </w:pPr>
      <w:r w:rsidRPr="00277E7C">
        <w:rPr>
          <w:color w:val="000000"/>
          <w:lang w:val="fr-FR"/>
        </w:rPr>
        <w:t>6</w:t>
      </w:r>
      <w:r w:rsidRPr="00277E7C">
        <w:rPr>
          <w:color w:val="000000"/>
          <w:lang w:val="fr-FR"/>
        </w:rPr>
        <w:tab/>
        <w:t>Assignations aux stations se Terre régies par la procédure à suivre pour obtenir l'accord visé au numéro</w:t>
      </w:r>
      <w:r w:rsidR="00910E82" w:rsidRPr="00277E7C">
        <w:rPr>
          <w:color w:val="000000"/>
          <w:lang w:val="fr-FR"/>
        </w:rPr>
        <w:t> </w:t>
      </w:r>
      <w:r w:rsidRPr="00277E7C">
        <w:rPr>
          <w:rStyle w:val="Artref0"/>
          <w:b/>
          <w:bCs/>
          <w:color w:val="000000"/>
          <w:lang w:val="fr-FR"/>
        </w:rPr>
        <w:t>9.21</w:t>
      </w:r>
      <w:r w:rsidRPr="00277E7C">
        <w:rPr>
          <w:color w:val="000000"/>
          <w:lang w:val="fr-FR"/>
        </w:rPr>
        <w:t xml:space="preserve"> (numéro </w:t>
      </w:r>
      <w:r w:rsidRPr="00277E7C">
        <w:rPr>
          <w:rStyle w:val="Artref0"/>
          <w:b/>
          <w:bCs/>
          <w:color w:val="000000"/>
          <w:lang w:val="fr-FR"/>
        </w:rPr>
        <w:t>11.21B</w:t>
      </w:r>
      <w:r w:rsidRPr="00277E7C">
        <w:rPr>
          <w:color w:val="000000"/>
          <w:lang w:val="fr-FR"/>
        </w:rPr>
        <w:t>).</w:t>
      </w:r>
    </w:p>
    <w:p w14:paraId="0AF5F731" w14:textId="77777777" w:rsidR="00FC272E" w:rsidRDefault="00FC272E">
      <w:pPr>
        <w:tabs>
          <w:tab w:val="clear" w:pos="1134"/>
          <w:tab w:val="clear" w:pos="1871"/>
          <w:tab w:val="clear" w:pos="2268"/>
        </w:tabs>
        <w:overflowPunct/>
        <w:autoSpaceDE/>
        <w:autoSpaceDN/>
        <w:adjustRightInd/>
        <w:spacing w:before="0"/>
        <w:jc w:val="left"/>
        <w:textAlignment w:val="auto"/>
        <w:rPr>
          <w:b/>
          <w:color w:val="000000"/>
          <w:lang w:val="fr-FR"/>
        </w:rPr>
      </w:pPr>
      <w:r>
        <w:rPr>
          <w:color w:val="000000"/>
          <w:lang w:val="fr-FR"/>
        </w:rPr>
        <w:br w:type="page"/>
      </w:r>
    </w:p>
    <w:p w14:paraId="1918C887" w14:textId="77777777" w:rsidR="00CC1169" w:rsidRPr="00277E7C" w:rsidRDefault="00CC1169" w:rsidP="00430025">
      <w:pPr>
        <w:pStyle w:val="Heading8"/>
        <w:spacing w:before="240"/>
        <w:rPr>
          <w:color w:val="000000"/>
          <w:lang w:val="fr-FR"/>
        </w:rPr>
      </w:pPr>
      <w:r w:rsidRPr="00277E7C">
        <w:rPr>
          <w:color w:val="000000"/>
          <w:lang w:val="fr-FR"/>
        </w:rPr>
        <w:lastRenderedPageBreak/>
        <w:t>11.28</w:t>
      </w:r>
    </w:p>
    <w:p w14:paraId="66D19F95" w14:textId="77777777" w:rsidR="00CC1169" w:rsidRPr="00277E7C" w:rsidRDefault="00CC1169" w:rsidP="008C4C13">
      <w:pPr>
        <w:pStyle w:val="Headingb"/>
        <w:spacing w:before="120"/>
        <w:rPr>
          <w:color w:val="000000"/>
          <w:u w:val="single"/>
          <w:lang w:val="fr-FR"/>
        </w:rPr>
      </w:pPr>
      <w:r w:rsidRPr="00277E7C">
        <w:rPr>
          <w:color w:val="000000"/>
          <w:lang w:val="fr-FR"/>
        </w:rPr>
        <w:t>Comparaison des données avec celles soumises au titre de l'Article </w:t>
      </w:r>
      <w:r w:rsidRPr="00277E7C">
        <w:rPr>
          <w:rStyle w:val="Artref0"/>
          <w:color w:val="000000"/>
          <w:lang w:val="fr-FR"/>
        </w:rPr>
        <w:t>9</w:t>
      </w:r>
    </w:p>
    <w:p w14:paraId="12E40E58" w14:textId="77777777" w:rsidR="008C4C13" w:rsidRPr="008C4C13" w:rsidRDefault="008C4C13" w:rsidP="008C4C13">
      <w:pPr>
        <w:spacing w:before="80"/>
        <w:rPr>
          <w:color w:val="000000"/>
          <w:lang w:val="fr-CH"/>
        </w:rPr>
      </w:pPr>
      <w:r w:rsidRPr="008C4C13">
        <w:rPr>
          <w:color w:val="000000"/>
          <w:lang w:val="fr-CH"/>
        </w:rPr>
        <w:t xml:space="preserve">Le numéro </w:t>
      </w:r>
      <w:r w:rsidRPr="008C4C13">
        <w:rPr>
          <w:rStyle w:val="Artref0"/>
          <w:rFonts w:asciiTheme="majorBidi" w:hAnsiTheme="majorBidi" w:cstheme="majorBidi"/>
          <w:b/>
          <w:color w:val="000000"/>
          <w:lang w:val="fr-CH"/>
        </w:rPr>
        <w:t>11.28</w:t>
      </w:r>
      <w:r w:rsidRPr="008C4C13">
        <w:rPr>
          <w:color w:val="000000"/>
          <w:lang w:val="fr-CH"/>
        </w:rPr>
        <w:t xml:space="preserve"> ne fait pas mention de la nécessité de comparer les caractéristiques notifiées avec celles qui sont publiées dans les Sections spéciales pour la publication anticipée, la coordination et les résultats ou l'état d'avancement de la coordination. Une fiche de notification soumise au titre du numéro </w:t>
      </w:r>
      <w:r w:rsidRPr="008C4C13">
        <w:rPr>
          <w:rStyle w:val="Artref0"/>
          <w:rFonts w:asciiTheme="majorBidi" w:hAnsiTheme="majorBidi" w:cstheme="majorBidi"/>
          <w:b/>
          <w:color w:val="000000"/>
          <w:lang w:val="fr-CH"/>
        </w:rPr>
        <w:t>11.2</w:t>
      </w:r>
      <w:r w:rsidRPr="008C4C13">
        <w:rPr>
          <w:color w:val="000000"/>
          <w:lang w:val="fr-CH"/>
        </w:rPr>
        <w:t xml:space="preserve"> ou </w:t>
      </w:r>
      <w:r w:rsidRPr="008C4C13">
        <w:rPr>
          <w:rStyle w:val="Artref0"/>
          <w:rFonts w:asciiTheme="majorBidi" w:hAnsiTheme="majorBidi" w:cstheme="majorBidi"/>
          <w:b/>
          <w:color w:val="000000"/>
          <w:lang w:val="fr-CH"/>
        </w:rPr>
        <w:t>11.9</w:t>
      </w:r>
      <w:r w:rsidRPr="008C4C13">
        <w:rPr>
          <w:color w:val="000000"/>
          <w:lang w:val="fr-CH"/>
        </w:rPr>
        <w:t xml:space="preserve"> dont les caractéristiques diffèrent de celles publiées dans une Section spéciale doit nécessairement être examinée par le Bureau pour décision. Le Bureau procédera comme suit:</w:t>
      </w:r>
    </w:p>
    <w:p w14:paraId="5206F912" w14:textId="77777777" w:rsidR="008C4C13" w:rsidRPr="008C4C13" w:rsidRDefault="008C4C13" w:rsidP="008C4C13">
      <w:pPr>
        <w:pStyle w:val="enumlev1"/>
        <w:spacing w:before="40"/>
        <w:rPr>
          <w:lang w:val="fr-CH"/>
        </w:rPr>
      </w:pPr>
      <w:r w:rsidRPr="008C4C13">
        <w:rPr>
          <w:lang w:val="fr-CH"/>
        </w:rPr>
        <w:t>1)</w:t>
      </w:r>
      <w:r w:rsidRPr="008C4C13">
        <w:rPr>
          <w:lang w:val="fr-CH"/>
        </w:rPr>
        <w:tab/>
        <w:t xml:space="preserve">La date de mise en service des assignations de fréquence à une station spatiale est comparée à la date de réception des renseignements complets pertinents au titre du numéro </w:t>
      </w:r>
      <w:r w:rsidRPr="008C4C13">
        <w:rPr>
          <w:b/>
          <w:bCs/>
          <w:lang w:val="fr-CH"/>
        </w:rPr>
        <w:t>9.1</w:t>
      </w:r>
      <w:r w:rsidRPr="008C4C13">
        <w:rPr>
          <w:lang w:val="fr-CH"/>
        </w:rPr>
        <w:t xml:space="preserve"> ou </w:t>
      </w:r>
      <w:r w:rsidRPr="008C4C13">
        <w:rPr>
          <w:b/>
          <w:bCs/>
          <w:lang w:val="fr-CH"/>
        </w:rPr>
        <w:t>9.2</w:t>
      </w:r>
      <w:r w:rsidRPr="008C4C13">
        <w:rPr>
          <w:lang w:val="fr-CH"/>
        </w:rPr>
        <w:t xml:space="preserve"> dans le cas de réseaux à satellite ou de systèmes à satellites non assujettis aux dispositions de la Section II de l'Article </w:t>
      </w:r>
      <w:r w:rsidRPr="008C4C13">
        <w:rPr>
          <w:b/>
          <w:bCs/>
          <w:lang w:val="fr-CH"/>
        </w:rPr>
        <w:t>9</w:t>
      </w:r>
      <w:r w:rsidRPr="008C4C13">
        <w:rPr>
          <w:lang w:val="fr-CH"/>
        </w:rPr>
        <w:t xml:space="preserve"> ou du numéro </w:t>
      </w:r>
      <w:r w:rsidRPr="008C4C13">
        <w:rPr>
          <w:b/>
          <w:bCs/>
          <w:lang w:val="fr-CH"/>
        </w:rPr>
        <w:t>9.1A</w:t>
      </w:r>
      <w:r w:rsidRPr="008C4C13">
        <w:rPr>
          <w:lang w:val="fr-CH"/>
        </w:rPr>
        <w:t xml:space="preserve"> dans le cas de réseaux à satellite ou de systèmes à satellites assujettis aux dispositions de la Section II de l'Article </w:t>
      </w:r>
      <w:r w:rsidRPr="008C4C13">
        <w:rPr>
          <w:b/>
          <w:bCs/>
          <w:lang w:val="fr-CH"/>
        </w:rPr>
        <w:t>9</w:t>
      </w:r>
      <w:r w:rsidRPr="008C4C13">
        <w:rPr>
          <w:lang w:val="fr-CH"/>
        </w:rPr>
        <w:t>. Si la période dépasse sept ans, la fiche de notification est retournée à l'administration notificatrice, qui est invitée à recommencer la procédure de l'Article </w:t>
      </w:r>
      <w:r w:rsidRPr="008C4C13">
        <w:rPr>
          <w:rStyle w:val="Artref0"/>
          <w:rFonts w:asciiTheme="majorBidi" w:hAnsiTheme="majorBidi" w:cstheme="majorBidi"/>
          <w:b/>
          <w:bCs/>
          <w:color w:val="auto"/>
          <w:lang w:val="fr-CH"/>
        </w:rPr>
        <w:t>9</w:t>
      </w:r>
      <w:r w:rsidRPr="008C4C13">
        <w:rPr>
          <w:lang w:val="fr-CH"/>
        </w:rPr>
        <w:t>.</w:t>
      </w:r>
    </w:p>
    <w:p w14:paraId="708DFCBB" w14:textId="77777777" w:rsidR="008C4C13" w:rsidRPr="008C4C13" w:rsidRDefault="008C4C13" w:rsidP="008C4C13">
      <w:pPr>
        <w:pStyle w:val="enumlev1"/>
        <w:spacing w:before="40"/>
        <w:rPr>
          <w:color w:val="000000"/>
          <w:lang w:val="fr-CH"/>
        </w:rPr>
      </w:pPr>
      <w:r w:rsidRPr="008C4C13">
        <w:rPr>
          <w:color w:val="000000"/>
          <w:lang w:val="fr-CH"/>
        </w:rPr>
        <w:t>2)</w:t>
      </w:r>
      <w:r w:rsidRPr="008C4C13">
        <w:rPr>
          <w:color w:val="000000"/>
          <w:lang w:val="fr-CH"/>
        </w:rPr>
        <w:tab/>
        <w:t>Lorsque</w:t>
      </w:r>
      <w:r w:rsidR="0031780E">
        <w:rPr>
          <w:color w:val="000000"/>
          <w:lang w:val="fr-CH"/>
        </w:rPr>
        <w:t xml:space="preserve"> les caractéristiques notifiées</w:t>
      </w:r>
      <w:r w:rsidRPr="008C4C13">
        <w:rPr>
          <w:color w:val="000000"/>
          <w:lang w:val="fr-CH"/>
        </w:rPr>
        <w:t xml:space="preserve"> sont différentes de celles publiées dans la Section spéciale relative à la publication anticipée soumise par une administration ou automatiquement créée par le Bureau, la nécessité</w:t>
      </w:r>
      <w:r w:rsidRPr="008C4C13">
        <w:rPr>
          <w:lang w:val="fr-CH"/>
        </w:rPr>
        <w:t xml:space="preserve"> </w:t>
      </w:r>
      <w:r w:rsidRPr="008C4C13">
        <w:rPr>
          <w:color w:val="000000"/>
          <w:lang w:val="fr-CH"/>
        </w:rPr>
        <w:t xml:space="preserve">d'appliquer à nouveau la procédure de l'Article </w:t>
      </w:r>
      <w:r w:rsidRPr="008C4C13">
        <w:rPr>
          <w:b/>
          <w:bCs/>
          <w:color w:val="000000"/>
          <w:lang w:val="fr-CH"/>
        </w:rPr>
        <w:t>9</w:t>
      </w:r>
      <w:r w:rsidRPr="008C4C13">
        <w:rPr>
          <w:color w:val="000000"/>
          <w:lang w:val="fr-CH"/>
        </w:rPr>
        <w:t xml:space="preserve"> est examinée conformément au numéro </w:t>
      </w:r>
      <w:r w:rsidRPr="008C4C13">
        <w:rPr>
          <w:b/>
          <w:bCs/>
          <w:color w:val="000000"/>
          <w:lang w:val="fr-CH"/>
        </w:rPr>
        <w:t>9.2</w:t>
      </w:r>
      <w:r w:rsidRPr="008C4C13">
        <w:rPr>
          <w:lang w:val="fr-CH"/>
        </w:rPr>
        <w:t>.</w:t>
      </w:r>
      <w:r w:rsidRPr="008C4C13">
        <w:rPr>
          <w:color w:val="000000"/>
          <w:lang w:val="fr-CH"/>
        </w:rPr>
        <w:t xml:space="preserve"> Le cas échéant, </w:t>
      </w:r>
      <w:r w:rsidRPr="008C4C13">
        <w:rPr>
          <w:color w:val="000000"/>
          <w:lang w:val="fr-FR"/>
        </w:rPr>
        <w:t xml:space="preserve">la fiche de notification est retournée </w:t>
      </w:r>
      <w:r w:rsidRPr="008C4C13">
        <w:rPr>
          <w:color w:val="000000"/>
          <w:lang w:val="fr-CH"/>
        </w:rPr>
        <w:t>à l'administration notificatrice, accompagnée d'une recommandation l'invitant à recommencer la procédure de publication anticipée.</w:t>
      </w:r>
    </w:p>
    <w:p w14:paraId="12257FEE" w14:textId="77777777" w:rsidR="008C4C13" w:rsidRPr="008C4C13" w:rsidRDefault="008C4C13" w:rsidP="008C4C13">
      <w:pPr>
        <w:pStyle w:val="enumlev1"/>
        <w:rPr>
          <w:color w:val="000000"/>
          <w:lang w:val="fr-CH"/>
        </w:rPr>
      </w:pPr>
      <w:r w:rsidRPr="008C4C13">
        <w:rPr>
          <w:color w:val="000000"/>
          <w:lang w:val="fr-CH"/>
        </w:rPr>
        <w:t>3)</w:t>
      </w:r>
      <w:r w:rsidRPr="008C4C13">
        <w:rPr>
          <w:color w:val="000000"/>
          <w:lang w:val="fr-CH"/>
        </w:rPr>
        <w:tab/>
        <w:t>Lorsque les caractéristiques notifiées sont différentes de celles publiées dans la Section spéciale relative à la publication anticipée de la demande de coordination, selon le cas, cette différence est censée découler de la coordination.</w:t>
      </w:r>
    </w:p>
    <w:p w14:paraId="43A999D0" w14:textId="77777777" w:rsidR="007B37F7" w:rsidRDefault="008C4C13" w:rsidP="0031780E">
      <w:pPr>
        <w:pStyle w:val="enumlev1"/>
        <w:rPr>
          <w:color w:val="000000"/>
          <w:lang w:val="fr-CH"/>
        </w:rPr>
      </w:pPr>
      <w:r w:rsidRPr="008C4C13">
        <w:rPr>
          <w:color w:val="000000"/>
          <w:lang w:val="fr-CH"/>
        </w:rPr>
        <w:t>4)</w:t>
      </w:r>
      <w:r w:rsidRPr="008C4C13">
        <w:rPr>
          <w:color w:val="000000"/>
          <w:lang w:val="fr-CH"/>
        </w:rPr>
        <w:tab/>
        <w:t xml:space="preserve">Pour des raisons pratiques, le Bureau n'a pas pu comparer systématiquement les renseignements de coordination présentés dans la fiche de notification soumise en vertu du numéro </w:t>
      </w:r>
      <w:r w:rsidRPr="008C4C13">
        <w:rPr>
          <w:rStyle w:val="Artref0"/>
          <w:b/>
          <w:color w:val="000000"/>
          <w:lang w:val="fr-CH"/>
        </w:rPr>
        <w:t>11.2</w:t>
      </w:r>
      <w:r w:rsidRPr="008C4C13">
        <w:rPr>
          <w:color w:val="000000"/>
          <w:lang w:val="fr-CH"/>
        </w:rPr>
        <w:t xml:space="preserve"> ou </w:t>
      </w:r>
      <w:r w:rsidRPr="008C4C13">
        <w:rPr>
          <w:rStyle w:val="Artref0"/>
          <w:b/>
          <w:color w:val="000000"/>
          <w:lang w:val="fr-CH"/>
        </w:rPr>
        <w:t>11.9</w:t>
      </w:r>
      <w:r w:rsidRPr="008C4C13">
        <w:rPr>
          <w:color w:val="000000"/>
          <w:lang w:val="fr-CH"/>
        </w:rPr>
        <w:t xml:space="preserve"> et les renseignements extraits de la volumineuse correspondance échangée pendant la phase de coordination. Le Comité a donc décidé que les examens effectués par le Bureau au titre du numéro </w:t>
      </w:r>
      <w:r w:rsidRPr="008C4C13">
        <w:rPr>
          <w:rStyle w:val="Artref0"/>
          <w:b/>
          <w:color w:val="000000"/>
          <w:lang w:val="fr-CH"/>
        </w:rPr>
        <w:t>11.32</w:t>
      </w:r>
      <w:r w:rsidRPr="008C4C13">
        <w:rPr>
          <w:color w:val="000000"/>
          <w:lang w:val="fr-CH"/>
        </w:rPr>
        <w:t xml:space="preserve"> se fonderaient sur les renseignements de coordination extraits des fiches de notification (Colonnes A5/A6). Ces renseignements étant les plus à jour</w:t>
      </w:r>
      <w:r w:rsidRPr="008C4C13">
        <w:rPr>
          <w:lang w:val="fr-CH"/>
        </w:rPr>
        <w:t xml:space="preserve"> pour le cas à l'examen, le</w:t>
      </w:r>
      <w:r w:rsidRPr="008C4C13">
        <w:rPr>
          <w:color w:val="000000"/>
          <w:lang w:val="fr-CH"/>
        </w:rPr>
        <w:t xml:space="preserve"> Bureau examinera les </w:t>
      </w:r>
      <w:r w:rsidRPr="008C4C13">
        <w:rPr>
          <w:lang w:val="fr-CH"/>
        </w:rPr>
        <w:t>données notifiées relatives</w:t>
      </w:r>
      <w:r w:rsidRPr="008C4C13">
        <w:rPr>
          <w:color w:val="000000"/>
          <w:lang w:val="fr-CH"/>
        </w:rPr>
        <w:t xml:space="preserve"> au réseau présentés dans la</w:t>
      </w:r>
      <w:r w:rsidR="0031780E">
        <w:rPr>
          <w:color w:val="000000"/>
          <w:lang w:val="fr-CH"/>
        </w:rPr>
        <w:t xml:space="preserve"> fiche de </w:t>
      </w:r>
      <w:r w:rsidRPr="008C4C13">
        <w:rPr>
          <w:color w:val="000000"/>
          <w:lang w:val="fr-CH"/>
        </w:rPr>
        <w:t>notification telles qu'elles ont été coordonnées avec les pays mentionnés dans les Colonnes A5/A6.</w:t>
      </w:r>
    </w:p>
    <w:p w14:paraId="65500100" w14:textId="77777777" w:rsidR="00664075" w:rsidRDefault="00664075" w:rsidP="0031780E">
      <w:pPr>
        <w:pStyle w:val="enumlev1"/>
        <w:rPr>
          <w:color w:val="000000"/>
          <w:lang w:val="fr-CH"/>
        </w:rPr>
        <w:sectPr w:rsidR="00664075" w:rsidSect="00526050">
          <w:footnotePr>
            <w:pos w:val="beneathText"/>
          </w:footnotePr>
          <w:pgSz w:w="11907" w:h="16840" w:code="9"/>
          <w:pgMar w:top="1701" w:right="851" w:bottom="1134" w:left="1985" w:header="720" w:footer="482" w:gutter="0"/>
          <w:cols w:space="720"/>
          <w:vAlign w:val="both"/>
          <w:docGrid w:linePitch="326"/>
        </w:sectPr>
      </w:pPr>
    </w:p>
    <w:p w14:paraId="6200439B" w14:textId="77777777" w:rsidR="00CB0787" w:rsidRPr="00277E7C" w:rsidRDefault="00CB0787" w:rsidP="00CC1169">
      <w:pPr>
        <w:pStyle w:val="Heading8"/>
        <w:rPr>
          <w:color w:val="000000"/>
          <w:lang w:val="fr-FR"/>
        </w:rPr>
      </w:pPr>
      <w:r w:rsidRPr="00277E7C">
        <w:rPr>
          <w:color w:val="000000"/>
          <w:lang w:val="fr-FR"/>
        </w:rPr>
        <w:lastRenderedPageBreak/>
        <w:t>11.</w:t>
      </w:r>
      <w:r w:rsidR="00CC1169" w:rsidRPr="00277E7C">
        <w:rPr>
          <w:color w:val="000000"/>
          <w:lang w:val="fr-FR"/>
        </w:rPr>
        <w:t>3</w:t>
      </w:r>
      <w:r w:rsidRPr="00277E7C">
        <w:rPr>
          <w:color w:val="000000"/>
          <w:lang w:val="fr-FR"/>
        </w:rPr>
        <w:t>1</w:t>
      </w:r>
    </w:p>
    <w:p w14:paraId="3F2E7125" w14:textId="77777777" w:rsidR="00667361" w:rsidRPr="00277E7C" w:rsidRDefault="00667361" w:rsidP="00667361">
      <w:pPr>
        <w:rPr>
          <w:color w:val="000000"/>
          <w:lang w:val="fr-FR"/>
        </w:rPr>
      </w:pPr>
      <w:r w:rsidRPr="00277E7C">
        <w:rPr>
          <w:color w:val="000000"/>
          <w:lang w:val="fr-FR"/>
        </w:rPr>
        <w:t>1</w:t>
      </w:r>
      <w:r w:rsidRPr="00277E7C">
        <w:rPr>
          <w:b/>
          <w:color w:val="000000"/>
          <w:lang w:val="fr-FR"/>
        </w:rPr>
        <w:tab/>
      </w:r>
      <w:r w:rsidRPr="00277E7C">
        <w:rPr>
          <w:color w:val="000000"/>
          <w:lang w:val="fr-FR"/>
        </w:rPr>
        <w:t xml:space="preserve">En vertu de la disposition numéro </w:t>
      </w:r>
      <w:r w:rsidRPr="00277E7C">
        <w:rPr>
          <w:rStyle w:val="Artref0"/>
          <w:b/>
          <w:color w:val="000000"/>
          <w:lang w:val="fr-FR"/>
        </w:rPr>
        <w:t>11.31.2</w:t>
      </w:r>
      <w:r w:rsidRPr="00277E7C">
        <w:rPr>
          <w:color w:val="000000"/>
          <w:lang w:val="fr-FR"/>
        </w:rPr>
        <w:t xml:space="preserve"> les </w:t>
      </w:r>
      <w:r w:rsidRPr="00750D80">
        <w:rPr>
          <w:i/>
          <w:iCs/>
          <w:color w:val="000000"/>
          <w:lang w:val="fr-FR"/>
        </w:rPr>
        <w:t>«autres dispositions»</w:t>
      </w:r>
      <w:r w:rsidRPr="00277E7C">
        <w:rPr>
          <w:color w:val="000000"/>
          <w:lang w:val="fr-FR"/>
        </w:rPr>
        <w:t xml:space="preserve"> visées au numéro </w:t>
      </w:r>
      <w:r w:rsidRPr="00277E7C">
        <w:rPr>
          <w:rStyle w:val="Artref0"/>
          <w:b/>
          <w:color w:val="000000"/>
          <w:lang w:val="fr-FR"/>
        </w:rPr>
        <w:t>11.31</w:t>
      </w:r>
      <w:r w:rsidRPr="00277E7C">
        <w:rPr>
          <w:color w:val="000000"/>
          <w:lang w:val="fr-FR"/>
        </w:rPr>
        <w:t xml:space="preserve"> doivent être définies et incorporées dans les Règles de procédure. Le présent chapitre vise à remédier à ce problème.</w:t>
      </w:r>
    </w:p>
    <w:p w14:paraId="73B76397" w14:textId="77777777" w:rsidR="00667361" w:rsidRPr="00277E7C" w:rsidRDefault="00667361" w:rsidP="00667361">
      <w:pPr>
        <w:rPr>
          <w:lang w:val="fr-FR"/>
        </w:rPr>
      </w:pPr>
      <w:r w:rsidRPr="00277E7C">
        <w:rPr>
          <w:lang w:val="fr-FR"/>
        </w:rPr>
        <w:t>L'examen réglementaire relativement au numéro </w:t>
      </w:r>
      <w:r w:rsidRPr="00277E7C">
        <w:rPr>
          <w:rStyle w:val="Artref0"/>
          <w:b/>
          <w:color w:val="000000"/>
          <w:lang w:val="fr-FR"/>
        </w:rPr>
        <w:t>11.31</w:t>
      </w:r>
      <w:r w:rsidRPr="00277E7C">
        <w:rPr>
          <w:lang w:val="fr-FR"/>
        </w:rPr>
        <w:t xml:space="preserve"> comprend</w:t>
      </w:r>
      <w:r w:rsidRPr="00277E7C">
        <w:rPr>
          <w:rStyle w:val="FootnoteReference"/>
          <w:color w:val="000000"/>
          <w:sz w:val="20"/>
          <w:lang w:val="fr-FR"/>
        </w:rPr>
        <w:footnoteReference w:customMarkFollows="1" w:id="5"/>
        <w:t>5</w:t>
      </w:r>
      <w:r w:rsidRPr="00277E7C">
        <w:rPr>
          <w:lang w:val="fr-FR"/>
        </w:rPr>
        <w:t>:</w:t>
      </w:r>
    </w:p>
    <w:p w14:paraId="5D749F2D" w14:textId="77777777" w:rsidR="00667361" w:rsidRPr="00277E7C" w:rsidRDefault="00667361" w:rsidP="00667361">
      <w:pPr>
        <w:pStyle w:val="enumlev1"/>
        <w:rPr>
          <w:lang w:val="fr-FR"/>
        </w:rPr>
      </w:pPr>
      <w:r w:rsidRPr="00277E7C">
        <w:rPr>
          <w:lang w:val="fr-FR"/>
        </w:rPr>
        <w:t>–</w:t>
      </w:r>
      <w:r w:rsidRPr="00277E7C">
        <w:rPr>
          <w:lang w:val="fr-FR"/>
        </w:rPr>
        <w:tab/>
        <w:t>la conformité au Tableau d'attribution des bandes de fréquences, ainsi que ses renvois et toute Résolution ou Recommandation citée dans les renvois;</w:t>
      </w:r>
    </w:p>
    <w:p w14:paraId="5E0B5CFC" w14:textId="77777777" w:rsidR="00667361" w:rsidRPr="00277E7C" w:rsidRDefault="00667361" w:rsidP="00667361">
      <w:pPr>
        <w:pStyle w:val="enumlev1"/>
        <w:rPr>
          <w:color w:val="000000"/>
          <w:lang w:val="fr-FR"/>
        </w:rPr>
      </w:pPr>
      <w:r w:rsidRPr="00277E7C">
        <w:rPr>
          <w:color w:val="000000"/>
          <w:lang w:val="fr-FR"/>
        </w:rPr>
        <w:t>–</w:t>
      </w:r>
      <w:r w:rsidRPr="00277E7C">
        <w:rPr>
          <w:color w:val="000000"/>
          <w:lang w:val="fr-FR"/>
        </w:rPr>
        <w:tab/>
        <w:t xml:space="preserve">l'application réussie du numéro </w:t>
      </w:r>
      <w:r w:rsidRPr="00277E7C">
        <w:rPr>
          <w:rStyle w:val="Artref0"/>
          <w:b/>
          <w:color w:val="000000"/>
          <w:lang w:val="fr-FR"/>
        </w:rPr>
        <w:t>9.21</w:t>
      </w:r>
      <w:r w:rsidRPr="00277E7C">
        <w:rPr>
          <w:color w:val="000000"/>
          <w:lang w:val="fr-FR"/>
        </w:rPr>
        <w:t>, lorsqu'il en est question dans un renvoi (voir également les Règles de procédure relatives aux numéros </w:t>
      </w:r>
      <w:r w:rsidRPr="00277E7C">
        <w:rPr>
          <w:rStyle w:val="Artref0"/>
          <w:b/>
          <w:color w:val="000000"/>
          <w:lang w:val="fr-FR"/>
        </w:rPr>
        <w:t>9.21</w:t>
      </w:r>
      <w:r w:rsidRPr="00277E7C">
        <w:rPr>
          <w:color w:val="000000"/>
          <w:lang w:val="fr-FR"/>
        </w:rPr>
        <w:t xml:space="preserve"> et </w:t>
      </w:r>
      <w:r w:rsidRPr="00277E7C">
        <w:rPr>
          <w:rStyle w:val="Artref0"/>
          <w:b/>
          <w:color w:val="000000"/>
          <w:lang w:val="fr-FR"/>
        </w:rPr>
        <w:t>11.37</w:t>
      </w:r>
      <w:r w:rsidRPr="00277E7C">
        <w:rPr>
          <w:color w:val="000000"/>
          <w:lang w:val="fr-FR"/>
        </w:rPr>
        <w:t>);</w:t>
      </w:r>
    </w:p>
    <w:p w14:paraId="74FB0F01" w14:textId="0209C2A6" w:rsidR="00667361" w:rsidRPr="00277E7C" w:rsidRDefault="00667361" w:rsidP="00D20D54">
      <w:pPr>
        <w:pStyle w:val="enumlev1"/>
        <w:rPr>
          <w:color w:val="000000"/>
          <w:lang w:val="fr-FR"/>
        </w:rPr>
      </w:pPr>
      <w:r w:rsidRPr="00277E7C">
        <w:rPr>
          <w:color w:val="000000"/>
          <w:lang w:val="fr-FR"/>
        </w:rPr>
        <w:t>–</w:t>
      </w:r>
      <w:r w:rsidRPr="00277E7C">
        <w:rPr>
          <w:color w:val="000000"/>
          <w:lang w:val="fr-FR"/>
        </w:rPr>
        <w:tab/>
        <w:t xml:space="preserve">toutes les </w:t>
      </w:r>
      <w:r w:rsidRPr="00750D80">
        <w:rPr>
          <w:i/>
          <w:iCs/>
          <w:color w:val="000000"/>
          <w:lang w:val="fr-FR"/>
        </w:rPr>
        <w:t>«autres»</w:t>
      </w:r>
      <w:r w:rsidRPr="00277E7C">
        <w:rPr>
          <w:color w:val="000000"/>
          <w:lang w:val="fr-FR"/>
        </w:rPr>
        <w:t xml:space="preserve"> dispositions à caractère obligatoire figurant aux Articles </w:t>
      </w:r>
      <w:r w:rsidRPr="00277E7C">
        <w:rPr>
          <w:rStyle w:val="Artref0"/>
          <w:b/>
          <w:color w:val="000000"/>
          <w:lang w:val="fr-FR"/>
        </w:rPr>
        <w:t>21</w:t>
      </w:r>
      <w:r w:rsidRPr="00277E7C">
        <w:rPr>
          <w:color w:val="000000"/>
          <w:lang w:val="fr-FR"/>
        </w:rPr>
        <w:t xml:space="preserve"> à </w:t>
      </w:r>
      <w:r w:rsidRPr="00277E7C">
        <w:rPr>
          <w:rStyle w:val="Artref0"/>
          <w:b/>
          <w:color w:val="000000"/>
          <w:lang w:val="fr-FR"/>
        </w:rPr>
        <w:t>57</w:t>
      </w:r>
      <w:r w:rsidRPr="00277E7C">
        <w:rPr>
          <w:color w:val="000000"/>
          <w:lang w:val="fr-FR"/>
        </w:rPr>
        <w:t>, dans</w:t>
      </w:r>
      <w:r w:rsidR="00D20D54" w:rsidRPr="00277E7C">
        <w:rPr>
          <w:color w:val="000000"/>
          <w:lang w:val="fr-FR"/>
        </w:rPr>
        <w:t> </w:t>
      </w:r>
      <w:r w:rsidRPr="00277E7C">
        <w:rPr>
          <w:color w:val="000000"/>
          <w:lang w:val="fr-FR"/>
        </w:rPr>
        <w:t>les Appendices du Règlement des radiocommunications et/ou dans les Résolutions applicables au service dans la bande de fréquences dans laquelle une station de ce service est exploitée.</w:t>
      </w:r>
    </w:p>
    <w:p w14:paraId="5E7B82F0" w14:textId="41627486" w:rsidR="00667361" w:rsidRPr="00277E7C" w:rsidRDefault="00667361" w:rsidP="00786B67">
      <w:pPr>
        <w:rPr>
          <w:color w:val="000000"/>
          <w:lang w:val="fr-FR"/>
        </w:rPr>
      </w:pPr>
      <w:r w:rsidRPr="00277E7C">
        <w:rPr>
          <w:color w:val="000000"/>
          <w:lang w:val="fr-FR"/>
        </w:rPr>
        <w:t>2</w:t>
      </w:r>
      <w:r w:rsidRPr="00277E7C">
        <w:rPr>
          <w:color w:val="000000"/>
          <w:lang w:val="fr-FR"/>
        </w:rPr>
        <w:tab/>
      </w:r>
      <w:r w:rsidR="00786B67" w:rsidRPr="000D76C5">
        <w:rPr>
          <w:rFonts w:asciiTheme="majorBidi" w:hAnsiTheme="majorBidi" w:cstheme="majorBidi"/>
          <w:lang w:val="fr-CH"/>
        </w:rPr>
        <w:t xml:space="preserve">On trouvera ci-après la liste des </w:t>
      </w:r>
      <w:r w:rsidR="00786B67" w:rsidRPr="00750D80">
        <w:rPr>
          <w:rFonts w:asciiTheme="majorBidi" w:hAnsiTheme="majorBidi" w:cstheme="majorBidi"/>
          <w:i/>
          <w:iCs/>
          <w:lang w:val="fr-CH"/>
        </w:rPr>
        <w:t>«autres dispositions»</w:t>
      </w:r>
      <w:r w:rsidR="00786B67" w:rsidRPr="000D76C5">
        <w:rPr>
          <w:rFonts w:asciiTheme="majorBidi" w:hAnsiTheme="majorBidi" w:cstheme="majorBidi"/>
          <w:lang w:val="fr-CH"/>
        </w:rPr>
        <w:t xml:space="preserve">, visées au numéro </w:t>
      </w:r>
      <w:r w:rsidR="00786B67" w:rsidRPr="000D76C5">
        <w:rPr>
          <w:rFonts w:asciiTheme="majorBidi" w:hAnsiTheme="majorBidi" w:cstheme="majorBidi"/>
          <w:b/>
          <w:bCs/>
          <w:lang w:val="fr-CH"/>
        </w:rPr>
        <w:t>11.31.2</w:t>
      </w:r>
      <w:r w:rsidR="00786B67" w:rsidRPr="000D76C5">
        <w:rPr>
          <w:rFonts w:asciiTheme="majorBidi" w:hAnsiTheme="majorBidi" w:cstheme="majorBidi"/>
          <w:lang w:val="fr-CH"/>
        </w:rPr>
        <w:t>, relativement auxquelles les fiches de notification relatives à des stations des services de Terre (§ 2.1 à 2.5.2) ou des services spatiaux (§ 2.6 à 2.6.7) sont examinées:</w:t>
      </w:r>
    </w:p>
    <w:p w14:paraId="435B087B" w14:textId="77777777" w:rsidR="00667361" w:rsidRPr="00277E7C" w:rsidRDefault="00667361" w:rsidP="00910E82">
      <w:pPr>
        <w:rPr>
          <w:color w:val="000000"/>
          <w:lang w:val="fr-FR"/>
        </w:rPr>
      </w:pPr>
      <w:r w:rsidRPr="00277E7C">
        <w:rPr>
          <w:color w:val="000000"/>
          <w:lang w:val="fr-FR"/>
        </w:rPr>
        <w:t>2.1</w:t>
      </w:r>
      <w:r w:rsidRPr="00277E7C">
        <w:rPr>
          <w:color w:val="000000"/>
          <w:lang w:val="fr-FR"/>
        </w:rPr>
        <w:tab/>
      </w:r>
      <w:r w:rsidRPr="00277E7C">
        <w:rPr>
          <w:i/>
          <w:color w:val="000000"/>
          <w:lang w:val="fr-FR"/>
        </w:rPr>
        <w:t>Service</w:t>
      </w:r>
      <w:r w:rsidR="00910E82" w:rsidRPr="00277E7C">
        <w:rPr>
          <w:i/>
          <w:color w:val="000000"/>
          <w:lang w:val="fr-FR"/>
        </w:rPr>
        <w:t> </w:t>
      </w:r>
      <w:r w:rsidRPr="00277E7C">
        <w:rPr>
          <w:i/>
          <w:color w:val="000000"/>
          <w:lang w:val="fr-FR"/>
        </w:rPr>
        <w:t>de</w:t>
      </w:r>
      <w:r w:rsidR="00910E82" w:rsidRPr="00277E7C">
        <w:rPr>
          <w:i/>
          <w:color w:val="000000"/>
          <w:lang w:val="fr-FR"/>
        </w:rPr>
        <w:t> </w:t>
      </w:r>
      <w:r w:rsidRPr="00277E7C">
        <w:rPr>
          <w:i/>
          <w:color w:val="000000"/>
          <w:lang w:val="fr-FR"/>
        </w:rPr>
        <w:t>radiodiffusion:</w:t>
      </w:r>
      <w:r w:rsidR="00910E82" w:rsidRPr="00277E7C">
        <w:rPr>
          <w:iCs/>
          <w:color w:val="000000"/>
          <w:lang w:val="fr-FR"/>
        </w:rPr>
        <w:t>  </w:t>
      </w:r>
      <w:r w:rsidRPr="00277E7C">
        <w:rPr>
          <w:color w:val="000000"/>
          <w:lang w:val="fr-FR"/>
        </w:rPr>
        <w:t xml:space="preserve">Celles qui figurent dans le numéro </w:t>
      </w:r>
      <w:r w:rsidRPr="00277E7C">
        <w:rPr>
          <w:rStyle w:val="Artref0"/>
          <w:b/>
          <w:color w:val="000000"/>
          <w:lang w:val="fr-FR"/>
        </w:rPr>
        <w:t>23.7</w:t>
      </w:r>
      <w:r w:rsidRPr="00277E7C">
        <w:rPr>
          <w:color w:val="000000"/>
          <w:lang w:val="fr-FR"/>
        </w:rPr>
        <w:t xml:space="preserve"> concernant la limite de puissance (50</w:t>
      </w:r>
      <w:r w:rsidR="00910E82" w:rsidRPr="00277E7C">
        <w:rPr>
          <w:color w:val="000000"/>
          <w:lang w:val="fr-FR"/>
        </w:rPr>
        <w:t xml:space="preserve"> </w:t>
      </w:r>
      <w:r w:rsidRPr="00277E7C">
        <w:rPr>
          <w:color w:val="000000"/>
          <w:lang w:val="fr-FR"/>
        </w:rPr>
        <w:t>kW) des émetteurs de radiodiffusion fonctionnant dans la Zone tropi</w:t>
      </w:r>
      <w:r w:rsidR="00910E82" w:rsidRPr="00277E7C">
        <w:rPr>
          <w:color w:val="000000"/>
          <w:lang w:val="fr-FR"/>
        </w:rPr>
        <w:softHyphen/>
      </w:r>
      <w:r w:rsidRPr="00277E7C">
        <w:rPr>
          <w:color w:val="000000"/>
          <w:lang w:val="fr-FR"/>
        </w:rPr>
        <w:t>cale dans les bandes de fréquences énumérées au numéro </w:t>
      </w:r>
      <w:r w:rsidRPr="00277E7C">
        <w:rPr>
          <w:rStyle w:val="Artref0"/>
          <w:b/>
          <w:color w:val="000000"/>
          <w:lang w:val="fr-FR"/>
        </w:rPr>
        <w:t>23.6</w:t>
      </w:r>
      <w:r w:rsidRPr="00277E7C">
        <w:rPr>
          <w:color w:val="000000"/>
          <w:lang w:val="fr-FR"/>
        </w:rPr>
        <w:t>.</w:t>
      </w:r>
    </w:p>
    <w:p w14:paraId="1661219D" w14:textId="77777777" w:rsidR="00667361" w:rsidRPr="00277E7C" w:rsidRDefault="00667361" w:rsidP="00910E82">
      <w:pPr>
        <w:rPr>
          <w:color w:val="000000"/>
          <w:lang w:val="fr-FR"/>
        </w:rPr>
      </w:pPr>
      <w:r w:rsidRPr="00277E7C">
        <w:rPr>
          <w:color w:val="000000"/>
          <w:lang w:val="fr-FR"/>
        </w:rPr>
        <w:t>2.2</w:t>
      </w:r>
      <w:r w:rsidRPr="00277E7C">
        <w:rPr>
          <w:color w:val="000000"/>
          <w:lang w:val="fr-FR"/>
        </w:rPr>
        <w:tab/>
      </w:r>
      <w:r w:rsidRPr="00277E7C">
        <w:rPr>
          <w:i/>
          <w:color w:val="000000"/>
          <w:lang w:val="fr-FR"/>
        </w:rPr>
        <w:t>Service</w:t>
      </w:r>
      <w:r w:rsidR="00910E82" w:rsidRPr="00277E7C">
        <w:rPr>
          <w:i/>
          <w:color w:val="000000"/>
          <w:lang w:val="fr-FR"/>
        </w:rPr>
        <w:t> </w:t>
      </w:r>
      <w:r w:rsidRPr="00277E7C">
        <w:rPr>
          <w:i/>
          <w:color w:val="000000"/>
          <w:lang w:val="fr-FR"/>
        </w:rPr>
        <w:t>fixe:</w:t>
      </w:r>
      <w:r w:rsidR="00910E82" w:rsidRPr="00277E7C">
        <w:rPr>
          <w:iCs/>
          <w:color w:val="000000"/>
          <w:lang w:val="fr-FR"/>
        </w:rPr>
        <w:t>  </w:t>
      </w:r>
      <w:r w:rsidRPr="00277E7C">
        <w:rPr>
          <w:color w:val="000000"/>
          <w:lang w:val="fr-FR"/>
        </w:rPr>
        <w:t xml:space="preserve">Celles du numéro </w:t>
      </w:r>
      <w:r w:rsidRPr="00277E7C">
        <w:rPr>
          <w:rStyle w:val="Artref0"/>
          <w:b/>
          <w:color w:val="000000"/>
          <w:lang w:val="fr-FR"/>
        </w:rPr>
        <w:t>24.2</w:t>
      </w:r>
      <w:r w:rsidRPr="00277E7C">
        <w:rPr>
          <w:color w:val="000000"/>
          <w:lang w:val="fr-FR"/>
        </w:rPr>
        <w:t xml:space="preserve"> qui stipulent que les émissions des classes F3E et G3E ne sont pas autorisées dans le service fixe au-dessous de 30 MHz.</w:t>
      </w:r>
    </w:p>
    <w:p w14:paraId="27535017" w14:textId="77777777" w:rsidR="00667361" w:rsidRPr="00277E7C" w:rsidRDefault="00667361" w:rsidP="00D20D54">
      <w:pPr>
        <w:keepNext/>
        <w:keepLines/>
        <w:rPr>
          <w:color w:val="000000"/>
          <w:lang w:val="fr-FR"/>
        </w:rPr>
      </w:pPr>
      <w:r w:rsidRPr="00277E7C">
        <w:rPr>
          <w:color w:val="000000"/>
          <w:lang w:val="fr-FR"/>
        </w:rPr>
        <w:t>2.3</w:t>
      </w:r>
      <w:r w:rsidRPr="00277E7C">
        <w:rPr>
          <w:color w:val="000000"/>
          <w:lang w:val="fr-FR"/>
        </w:rPr>
        <w:tab/>
      </w:r>
      <w:r w:rsidRPr="00277E7C">
        <w:rPr>
          <w:i/>
          <w:color w:val="000000"/>
          <w:lang w:val="fr-FR"/>
        </w:rPr>
        <w:t>Service</w:t>
      </w:r>
      <w:r w:rsidR="00910E82" w:rsidRPr="00277E7C">
        <w:rPr>
          <w:i/>
          <w:color w:val="000000"/>
          <w:lang w:val="fr-FR"/>
        </w:rPr>
        <w:t> </w:t>
      </w:r>
      <w:r w:rsidRPr="00277E7C">
        <w:rPr>
          <w:i/>
          <w:color w:val="000000"/>
          <w:lang w:val="fr-FR"/>
        </w:rPr>
        <w:t>mobile</w:t>
      </w:r>
      <w:r w:rsidR="00910E82" w:rsidRPr="00277E7C">
        <w:rPr>
          <w:i/>
          <w:color w:val="000000"/>
          <w:lang w:val="fr-FR"/>
        </w:rPr>
        <w:t> </w:t>
      </w:r>
      <w:r w:rsidRPr="00277E7C">
        <w:rPr>
          <w:i/>
          <w:color w:val="000000"/>
          <w:lang w:val="fr-FR"/>
        </w:rPr>
        <w:t>aéronautique:</w:t>
      </w:r>
      <w:r w:rsidR="00910E82" w:rsidRPr="00277E7C">
        <w:rPr>
          <w:iCs/>
          <w:color w:val="000000"/>
          <w:lang w:val="fr-FR"/>
        </w:rPr>
        <w:t>  </w:t>
      </w:r>
      <w:r w:rsidRPr="00277E7C">
        <w:rPr>
          <w:color w:val="000000"/>
          <w:lang w:val="fr-FR"/>
        </w:rPr>
        <w:t>Il n'existe des clauses obligatoires que pour les bandes de fréquences qui sont attribuées en exclusivité au service mobile aéronautique. Ces</w:t>
      </w:r>
      <w:r w:rsidR="00D20D54" w:rsidRPr="00277E7C">
        <w:rPr>
          <w:color w:val="000000"/>
          <w:lang w:val="fr-FR"/>
        </w:rPr>
        <w:t xml:space="preserve"> </w:t>
      </w:r>
      <w:r w:rsidRPr="00277E7C">
        <w:rPr>
          <w:color w:val="000000"/>
          <w:lang w:val="fr-FR"/>
        </w:rPr>
        <w:t xml:space="preserve">clauses (disposition obligatoire des voies, classes d'émission permises, limites de puissance) sont contenues dans les Appendices </w:t>
      </w:r>
      <w:r w:rsidRPr="00277E7C">
        <w:rPr>
          <w:rStyle w:val="Appref"/>
          <w:b/>
          <w:color w:val="000000"/>
          <w:lang w:val="fr-FR"/>
        </w:rPr>
        <w:t>26</w:t>
      </w:r>
      <w:r w:rsidRPr="00277E7C">
        <w:rPr>
          <w:color w:val="000000"/>
          <w:lang w:val="fr-FR"/>
        </w:rPr>
        <w:t xml:space="preserve"> et </w:t>
      </w:r>
      <w:r w:rsidRPr="00277E7C">
        <w:rPr>
          <w:rStyle w:val="Appref"/>
          <w:b/>
          <w:color w:val="000000"/>
          <w:lang w:val="fr-FR"/>
        </w:rPr>
        <w:t>27</w:t>
      </w:r>
      <w:r w:rsidRPr="00277E7C">
        <w:rPr>
          <w:color w:val="000000"/>
          <w:lang w:val="fr-FR"/>
        </w:rPr>
        <w:t xml:space="preserve">. Entrent également dans cette catégorie de clauses réglementaires obligatoires les dispositions du numéro </w:t>
      </w:r>
      <w:r w:rsidRPr="00277E7C">
        <w:rPr>
          <w:rStyle w:val="Appref"/>
          <w:b/>
          <w:color w:val="000000"/>
          <w:lang w:val="fr-FR"/>
        </w:rPr>
        <w:t>43.4</w:t>
      </w:r>
      <w:r w:rsidRPr="00277E7C">
        <w:rPr>
          <w:color w:val="000000"/>
          <w:lang w:val="fr-FR"/>
        </w:rPr>
        <w:t>, c'est-à-dire l'interdiction d'utiliser les bandes de fréquences attribuées en exclusivité au service mobile aéronautique pour un type quelconque de correspondance publique.</w:t>
      </w:r>
    </w:p>
    <w:p w14:paraId="35267723" w14:textId="77777777" w:rsidR="00664075" w:rsidRDefault="00664075">
      <w:pPr>
        <w:tabs>
          <w:tab w:val="clear" w:pos="1134"/>
          <w:tab w:val="clear" w:pos="1871"/>
          <w:tab w:val="clear" w:pos="2268"/>
        </w:tabs>
        <w:overflowPunct/>
        <w:autoSpaceDE/>
        <w:autoSpaceDN/>
        <w:adjustRightInd/>
        <w:spacing w:before="0"/>
        <w:jc w:val="left"/>
        <w:textAlignment w:val="auto"/>
        <w:rPr>
          <w:lang w:val="fr-CH"/>
        </w:rPr>
        <w:sectPr w:rsidR="00664075" w:rsidSect="00664075">
          <w:headerReference w:type="default" r:id="rId10"/>
          <w:footnotePr>
            <w:pos w:val="beneathText"/>
          </w:footnotePr>
          <w:pgSz w:w="11907" w:h="16840" w:code="9"/>
          <w:pgMar w:top="1701" w:right="851" w:bottom="1134" w:left="1985" w:header="720" w:footer="482" w:gutter="0"/>
          <w:cols w:space="720"/>
          <w:vAlign w:val="both"/>
          <w:docGrid w:linePitch="326"/>
        </w:sectPr>
      </w:pPr>
    </w:p>
    <w:p w14:paraId="3CEB6BAB" w14:textId="08A34E58" w:rsidR="00667361" w:rsidRDefault="00F919DB" w:rsidP="00B4752D">
      <w:pPr>
        <w:spacing w:before="120"/>
        <w:rPr>
          <w:color w:val="000000"/>
          <w:lang w:val="fr-FR"/>
        </w:rPr>
      </w:pPr>
      <w:r w:rsidRPr="00F919DB">
        <w:rPr>
          <w:lang w:val="fr-CH"/>
        </w:rPr>
        <w:lastRenderedPageBreak/>
        <w:t>2.4</w:t>
      </w:r>
      <w:r w:rsidRPr="00F919DB">
        <w:rPr>
          <w:lang w:val="fr-CH"/>
        </w:rPr>
        <w:tab/>
      </w:r>
      <w:r w:rsidRPr="00F919DB">
        <w:rPr>
          <w:i/>
          <w:lang w:val="fr-CH"/>
        </w:rPr>
        <w:t>Service mobile maritime:</w:t>
      </w:r>
      <w:r w:rsidRPr="00F919DB">
        <w:rPr>
          <w:iCs/>
          <w:lang w:val="fr-CH"/>
        </w:rPr>
        <w:t> </w:t>
      </w:r>
      <w:r w:rsidRPr="00F919DB">
        <w:rPr>
          <w:lang w:val="fr-CH"/>
        </w:rPr>
        <w:t>La plupart d'entre elles sont relatives aux bandes de fréquences attribuées en exclusivité au service mobile maritime (disposition obligatoire des voies, classes d'émission permises, limites de puissance, etc.); cependant, un grand nombre d'entre elles sont également applicables aux bandes de fréquences attribuées au service mobile maritime sur la base d'un partage avec d'autres services. Le tableau ci-dessous récapitule les dispositions applicables aux assignations de fréquence qui font l'objet d'une notification</w:t>
      </w:r>
      <w:r w:rsidR="00667361" w:rsidRPr="00277E7C">
        <w:rPr>
          <w:color w:val="000000"/>
          <w:lang w:val="fr-FR"/>
        </w:rPr>
        <w:t>:</w:t>
      </w:r>
    </w:p>
    <w:p w14:paraId="2E8E46AE" w14:textId="77777777" w:rsidR="00D25157" w:rsidRPr="00EE1889" w:rsidRDefault="00D25157" w:rsidP="0076068A">
      <w:pPr>
        <w:spacing w:before="0"/>
        <w:rPr>
          <w:lang w:val="fr-CH"/>
        </w:rPr>
      </w:pPr>
    </w:p>
    <w:p w14:paraId="233A4699" w14:textId="77777777" w:rsidR="00910E82" w:rsidRPr="00277E7C" w:rsidRDefault="00910E82" w:rsidP="00910E82">
      <w:pPr>
        <w:pStyle w:val="Table"/>
        <w:spacing w:before="0"/>
        <w:rPr>
          <w:sz w:val="6"/>
          <w:szCs w:val="6"/>
          <w:lang w:val="fr-FR"/>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2835"/>
        <w:gridCol w:w="5670"/>
      </w:tblGrid>
      <w:tr w:rsidR="00667361" w:rsidRPr="00277E7C" w14:paraId="40C8A380" w14:textId="77777777" w:rsidTr="007B3E0F">
        <w:trPr>
          <w:cantSplit/>
        </w:trPr>
        <w:tc>
          <w:tcPr>
            <w:tcW w:w="2835" w:type="dxa"/>
            <w:tcBorders>
              <w:top w:val="nil"/>
              <w:left w:val="nil"/>
            </w:tcBorders>
          </w:tcPr>
          <w:p w14:paraId="0DB316B4" w14:textId="77777777" w:rsidR="00667361" w:rsidRPr="00277E7C" w:rsidRDefault="00667361" w:rsidP="007B3E0F">
            <w:pPr>
              <w:pStyle w:val="TableText"/>
              <w:framePr w:hSpace="181" w:wrap="around" w:vAnchor="text" w:hAnchor="margin" w:xAlign="center" w:y="1"/>
              <w:spacing w:before="120" w:after="120"/>
              <w:rPr>
                <w:color w:val="000000"/>
                <w:lang w:val="fr-FR"/>
              </w:rPr>
            </w:pPr>
          </w:p>
        </w:tc>
        <w:tc>
          <w:tcPr>
            <w:tcW w:w="5670" w:type="dxa"/>
            <w:tcBorders>
              <w:left w:val="nil"/>
              <w:right w:val="single" w:sz="6" w:space="0" w:color="auto"/>
            </w:tcBorders>
          </w:tcPr>
          <w:p w14:paraId="2A7AB6EE" w14:textId="77777777" w:rsidR="00667361" w:rsidRPr="00277E7C" w:rsidRDefault="00667361" w:rsidP="007B3E0F">
            <w:pPr>
              <w:pStyle w:val="TableHead"/>
              <w:framePr w:hSpace="181" w:wrap="around" w:vAnchor="text" w:hAnchor="margin" w:xAlign="center" w:y="1"/>
              <w:spacing w:before="120" w:after="120"/>
              <w:rPr>
                <w:color w:val="000000"/>
                <w:lang w:val="fr-FR"/>
              </w:rPr>
            </w:pPr>
            <w:r w:rsidRPr="00277E7C">
              <w:rPr>
                <w:color w:val="000000"/>
                <w:lang w:val="fr-FR"/>
              </w:rPr>
              <w:t>Disposition du numéro</w:t>
            </w:r>
          </w:p>
        </w:tc>
      </w:tr>
      <w:tr w:rsidR="00A06297" w:rsidRPr="00277E7C" w14:paraId="65E2C470" w14:textId="77777777" w:rsidTr="007B3E0F">
        <w:trPr>
          <w:cantSplit/>
        </w:trPr>
        <w:tc>
          <w:tcPr>
            <w:tcW w:w="2835" w:type="dxa"/>
          </w:tcPr>
          <w:p w14:paraId="6C353393" w14:textId="77777777" w:rsidR="00A06297" w:rsidRPr="00277E7C" w:rsidRDefault="00A06297" w:rsidP="00A06297">
            <w:pPr>
              <w:pStyle w:val="TableText"/>
              <w:framePr w:hSpace="181" w:wrap="around" w:vAnchor="text" w:hAnchor="margin" w:xAlign="center" w:y="1"/>
              <w:spacing w:before="80" w:after="80"/>
              <w:rPr>
                <w:color w:val="000000"/>
                <w:lang w:val="fr-FR"/>
              </w:rPr>
            </w:pPr>
            <w:r w:rsidRPr="00277E7C">
              <w:rPr>
                <w:color w:val="000000"/>
                <w:lang w:val="fr-FR"/>
              </w:rPr>
              <w:t>Limites de puissance</w:t>
            </w:r>
          </w:p>
        </w:tc>
        <w:tc>
          <w:tcPr>
            <w:tcW w:w="5670" w:type="dxa"/>
            <w:tcBorders>
              <w:right w:val="single" w:sz="6" w:space="0" w:color="auto"/>
            </w:tcBorders>
          </w:tcPr>
          <w:p w14:paraId="50087295" w14:textId="77777777" w:rsidR="00A06297" w:rsidRPr="00A632FF" w:rsidRDefault="00A06297" w:rsidP="00A06297">
            <w:pPr>
              <w:pStyle w:val="TableText"/>
              <w:framePr w:hSpace="181" w:wrap="around" w:vAnchor="text" w:hAnchor="margin" w:xAlign="center" w:y="1"/>
              <w:spacing w:before="80" w:after="0"/>
            </w:pPr>
            <w:r w:rsidRPr="00A632FF">
              <w:rPr>
                <w:rStyle w:val="Artref0"/>
                <w:b/>
                <w:color w:val="auto"/>
              </w:rPr>
              <w:t>52.104</w:t>
            </w:r>
          </w:p>
          <w:p w14:paraId="6F20926C" w14:textId="77777777" w:rsidR="00A06297" w:rsidRPr="00A632FF" w:rsidRDefault="00A06297" w:rsidP="00A06297">
            <w:pPr>
              <w:pStyle w:val="TableText"/>
              <w:framePr w:hSpace="181" w:wrap="around" w:vAnchor="text" w:hAnchor="margin" w:xAlign="center" w:y="1"/>
              <w:spacing w:after="0"/>
            </w:pPr>
            <w:r w:rsidRPr="00A632FF">
              <w:rPr>
                <w:rStyle w:val="Artref0"/>
                <w:b/>
                <w:color w:val="auto"/>
              </w:rPr>
              <w:t>52.117</w:t>
            </w:r>
            <w:r w:rsidRPr="00A632FF">
              <w:t xml:space="preserve">, </w:t>
            </w:r>
            <w:r w:rsidRPr="00A632FF">
              <w:rPr>
                <w:rStyle w:val="Artref0"/>
                <w:b/>
                <w:color w:val="auto"/>
              </w:rPr>
              <w:t>52.127</w:t>
            </w:r>
            <w:r>
              <w:t xml:space="preserve"> (Ré</w:t>
            </w:r>
            <w:r w:rsidRPr="00A632FF">
              <w:t xml:space="preserve">gion 1 </w:t>
            </w:r>
            <w:r>
              <w:t>seulement</w:t>
            </w:r>
            <w:r w:rsidRPr="00A632FF">
              <w:t xml:space="preserve">), </w:t>
            </w:r>
            <w:r w:rsidRPr="00A632FF">
              <w:rPr>
                <w:rStyle w:val="Artref0"/>
                <w:b/>
                <w:color w:val="auto"/>
              </w:rPr>
              <w:t>52.143</w:t>
            </w:r>
            <w:r w:rsidRPr="00A632FF">
              <w:t xml:space="preserve">, </w:t>
            </w:r>
            <w:r w:rsidRPr="00A632FF">
              <w:rPr>
                <w:rStyle w:val="Artref0"/>
                <w:b/>
                <w:color w:val="auto"/>
              </w:rPr>
              <w:t>52.144</w:t>
            </w:r>
            <w:r w:rsidRPr="00A632FF">
              <w:t xml:space="preserve">, </w:t>
            </w:r>
            <w:r w:rsidRPr="00A632FF">
              <w:rPr>
                <w:rStyle w:val="Artref0"/>
                <w:b/>
                <w:color w:val="auto"/>
              </w:rPr>
              <w:t>52.172</w:t>
            </w:r>
            <w:r w:rsidRPr="00A632FF">
              <w:t xml:space="preserve"> </w:t>
            </w:r>
          </w:p>
          <w:p w14:paraId="4F9E2056" w14:textId="77777777" w:rsidR="00A06297" w:rsidRPr="00A632FF" w:rsidRDefault="00A06297" w:rsidP="00A06297">
            <w:pPr>
              <w:pStyle w:val="TableText"/>
              <w:framePr w:hSpace="181" w:wrap="around" w:vAnchor="text" w:hAnchor="margin" w:xAlign="center" w:y="1"/>
              <w:spacing w:after="0"/>
            </w:pPr>
            <w:r w:rsidRPr="00A632FF">
              <w:rPr>
                <w:rStyle w:val="Artref0"/>
                <w:b/>
                <w:color w:val="auto"/>
              </w:rPr>
              <w:t>52.184</w:t>
            </w:r>
            <w:r w:rsidRPr="00A632FF">
              <w:t>-</w:t>
            </w:r>
            <w:r w:rsidRPr="00A632FF">
              <w:rPr>
                <w:rStyle w:val="Artref0"/>
                <w:b/>
                <w:color w:val="auto"/>
              </w:rPr>
              <w:t>52.186</w:t>
            </w:r>
            <w:r w:rsidRPr="00A632FF">
              <w:t xml:space="preserve">, </w:t>
            </w:r>
            <w:r w:rsidRPr="00A632FF">
              <w:rPr>
                <w:rStyle w:val="Artref0"/>
                <w:b/>
                <w:color w:val="auto"/>
              </w:rPr>
              <w:t>52.188</w:t>
            </w:r>
            <w:r w:rsidRPr="00A632FF">
              <w:t xml:space="preserve">, </w:t>
            </w:r>
            <w:r w:rsidRPr="00A632FF">
              <w:rPr>
                <w:rStyle w:val="Artref0"/>
                <w:b/>
                <w:color w:val="auto"/>
              </w:rPr>
              <w:t>52.202</w:t>
            </w:r>
            <w:r w:rsidRPr="00A632FF">
              <w:t xml:space="preserve"> (R</w:t>
            </w:r>
            <w:r>
              <w:t>é</w:t>
            </w:r>
            <w:r w:rsidRPr="00A632FF">
              <w:t xml:space="preserve">gion 1 </w:t>
            </w:r>
            <w:r>
              <w:t>seulement</w:t>
            </w:r>
            <w:r w:rsidRPr="00A632FF">
              <w:t>)</w:t>
            </w:r>
          </w:p>
          <w:p w14:paraId="004B5AB0" w14:textId="77777777" w:rsidR="00A06297" w:rsidRPr="00A632FF" w:rsidRDefault="00A06297" w:rsidP="00A06297">
            <w:pPr>
              <w:pStyle w:val="TableText"/>
              <w:framePr w:hSpace="181" w:wrap="around" w:vAnchor="text" w:hAnchor="margin" w:xAlign="center" w:y="1"/>
              <w:spacing w:after="80"/>
            </w:pPr>
            <w:r w:rsidRPr="00A632FF">
              <w:rPr>
                <w:rStyle w:val="Artref0"/>
                <w:b/>
                <w:color w:val="auto"/>
              </w:rPr>
              <w:t>52.219</w:t>
            </w:r>
            <w:r w:rsidRPr="00A632FF">
              <w:t xml:space="preserve">, </w:t>
            </w:r>
            <w:r w:rsidRPr="00A632FF">
              <w:rPr>
                <w:rStyle w:val="Artref0"/>
                <w:b/>
                <w:color w:val="auto"/>
              </w:rPr>
              <w:t>52.220</w:t>
            </w:r>
            <w:r w:rsidRPr="00A632FF">
              <w:t xml:space="preserve">, </w:t>
            </w:r>
            <w:r w:rsidRPr="00A632FF">
              <w:rPr>
                <w:rStyle w:val="Artref0"/>
                <w:b/>
                <w:color w:val="auto"/>
              </w:rPr>
              <w:t>52.227, 52.265, 52.266</w:t>
            </w:r>
          </w:p>
        </w:tc>
      </w:tr>
      <w:tr w:rsidR="00A06297" w:rsidRPr="00277E7C" w14:paraId="3CC99B73" w14:textId="77777777" w:rsidTr="007B3E0F">
        <w:trPr>
          <w:cantSplit/>
        </w:trPr>
        <w:tc>
          <w:tcPr>
            <w:tcW w:w="2835" w:type="dxa"/>
            <w:tcBorders>
              <w:bottom w:val="single" w:sz="6" w:space="0" w:color="auto"/>
            </w:tcBorders>
          </w:tcPr>
          <w:p w14:paraId="4796E6DD" w14:textId="77777777" w:rsidR="00A06297" w:rsidRPr="00277E7C" w:rsidRDefault="00A06297" w:rsidP="00A06297">
            <w:pPr>
              <w:pStyle w:val="TableText"/>
              <w:framePr w:hSpace="181" w:wrap="around" w:vAnchor="text" w:hAnchor="margin" w:xAlign="center" w:y="1"/>
              <w:spacing w:before="80" w:after="80"/>
              <w:rPr>
                <w:color w:val="000000"/>
                <w:lang w:val="fr-FR"/>
              </w:rPr>
            </w:pPr>
            <w:r w:rsidRPr="00277E7C">
              <w:rPr>
                <w:color w:val="000000"/>
                <w:lang w:val="fr-FR"/>
              </w:rPr>
              <w:t>Classe d'émission</w:t>
            </w:r>
          </w:p>
        </w:tc>
        <w:tc>
          <w:tcPr>
            <w:tcW w:w="5670" w:type="dxa"/>
            <w:tcBorders>
              <w:bottom w:val="single" w:sz="6" w:space="0" w:color="auto"/>
              <w:right w:val="single" w:sz="6" w:space="0" w:color="auto"/>
            </w:tcBorders>
          </w:tcPr>
          <w:p w14:paraId="03237CE9" w14:textId="77777777" w:rsidR="00A06297" w:rsidRPr="00A632FF" w:rsidRDefault="00A06297" w:rsidP="00A06297">
            <w:pPr>
              <w:pStyle w:val="TableText"/>
              <w:framePr w:hSpace="181" w:wrap="around" w:vAnchor="text" w:hAnchor="margin" w:xAlign="center" w:y="1"/>
              <w:spacing w:before="80" w:after="0"/>
            </w:pPr>
            <w:r w:rsidRPr="00A632FF">
              <w:rPr>
                <w:rStyle w:val="Artref0"/>
                <w:b/>
                <w:color w:val="auto"/>
              </w:rPr>
              <w:t>52.2</w:t>
            </w:r>
            <w:r w:rsidRPr="00A632FF">
              <w:t xml:space="preserve">, </w:t>
            </w:r>
            <w:r w:rsidRPr="00A632FF">
              <w:rPr>
                <w:rStyle w:val="Artref0"/>
                <w:b/>
                <w:color w:val="auto"/>
              </w:rPr>
              <w:t>52.3</w:t>
            </w:r>
          </w:p>
          <w:p w14:paraId="037BBB35" w14:textId="77777777" w:rsidR="00A06297" w:rsidRPr="00A632FF" w:rsidRDefault="00A06297" w:rsidP="00A06297">
            <w:pPr>
              <w:pStyle w:val="TableText"/>
              <w:framePr w:hSpace="181" w:wrap="around" w:vAnchor="text" w:hAnchor="margin" w:xAlign="center" w:y="1"/>
              <w:spacing w:after="80"/>
            </w:pPr>
            <w:r w:rsidRPr="00A632FF">
              <w:rPr>
                <w:rStyle w:val="Artref0"/>
                <w:b/>
                <w:color w:val="auto"/>
              </w:rPr>
              <w:t>52.101</w:t>
            </w:r>
            <w:r w:rsidRPr="00A632FF">
              <w:t xml:space="preserve">, </w:t>
            </w:r>
            <w:r w:rsidRPr="00A632FF">
              <w:rPr>
                <w:rStyle w:val="Artref0"/>
                <w:b/>
                <w:color w:val="auto"/>
              </w:rPr>
              <w:t>52.177</w:t>
            </w:r>
            <w:r w:rsidRPr="00A632FF">
              <w:t xml:space="preserve">, </w:t>
            </w:r>
            <w:r w:rsidRPr="00A632FF">
              <w:rPr>
                <w:rStyle w:val="Artref0"/>
                <w:b/>
                <w:color w:val="auto"/>
              </w:rPr>
              <w:t>52.183</w:t>
            </w:r>
            <w:r w:rsidRPr="00A632FF">
              <w:t xml:space="preserve">, </w:t>
            </w:r>
            <w:r w:rsidRPr="00A632FF">
              <w:rPr>
                <w:rStyle w:val="Artref0"/>
                <w:b/>
                <w:color w:val="auto"/>
              </w:rPr>
              <w:t>52.188</w:t>
            </w:r>
            <w:r w:rsidRPr="00A632FF">
              <w:t xml:space="preserve">, </w:t>
            </w:r>
            <w:r w:rsidRPr="00A632FF">
              <w:rPr>
                <w:rStyle w:val="Artref0"/>
                <w:b/>
                <w:color w:val="auto"/>
              </w:rPr>
              <w:t>52.198</w:t>
            </w:r>
            <w:r w:rsidRPr="00A632FF">
              <w:t xml:space="preserve">, </w:t>
            </w:r>
            <w:r w:rsidRPr="00A632FF">
              <w:rPr>
                <w:rStyle w:val="Artref0"/>
                <w:b/>
                <w:color w:val="auto"/>
              </w:rPr>
              <w:t>52.217</w:t>
            </w:r>
          </w:p>
        </w:tc>
      </w:tr>
      <w:tr w:rsidR="00A06297" w:rsidRPr="00277E7C" w14:paraId="5DAD0AE3" w14:textId="77777777" w:rsidTr="007B3E0F">
        <w:trPr>
          <w:cantSplit/>
        </w:trPr>
        <w:tc>
          <w:tcPr>
            <w:tcW w:w="2835" w:type="dxa"/>
          </w:tcPr>
          <w:p w14:paraId="1D5D6848" w14:textId="77777777" w:rsidR="00A06297" w:rsidRPr="00277E7C" w:rsidRDefault="00A06297" w:rsidP="00A06297">
            <w:pPr>
              <w:pStyle w:val="TableText"/>
              <w:framePr w:hSpace="181" w:wrap="around" w:vAnchor="text" w:hAnchor="margin" w:xAlign="center" w:y="1"/>
              <w:spacing w:before="80" w:after="80"/>
              <w:rPr>
                <w:color w:val="000000"/>
                <w:lang w:val="fr-FR"/>
              </w:rPr>
            </w:pPr>
            <w:r w:rsidRPr="00277E7C">
              <w:rPr>
                <w:color w:val="000000"/>
                <w:lang w:val="fr-FR"/>
              </w:rPr>
              <w:t>Subdivision obligatoire</w:t>
            </w:r>
          </w:p>
        </w:tc>
        <w:tc>
          <w:tcPr>
            <w:tcW w:w="5670" w:type="dxa"/>
            <w:tcBorders>
              <w:right w:val="single" w:sz="6" w:space="0" w:color="auto"/>
            </w:tcBorders>
          </w:tcPr>
          <w:p w14:paraId="237650B9" w14:textId="77777777" w:rsidR="00A06297" w:rsidRPr="00A632FF" w:rsidRDefault="00A06297" w:rsidP="00A06297">
            <w:pPr>
              <w:pStyle w:val="TableText"/>
              <w:framePr w:hSpace="181" w:wrap="around" w:vAnchor="text" w:hAnchor="margin" w:xAlign="center" w:y="1"/>
              <w:spacing w:before="80" w:after="0"/>
            </w:pPr>
            <w:r w:rsidRPr="00A632FF">
              <w:rPr>
                <w:rStyle w:val="Artref0"/>
                <w:b/>
                <w:color w:val="auto"/>
              </w:rPr>
              <w:t>52.10</w:t>
            </w:r>
            <w:r w:rsidRPr="00A632FF">
              <w:t xml:space="preserve"> (R</w:t>
            </w:r>
            <w:r>
              <w:t>é</w:t>
            </w:r>
            <w:r w:rsidRPr="00A632FF">
              <w:t xml:space="preserve">gion 1 </w:t>
            </w:r>
            <w:r>
              <w:t>seulement</w:t>
            </w:r>
            <w:r w:rsidRPr="00A632FF">
              <w:t xml:space="preserve">), </w:t>
            </w:r>
            <w:r w:rsidRPr="00A632FF">
              <w:rPr>
                <w:rStyle w:val="Artref0"/>
                <w:b/>
                <w:color w:val="auto"/>
              </w:rPr>
              <w:t>52.13</w:t>
            </w:r>
          </w:p>
          <w:p w14:paraId="0D039663" w14:textId="77777777" w:rsidR="00A06297" w:rsidRPr="00A632FF" w:rsidRDefault="00A06297" w:rsidP="00A06297">
            <w:pPr>
              <w:pStyle w:val="TableText"/>
              <w:framePr w:hSpace="181" w:wrap="around" w:vAnchor="text" w:hAnchor="margin" w:xAlign="center" w:y="1"/>
              <w:spacing w:after="80"/>
            </w:pPr>
            <w:r w:rsidRPr="00A632FF">
              <w:t>Appendi</w:t>
            </w:r>
            <w:r>
              <w:t>ce</w:t>
            </w:r>
            <w:r w:rsidRPr="00A632FF">
              <w:t> </w:t>
            </w:r>
            <w:r w:rsidRPr="00A06297">
              <w:rPr>
                <w:rStyle w:val="Appref"/>
                <w:rFonts w:ascii="Times New Roman Bold" w:hAnsi="Times New Roman Bold" w:cs="Times New Roman Bold"/>
                <w:b/>
                <w:color w:val="auto"/>
              </w:rPr>
              <w:t>17</w:t>
            </w:r>
          </w:p>
        </w:tc>
      </w:tr>
    </w:tbl>
    <w:p w14:paraId="7C24A3CE" w14:textId="77777777" w:rsidR="0076068A" w:rsidRDefault="0076068A" w:rsidP="0076068A">
      <w:pPr>
        <w:spacing w:before="0"/>
        <w:rPr>
          <w:lang w:val="fr-FR"/>
        </w:rPr>
      </w:pPr>
    </w:p>
    <w:p w14:paraId="528785C6" w14:textId="5340E882" w:rsidR="00667361" w:rsidRPr="00277E7C" w:rsidRDefault="00667361" w:rsidP="00B4752D">
      <w:pPr>
        <w:spacing w:before="120"/>
        <w:rPr>
          <w:color w:val="000000"/>
          <w:lang w:val="fr-FR"/>
        </w:rPr>
      </w:pPr>
      <w:r w:rsidRPr="00277E7C">
        <w:rPr>
          <w:color w:val="000000"/>
          <w:lang w:val="fr-FR"/>
        </w:rPr>
        <w:t>2.5</w:t>
      </w:r>
      <w:r w:rsidRPr="00277E7C">
        <w:rPr>
          <w:color w:val="000000"/>
          <w:lang w:val="fr-FR"/>
        </w:rPr>
        <w:tab/>
        <w:t xml:space="preserve">On trouvera ci-dessous la liste des </w:t>
      </w:r>
      <w:r w:rsidRPr="00750D80">
        <w:rPr>
          <w:i/>
          <w:iCs/>
          <w:color w:val="000000"/>
          <w:lang w:val="fr-FR"/>
        </w:rPr>
        <w:t>«autres dispositions»</w:t>
      </w:r>
      <w:r w:rsidRPr="00277E7C">
        <w:rPr>
          <w:color w:val="000000"/>
          <w:lang w:val="fr-FR"/>
        </w:rPr>
        <w:t>, visées au numéro</w:t>
      </w:r>
      <w:r w:rsidRPr="00277E7C">
        <w:rPr>
          <w:color w:val="000000"/>
          <w:sz w:val="20"/>
          <w:lang w:val="fr-FR"/>
        </w:rPr>
        <w:t> </w:t>
      </w:r>
      <w:r w:rsidRPr="00277E7C">
        <w:rPr>
          <w:rStyle w:val="Artref0"/>
          <w:b/>
          <w:color w:val="000000"/>
          <w:lang w:val="fr-FR"/>
        </w:rPr>
        <w:t>11.31.2</w:t>
      </w:r>
      <w:r w:rsidRPr="00277E7C">
        <w:rPr>
          <w:color w:val="000000"/>
          <w:lang w:val="fr-FR"/>
        </w:rPr>
        <w:t>, relativement auxquelles les fiches de notification relatives à des stations des services de Terre</w:t>
      </w:r>
      <w:r w:rsidRPr="00277E7C">
        <w:rPr>
          <w:rStyle w:val="FootnoteReference"/>
          <w:color w:val="000000"/>
          <w:sz w:val="20"/>
          <w:lang w:val="fr-FR"/>
        </w:rPr>
        <w:footnoteReference w:customMarkFollows="1" w:id="6"/>
        <w:t>6</w:t>
      </w:r>
      <w:r w:rsidRPr="00277E7C">
        <w:rPr>
          <w:color w:val="000000"/>
          <w:lang w:val="fr-FR"/>
        </w:rPr>
        <w:t xml:space="preserve"> fonctionnant dans les bandes partagées avec égalité des droits avec les services spatiaux sont examinées:</w:t>
      </w:r>
    </w:p>
    <w:p w14:paraId="3423D891" w14:textId="77777777" w:rsidR="00667361" w:rsidRPr="00277E7C" w:rsidRDefault="00667361" w:rsidP="00B4752D">
      <w:pPr>
        <w:spacing w:before="120"/>
        <w:rPr>
          <w:color w:val="000000"/>
          <w:lang w:val="fr-FR"/>
        </w:rPr>
      </w:pPr>
      <w:r w:rsidRPr="00277E7C">
        <w:rPr>
          <w:color w:val="000000"/>
          <w:lang w:val="fr-FR"/>
        </w:rPr>
        <w:t>2.5.1</w:t>
      </w:r>
      <w:r w:rsidRPr="00277E7C">
        <w:rPr>
          <w:color w:val="000000"/>
          <w:lang w:val="fr-FR"/>
        </w:rPr>
        <w:tab/>
        <w:t>conformité aux limites relatives au niveau maximal de la puissance isotrope rayonnée équivalente (p.i.r.e.), dans le contexte des services et des bandes de fréquences indiqués dans le Tableau </w:t>
      </w:r>
      <w:r w:rsidRPr="00277E7C">
        <w:rPr>
          <w:rStyle w:val="Artref0"/>
          <w:b/>
          <w:color w:val="000000"/>
          <w:lang w:val="fr-FR"/>
        </w:rPr>
        <w:t>21-2</w:t>
      </w:r>
      <w:r w:rsidRPr="00277E7C">
        <w:rPr>
          <w:color w:val="000000"/>
          <w:lang w:val="fr-FR"/>
        </w:rPr>
        <w:t xml:space="preserve"> (numéros </w:t>
      </w:r>
      <w:r w:rsidRPr="00277E7C">
        <w:rPr>
          <w:rStyle w:val="Artref0"/>
          <w:b/>
          <w:color w:val="000000"/>
          <w:lang w:val="fr-FR"/>
        </w:rPr>
        <w:t>21.3</w:t>
      </w:r>
      <w:r w:rsidRPr="00277E7C">
        <w:rPr>
          <w:color w:val="000000"/>
          <w:lang w:val="fr-FR"/>
        </w:rPr>
        <w:t xml:space="preserve">, </w:t>
      </w:r>
      <w:r w:rsidRPr="00277E7C">
        <w:rPr>
          <w:rStyle w:val="Artref0"/>
          <w:b/>
          <w:color w:val="000000"/>
          <w:lang w:val="fr-FR"/>
        </w:rPr>
        <w:t>21.4</w:t>
      </w:r>
      <w:r w:rsidRPr="00277E7C">
        <w:rPr>
          <w:color w:val="000000"/>
          <w:lang w:val="fr-FR"/>
        </w:rPr>
        <w:t xml:space="preserve">, </w:t>
      </w:r>
      <w:r w:rsidRPr="00277E7C">
        <w:rPr>
          <w:rStyle w:val="Artref0"/>
          <w:b/>
          <w:color w:val="000000"/>
          <w:lang w:val="fr-FR"/>
        </w:rPr>
        <w:t>21.5A</w:t>
      </w:r>
      <w:r w:rsidRPr="00277E7C">
        <w:rPr>
          <w:color w:val="000000"/>
          <w:lang w:val="fr-FR"/>
        </w:rPr>
        <w:t xml:space="preserve"> et </w:t>
      </w:r>
      <w:r w:rsidRPr="00277E7C">
        <w:rPr>
          <w:rStyle w:val="Artref0"/>
          <w:b/>
          <w:color w:val="000000"/>
          <w:lang w:val="fr-FR"/>
        </w:rPr>
        <w:t>21.6</w:t>
      </w:r>
      <w:r w:rsidRPr="00277E7C">
        <w:rPr>
          <w:color w:val="000000"/>
          <w:lang w:val="fr-FR"/>
        </w:rPr>
        <w:t>);</w:t>
      </w:r>
    </w:p>
    <w:p w14:paraId="5E381222" w14:textId="77777777" w:rsidR="00667361" w:rsidRPr="00277E7C" w:rsidRDefault="00667361" w:rsidP="00B4752D">
      <w:pPr>
        <w:spacing w:before="120"/>
        <w:rPr>
          <w:color w:val="000000"/>
          <w:lang w:val="fr-FR"/>
        </w:rPr>
      </w:pPr>
      <w:r w:rsidRPr="00277E7C">
        <w:rPr>
          <w:color w:val="000000"/>
          <w:lang w:val="fr-FR"/>
        </w:rPr>
        <w:t>2.5.2</w:t>
      </w:r>
      <w:r w:rsidRPr="00277E7C">
        <w:rPr>
          <w:color w:val="000000"/>
          <w:lang w:val="fr-FR"/>
        </w:rPr>
        <w:tab/>
        <w:t>conformité aux limites relatives au niveau de la puissance fournie à l'antenne par un émetteur d'une station du service fixe ou du service mobile (13 dBW dans les bandes de fréquences comprises entre 1 GHz et 10 GHz, 10 dBW dans les bandes de fréquences supé</w:t>
      </w:r>
      <w:r w:rsidRPr="00277E7C">
        <w:rPr>
          <w:color w:val="000000"/>
          <w:lang w:val="fr-FR"/>
        </w:rPr>
        <w:softHyphen/>
        <w:t>rieures à 10 GHz), dans le contexte des services et des bandes de fréquences indiqués dans le Tableau </w:t>
      </w:r>
      <w:r w:rsidRPr="00277E7C">
        <w:rPr>
          <w:rStyle w:val="Artref0"/>
          <w:b/>
          <w:color w:val="000000"/>
          <w:lang w:val="fr-FR"/>
        </w:rPr>
        <w:t>21-2</w:t>
      </w:r>
      <w:r w:rsidRPr="00277E7C">
        <w:rPr>
          <w:color w:val="000000"/>
          <w:lang w:val="fr-FR"/>
        </w:rPr>
        <w:t xml:space="preserve"> (numéros </w:t>
      </w:r>
      <w:r w:rsidRPr="00277E7C">
        <w:rPr>
          <w:rStyle w:val="Artref0"/>
          <w:b/>
          <w:color w:val="000000"/>
          <w:lang w:val="fr-FR"/>
        </w:rPr>
        <w:t>21.5</w:t>
      </w:r>
      <w:r w:rsidRPr="00277E7C">
        <w:rPr>
          <w:color w:val="000000"/>
          <w:lang w:val="fr-FR"/>
        </w:rPr>
        <w:t xml:space="preserve"> et </w:t>
      </w:r>
      <w:r w:rsidRPr="00277E7C">
        <w:rPr>
          <w:rStyle w:val="Artref0"/>
          <w:b/>
          <w:color w:val="000000"/>
          <w:lang w:val="fr-FR"/>
        </w:rPr>
        <w:t>21.6</w:t>
      </w:r>
      <w:r w:rsidRPr="00277E7C">
        <w:rPr>
          <w:color w:val="000000"/>
          <w:lang w:val="fr-FR"/>
        </w:rPr>
        <w:t>).</w:t>
      </w:r>
    </w:p>
    <w:p w14:paraId="281C8BED" w14:textId="77777777" w:rsidR="00667361" w:rsidRPr="00277E7C" w:rsidRDefault="00667361" w:rsidP="00667361">
      <w:pPr>
        <w:spacing w:before="160"/>
        <w:rPr>
          <w:color w:val="000000"/>
          <w:lang w:val="fr-FR"/>
        </w:rPr>
      </w:pPr>
      <w:r w:rsidRPr="00277E7C">
        <w:rPr>
          <w:color w:val="000000"/>
          <w:lang w:val="fr-FR"/>
        </w:rPr>
        <w:t>2.6</w:t>
      </w:r>
      <w:r w:rsidRPr="00277E7C">
        <w:rPr>
          <w:color w:val="000000"/>
          <w:lang w:val="fr-FR"/>
        </w:rPr>
        <w:tab/>
        <w:t xml:space="preserve">On trouvera ci-dessous la liste des </w:t>
      </w:r>
      <w:r w:rsidRPr="00750D80">
        <w:rPr>
          <w:i/>
          <w:iCs/>
          <w:color w:val="000000"/>
          <w:lang w:val="fr-FR"/>
        </w:rPr>
        <w:t>«autres dispositions»</w:t>
      </w:r>
      <w:r w:rsidRPr="00277E7C">
        <w:rPr>
          <w:color w:val="000000"/>
          <w:lang w:val="fr-FR"/>
        </w:rPr>
        <w:t>, visées au nu</w:t>
      </w:r>
      <w:r w:rsidRPr="00277E7C">
        <w:rPr>
          <w:color w:val="000000"/>
          <w:lang w:val="fr-FR"/>
        </w:rPr>
        <w:softHyphen/>
        <w:t>méro </w:t>
      </w:r>
      <w:r w:rsidRPr="00277E7C">
        <w:rPr>
          <w:rStyle w:val="Artref0"/>
          <w:b/>
          <w:color w:val="000000"/>
          <w:lang w:val="fr-FR"/>
        </w:rPr>
        <w:t>11.31.2</w:t>
      </w:r>
      <w:r w:rsidRPr="00277E7C">
        <w:rPr>
          <w:color w:val="000000"/>
          <w:lang w:val="fr-FR"/>
        </w:rPr>
        <w:t>, qui s'appliquent aux services spatiaux, en ce qui concerne les Articles </w:t>
      </w:r>
      <w:r w:rsidRPr="00277E7C">
        <w:rPr>
          <w:rStyle w:val="Artref0"/>
          <w:b/>
          <w:color w:val="000000"/>
          <w:lang w:val="fr-FR"/>
        </w:rPr>
        <w:t>21</w:t>
      </w:r>
      <w:r w:rsidRPr="00277E7C">
        <w:rPr>
          <w:color w:val="000000"/>
          <w:lang w:val="fr-FR"/>
        </w:rPr>
        <w:t xml:space="preserve"> et </w:t>
      </w:r>
      <w:r w:rsidRPr="00277E7C">
        <w:rPr>
          <w:rStyle w:val="Artref0"/>
          <w:b/>
          <w:color w:val="000000"/>
          <w:lang w:val="fr-FR"/>
        </w:rPr>
        <w:t>22</w:t>
      </w:r>
      <w:r w:rsidRPr="00277E7C">
        <w:rPr>
          <w:color w:val="000000"/>
          <w:lang w:val="fr-FR"/>
        </w:rPr>
        <w:t>:</w:t>
      </w:r>
    </w:p>
    <w:p w14:paraId="6A30DA50" w14:textId="77777777" w:rsidR="00BC0842" w:rsidRDefault="00BC0842">
      <w:pPr>
        <w:tabs>
          <w:tab w:val="clear" w:pos="1134"/>
          <w:tab w:val="clear" w:pos="1871"/>
          <w:tab w:val="clear" w:pos="2268"/>
        </w:tabs>
        <w:overflowPunct/>
        <w:autoSpaceDE/>
        <w:autoSpaceDN/>
        <w:adjustRightInd/>
        <w:spacing w:before="0"/>
        <w:jc w:val="left"/>
        <w:textAlignment w:val="auto"/>
        <w:rPr>
          <w:color w:val="000000"/>
          <w:lang w:val="fr-FR"/>
        </w:rPr>
      </w:pPr>
    </w:p>
    <w:p w14:paraId="20BC374D" w14:textId="77777777" w:rsidR="00093869" w:rsidRDefault="00093869" w:rsidP="001B2615">
      <w:pPr>
        <w:spacing w:before="80"/>
        <w:rPr>
          <w:color w:val="000000"/>
          <w:lang w:val="fr-FR"/>
        </w:rPr>
      </w:pPr>
      <w:r>
        <w:rPr>
          <w:color w:val="000000"/>
          <w:lang w:val="fr-FR"/>
        </w:rPr>
        <w:br w:type="page"/>
      </w:r>
    </w:p>
    <w:p w14:paraId="3CBEBB23" w14:textId="224734AB" w:rsidR="00667361" w:rsidRPr="00277E7C" w:rsidRDefault="00667361" w:rsidP="00093869">
      <w:pPr>
        <w:spacing w:before="0"/>
        <w:rPr>
          <w:color w:val="000000"/>
          <w:lang w:val="fr-FR"/>
        </w:rPr>
      </w:pPr>
      <w:r w:rsidRPr="00277E7C">
        <w:rPr>
          <w:color w:val="000000"/>
          <w:lang w:val="fr-FR"/>
        </w:rPr>
        <w:lastRenderedPageBreak/>
        <w:t>2.6.1</w:t>
      </w:r>
      <w:r w:rsidRPr="00277E7C">
        <w:rPr>
          <w:color w:val="000000"/>
          <w:lang w:val="fr-FR"/>
        </w:rPr>
        <w:tab/>
      </w:r>
      <w:r w:rsidRPr="0036118B">
        <w:rPr>
          <w:color w:val="000000"/>
          <w:spacing w:val="-4"/>
          <w:lang w:val="fr-FR"/>
        </w:rPr>
        <w:t xml:space="preserve">conformité aux limites de puissance applicables aux stations terriennes, telles qu'elles sont prescrites aux numéros </w:t>
      </w:r>
      <w:r w:rsidRPr="0036118B">
        <w:rPr>
          <w:rStyle w:val="Artref0"/>
          <w:b/>
          <w:color w:val="000000"/>
          <w:spacing w:val="-4"/>
          <w:lang w:val="fr-FR"/>
        </w:rPr>
        <w:t>21.8</w:t>
      </w:r>
      <w:r w:rsidRPr="0036118B">
        <w:rPr>
          <w:color w:val="000000"/>
          <w:spacing w:val="-4"/>
          <w:lang w:val="fr-FR"/>
        </w:rPr>
        <w:t xml:space="preserve">, </w:t>
      </w:r>
      <w:r w:rsidRPr="0036118B">
        <w:rPr>
          <w:rStyle w:val="Artref0"/>
          <w:b/>
          <w:color w:val="000000"/>
          <w:spacing w:val="-4"/>
          <w:lang w:val="fr-FR"/>
        </w:rPr>
        <w:t>21.10</w:t>
      </w:r>
      <w:r w:rsidRPr="0036118B">
        <w:rPr>
          <w:color w:val="000000"/>
          <w:spacing w:val="-4"/>
          <w:lang w:val="fr-FR"/>
        </w:rPr>
        <w:t xml:space="preserve">, </w:t>
      </w:r>
      <w:r w:rsidRPr="0036118B">
        <w:rPr>
          <w:rStyle w:val="Artref0"/>
          <w:b/>
          <w:color w:val="000000"/>
          <w:spacing w:val="-4"/>
          <w:lang w:val="fr-FR"/>
        </w:rPr>
        <w:t>21.12</w:t>
      </w:r>
      <w:r w:rsidRPr="0036118B">
        <w:rPr>
          <w:color w:val="000000"/>
          <w:spacing w:val="-4"/>
          <w:lang w:val="fr-FR"/>
        </w:rPr>
        <w:t xml:space="preserve">, </w:t>
      </w:r>
      <w:r w:rsidRPr="0036118B">
        <w:rPr>
          <w:rStyle w:val="Artref0"/>
          <w:b/>
          <w:color w:val="000000"/>
          <w:spacing w:val="-4"/>
          <w:lang w:val="fr-FR"/>
        </w:rPr>
        <w:t>21.13</w:t>
      </w:r>
      <w:r w:rsidRPr="0036118B">
        <w:rPr>
          <w:color w:val="000000"/>
          <w:spacing w:val="-4"/>
          <w:lang w:val="fr-FR"/>
        </w:rPr>
        <w:t xml:space="preserve"> et </w:t>
      </w:r>
      <w:r w:rsidRPr="0036118B">
        <w:rPr>
          <w:rStyle w:val="Artref0"/>
          <w:b/>
          <w:color w:val="000000"/>
          <w:spacing w:val="-4"/>
          <w:lang w:val="fr-FR"/>
        </w:rPr>
        <w:t>21.13A</w:t>
      </w:r>
      <w:r w:rsidRPr="0036118B">
        <w:rPr>
          <w:color w:val="000000"/>
          <w:spacing w:val="-4"/>
          <w:lang w:val="fr-FR"/>
        </w:rPr>
        <w:t xml:space="preserve"> compte tenu des numéros </w:t>
      </w:r>
      <w:r w:rsidRPr="0036118B">
        <w:rPr>
          <w:rStyle w:val="Artref0"/>
          <w:b/>
          <w:color w:val="000000"/>
          <w:spacing w:val="-4"/>
          <w:lang w:val="fr-FR"/>
        </w:rPr>
        <w:t>21.9</w:t>
      </w:r>
      <w:r w:rsidRPr="0036118B">
        <w:rPr>
          <w:color w:val="000000"/>
          <w:spacing w:val="-4"/>
          <w:lang w:val="fr-FR"/>
        </w:rPr>
        <w:t xml:space="preserve"> et </w:t>
      </w:r>
      <w:r w:rsidRPr="0036118B">
        <w:rPr>
          <w:rStyle w:val="Artref0"/>
          <w:b/>
          <w:color w:val="000000"/>
          <w:spacing w:val="-4"/>
          <w:lang w:val="fr-FR"/>
        </w:rPr>
        <w:t>21.11</w:t>
      </w:r>
      <w:r w:rsidR="000E7C11" w:rsidRPr="0036118B">
        <w:rPr>
          <w:rFonts w:ascii="Tms Rmn" w:hAnsi="Tms Rmn"/>
          <w:spacing w:val="-4"/>
          <w:sz w:val="12"/>
          <w:lang w:val="fr-FR"/>
        </w:rPr>
        <w:t> </w:t>
      </w:r>
      <w:r w:rsidRPr="0036118B">
        <w:rPr>
          <w:rStyle w:val="FootnoteReference"/>
          <w:color w:val="000000"/>
          <w:spacing w:val="-4"/>
          <w:sz w:val="20"/>
          <w:lang w:val="fr-FR"/>
        </w:rPr>
        <w:footnoteReference w:customMarkFollows="1" w:id="7"/>
        <w:t>7</w:t>
      </w:r>
      <w:r w:rsidRPr="0036118B">
        <w:rPr>
          <w:color w:val="000000"/>
          <w:spacing w:val="-4"/>
          <w:lang w:val="fr-FR"/>
        </w:rPr>
        <w:t xml:space="preserve">, et dans les dispositions </w:t>
      </w:r>
      <w:r w:rsidRPr="0036118B">
        <w:rPr>
          <w:rStyle w:val="Artref0"/>
          <w:b/>
          <w:color w:val="000000"/>
          <w:spacing w:val="-4"/>
          <w:lang w:val="fr-FR"/>
        </w:rPr>
        <w:t>22.26</w:t>
      </w:r>
      <w:r w:rsidRPr="0036118B">
        <w:rPr>
          <w:color w:val="000000"/>
          <w:spacing w:val="-4"/>
          <w:lang w:val="fr-FR"/>
        </w:rPr>
        <w:t xml:space="preserve"> à </w:t>
      </w:r>
      <w:r w:rsidRPr="0036118B">
        <w:rPr>
          <w:rStyle w:val="Artref0"/>
          <w:b/>
          <w:color w:val="000000"/>
          <w:spacing w:val="-4"/>
          <w:lang w:val="fr-FR"/>
        </w:rPr>
        <w:t>22.28</w:t>
      </w:r>
      <w:r w:rsidRPr="0036118B">
        <w:rPr>
          <w:color w:val="000000"/>
          <w:spacing w:val="-4"/>
          <w:lang w:val="fr-FR"/>
        </w:rPr>
        <w:t xml:space="preserve"> ou </w:t>
      </w:r>
      <w:r w:rsidRPr="0036118B">
        <w:rPr>
          <w:rStyle w:val="Artref0"/>
          <w:b/>
          <w:color w:val="000000"/>
          <w:spacing w:val="-4"/>
          <w:lang w:val="fr-FR"/>
        </w:rPr>
        <w:t>22.32</w:t>
      </w:r>
      <w:r w:rsidRPr="0036118B">
        <w:rPr>
          <w:color w:val="000000"/>
          <w:spacing w:val="-4"/>
          <w:lang w:val="fr-FR"/>
        </w:rPr>
        <w:t xml:space="preserve"> (selon le cas) dans les conditions spécifiées dans les numéros </w:t>
      </w:r>
      <w:r w:rsidRPr="0036118B">
        <w:rPr>
          <w:rStyle w:val="Artref0"/>
          <w:b/>
          <w:color w:val="000000"/>
          <w:spacing w:val="-4"/>
          <w:lang w:val="fr-FR"/>
        </w:rPr>
        <w:t>22.30</w:t>
      </w:r>
      <w:r w:rsidRPr="0036118B">
        <w:rPr>
          <w:color w:val="000000"/>
          <w:spacing w:val="-4"/>
          <w:lang w:val="fr-FR"/>
        </w:rPr>
        <w:t xml:space="preserve">, </w:t>
      </w:r>
      <w:r w:rsidRPr="0036118B">
        <w:rPr>
          <w:rStyle w:val="Artref0"/>
          <w:b/>
          <w:color w:val="000000"/>
          <w:spacing w:val="-4"/>
          <w:lang w:val="fr-FR"/>
        </w:rPr>
        <w:t>22.31</w:t>
      </w:r>
      <w:r w:rsidRPr="0036118B">
        <w:rPr>
          <w:color w:val="000000"/>
          <w:spacing w:val="-4"/>
          <w:lang w:val="fr-FR"/>
        </w:rPr>
        <w:t xml:space="preserve"> et </w:t>
      </w:r>
      <w:r w:rsidRPr="0036118B">
        <w:rPr>
          <w:rStyle w:val="Artref0"/>
          <w:b/>
          <w:color w:val="000000"/>
          <w:spacing w:val="-4"/>
          <w:lang w:val="fr-FR"/>
        </w:rPr>
        <w:t>22.34</w:t>
      </w:r>
      <w:r w:rsidRPr="0036118B">
        <w:rPr>
          <w:color w:val="000000"/>
          <w:spacing w:val="-4"/>
          <w:lang w:val="fr-FR"/>
        </w:rPr>
        <w:t xml:space="preserve"> à </w:t>
      </w:r>
      <w:r w:rsidRPr="0036118B">
        <w:rPr>
          <w:rStyle w:val="Artref0"/>
          <w:b/>
          <w:color w:val="000000"/>
          <w:spacing w:val="-4"/>
          <w:lang w:val="fr-FR"/>
        </w:rPr>
        <w:t>22.39</w:t>
      </w:r>
      <w:r w:rsidRPr="0036118B">
        <w:rPr>
          <w:color w:val="000000"/>
          <w:spacing w:val="-4"/>
          <w:lang w:val="fr-FR"/>
        </w:rPr>
        <w:t xml:space="preserve"> dans le cas où les stations terriennes sont assujetties à ces limitations de puissance (voir également le § A.16 de l'Appendice </w:t>
      </w:r>
      <w:r w:rsidRPr="0036118B">
        <w:rPr>
          <w:rStyle w:val="Appref"/>
          <w:b/>
          <w:color w:val="000000"/>
          <w:spacing w:val="-4"/>
          <w:lang w:val="fr-FR"/>
        </w:rPr>
        <w:t>4</w:t>
      </w:r>
      <w:r w:rsidRPr="0036118B">
        <w:rPr>
          <w:color w:val="000000"/>
          <w:spacing w:val="-4"/>
          <w:lang w:val="fr-FR"/>
        </w:rPr>
        <w:t>);</w:t>
      </w:r>
    </w:p>
    <w:p w14:paraId="7C1E1556" w14:textId="77777777" w:rsidR="00667361" w:rsidRPr="00277E7C" w:rsidRDefault="00667361" w:rsidP="0036118B">
      <w:pPr>
        <w:spacing w:before="40"/>
        <w:rPr>
          <w:color w:val="000000"/>
          <w:lang w:val="fr-FR"/>
        </w:rPr>
      </w:pPr>
      <w:r w:rsidRPr="00277E7C">
        <w:rPr>
          <w:color w:val="000000"/>
          <w:lang w:val="fr-FR"/>
        </w:rPr>
        <w:t>2.6.2</w:t>
      </w:r>
      <w:r w:rsidRPr="00277E7C">
        <w:rPr>
          <w:color w:val="000000"/>
          <w:lang w:val="fr-FR"/>
        </w:rPr>
        <w:tab/>
        <w:t>conformité à l'angle minimal d'élévation des stations terriennes, comme indiqué aux numéros </w:t>
      </w:r>
      <w:r w:rsidRPr="00277E7C">
        <w:rPr>
          <w:rStyle w:val="Artref0"/>
          <w:b/>
          <w:color w:val="000000"/>
          <w:lang w:val="fr-FR"/>
        </w:rPr>
        <w:t>21.14</w:t>
      </w:r>
      <w:r w:rsidR="00D24F31" w:rsidRPr="00277E7C">
        <w:rPr>
          <w:rFonts w:ascii="Tms Rmn" w:hAnsi="Tms Rmn"/>
          <w:sz w:val="12"/>
          <w:lang w:val="fr-FR"/>
        </w:rPr>
        <w:t> </w:t>
      </w:r>
      <w:r w:rsidRPr="00277E7C">
        <w:rPr>
          <w:rStyle w:val="FootnoteReference"/>
          <w:color w:val="000000"/>
          <w:sz w:val="20"/>
          <w:lang w:val="fr-FR"/>
        </w:rPr>
        <w:footnoteReference w:customMarkFollows="1" w:id="8"/>
        <w:t>8</w:t>
      </w:r>
      <w:r w:rsidRPr="00277E7C">
        <w:rPr>
          <w:color w:val="000000"/>
          <w:lang w:val="fr-FR"/>
        </w:rPr>
        <w:t xml:space="preserve"> et </w:t>
      </w:r>
      <w:r w:rsidRPr="00277E7C">
        <w:rPr>
          <w:rStyle w:val="Artref0"/>
          <w:b/>
          <w:color w:val="000000"/>
          <w:lang w:val="fr-FR"/>
        </w:rPr>
        <w:t>21.15</w:t>
      </w:r>
      <w:r w:rsidRPr="00277E7C">
        <w:rPr>
          <w:color w:val="000000"/>
          <w:lang w:val="fr-FR"/>
        </w:rPr>
        <w:t>;</w:t>
      </w:r>
    </w:p>
    <w:p w14:paraId="29258C77" w14:textId="06361DE1" w:rsidR="00667361" w:rsidRPr="00771562" w:rsidRDefault="00667361" w:rsidP="0036118B">
      <w:pPr>
        <w:spacing w:before="40"/>
        <w:rPr>
          <w:color w:val="000000"/>
          <w:lang w:val="fr-CH"/>
        </w:rPr>
      </w:pPr>
      <w:r w:rsidRPr="00277E7C">
        <w:rPr>
          <w:color w:val="000000"/>
          <w:lang w:val="fr-FR"/>
        </w:rPr>
        <w:t>2.6.3</w:t>
      </w:r>
      <w:r w:rsidRPr="00277E7C">
        <w:rPr>
          <w:color w:val="000000"/>
          <w:lang w:val="fr-FR"/>
        </w:rPr>
        <w:tab/>
      </w:r>
      <w:r w:rsidR="00771562" w:rsidRPr="001674FC">
        <w:rPr>
          <w:color w:val="000000"/>
          <w:lang w:val="fr-CH"/>
        </w:rPr>
        <w:t xml:space="preserve">conformité aux limites de puissance surfacique produite à la surface de la Terre par les émissions d'une station spatiale, comme indiqué aux Tableaux </w:t>
      </w:r>
      <w:r w:rsidR="00771562" w:rsidRPr="001674FC">
        <w:rPr>
          <w:b/>
          <w:color w:val="000000"/>
          <w:lang w:val="fr-CH"/>
        </w:rPr>
        <w:t>21-4</w:t>
      </w:r>
      <w:r w:rsidR="00771562" w:rsidRPr="001674FC">
        <w:rPr>
          <w:color w:val="000000"/>
          <w:lang w:val="fr-CH"/>
        </w:rPr>
        <w:t xml:space="preserve"> (numéro </w:t>
      </w:r>
      <w:r w:rsidR="00771562" w:rsidRPr="001674FC">
        <w:rPr>
          <w:b/>
          <w:color w:val="000000"/>
          <w:lang w:val="fr-CH"/>
        </w:rPr>
        <w:t>21.16</w:t>
      </w:r>
      <w:r w:rsidR="00771562" w:rsidRPr="001674FC">
        <w:rPr>
          <w:color w:val="000000"/>
          <w:lang w:val="fr-CH"/>
        </w:rPr>
        <w:t>)</w:t>
      </w:r>
      <w:r w:rsidR="00750D80" w:rsidRPr="00750D80">
        <w:rPr>
          <w:rStyle w:val="FootnoteReference"/>
          <w:color w:val="000000"/>
          <w:lang w:val="fr-CH"/>
        </w:rPr>
        <w:footnoteReference w:customMarkFollows="1" w:id="9"/>
        <w:t>9</w:t>
      </w:r>
      <w:r w:rsidR="00771562" w:rsidRPr="001674FC">
        <w:rPr>
          <w:color w:val="000000"/>
          <w:lang w:val="fr-CH"/>
        </w:rPr>
        <w:t>, et aux limites de puissance surfacique équivalente sur la liaison descendante (epfd</w:t>
      </w:r>
      <w:r w:rsidR="00771562" w:rsidRPr="001674FC">
        <w:rPr>
          <w:rFonts w:ascii="Symbol" w:hAnsi="Symbol" w:cs="Calibri"/>
          <w:color w:val="000000"/>
          <w:position w:val="-4"/>
          <w:sz w:val="16"/>
          <w:szCs w:val="22"/>
          <w:lang w:val="fr-CH"/>
        </w:rPr>
        <w:t></w:t>
      </w:r>
      <w:r w:rsidR="00771562" w:rsidRPr="001674FC">
        <w:rPr>
          <w:color w:val="000000"/>
          <w:lang w:val="fr-CH"/>
        </w:rPr>
        <w:t xml:space="preserve"> figurant dans les Tableaux </w:t>
      </w:r>
      <w:r w:rsidR="00771562" w:rsidRPr="001674FC">
        <w:rPr>
          <w:b/>
          <w:color w:val="000000"/>
          <w:lang w:val="fr-CH"/>
        </w:rPr>
        <w:t>22-1A</w:t>
      </w:r>
      <w:r w:rsidR="00771562" w:rsidRPr="001674FC">
        <w:rPr>
          <w:color w:val="000000"/>
          <w:lang w:val="fr-CH"/>
        </w:rPr>
        <w:t xml:space="preserve"> à </w:t>
      </w:r>
      <w:r w:rsidR="00771562" w:rsidRPr="001674FC">
        <w:rPr>
          <w:b/>
          <w:color w:val="000000"/>
          <w:lang w:val="fr-CH"/>
        </w:rPr>
        <w:t>22-1E</w:t>
      </w:r>
      <w:r w:rsidR="00771562" w:rsidRPr="001674FC">
        <w:rPr>
          <w:color w:val="000000"/>
          <w:lang w:val="fr-CH"/>
        </w:rPr>
        <w:t xml:space="preserve"> (numéro </w:t>
      </w:r>
      <w:r w:rsidR="00771562" w:rsidRPr="001674FC">
        <w:rPr>
          <w:b/>
          <w:color w:val="000000"/>
          <w:lang w:val="fr-CH"/>
        </w:rPr>
        <w:t>22.5C</w:t>
      </w:r>
      <w:r w:rsidR="00771562" w:rsidRPr="001674FC">
        <w:rPr>
          <w:color w:val="000000"/>
          <w:lang w:val="fr-CH"/>
        </w:rPr>
        <w:t>), compte tenu, selon le cas, des dispositions des numéros </w:t>
      </w:r>
      <w:r w:rsidR="00771562" w:rsidRPr="001674FC">
        <w:rPr>
          <w:b/>
          <w:color w:val="000000"/>
          <w:lang w:val="fr-CH"/>
        </w:rPr>
        <w:t>21.17</w:t>
      </w:r>
      <w:r w:rsidR="00771562" w:rsidRPr="001674FC">
        <w:rPr>
          <w:color w:val="000000"/>
          <w:lang w:val="fr-CH"/>
        </w:rPr>
        <w:t xml:space="preserve"> et </w:t>
      </w:r>
      <w:r w:rsidR="00771562" w:rsidRPr="001674FC">
        <w:rPr>
          <w:b/>
          <w:color w:val="000000"/>
          <w:lang w:val="fr-CH"/>
        </w:rPr>
        <w:t>22.5CA</w:t>
      </w:r>
      <w:r w:rsidR="00771562" w:rsidRPr="001674FC">
        <w:rPr>
          <w:color w:val="000000"/>
          <w:lang w:val="fr-CH"/>
        </w:rPr>
        <w:t>;</w:t>
      </w:r>
    </w:p>
    <w:p w14:paraId="208A6D66" w14:textId="77777777" w:rsidR="00667361" w:rsidRPr="00277E7C" w:rsidRDefault="00667361" w:rsidP="0036118B">
      <w:pPr>
        <w:spacing w:before="40"/>
        <w:rPr>
          <w:color w:val="000000"/>
          <w:lang w:val="fr-FR"/>
        </w:rPr>
      </w:pPr>
      <w:r w:rsidRPr="00277E7C">
        <w:rPr>
          <w:color w:val="000000"/>
          <w:lang w:val="fr-FR"/>
        </w:rPr>
        <w:t>2.6.4</w:t>
      </w:r>
      <w:r w:rsidRPr="00277E7C">
        <w:rPr>
          <w:color w:val="000000"/>
          <w:lang w:val="fr-FR"/>
        </w:rPr>
        <w:tab/>
      </w:r>
      <w:r w:rsidRPr="0036118B">
        <w:rPr>
          <w:color w:val="000000"/>
          <w:spacing w:val="-4"/>
          <w:lang w:val="fr-FR"/>
        </w:rPr>
        <w:t xml:space="preserve">conformité aux limites de puissance surfacique produite sur l'OSG par des stations spatiales comme indiqué aux numéros </w:t>
      </w:r>
      <w:r w:rsidRPr="0036118B">
        <w:rPr>
          <w:rStyle w:val="Artref0"/>
          <w:b/>
          <w:color w:val="000000"/>
          <w:spacing w:val="-4"/>
          <w:lang w:val="fr-FR"/>
        </w:rPr>
        <w:t>22.5</w:t>
      </w:r>
      <w:r w:rsidRPr="0036118B">
        <w:rPr>
          <w:color w:val="000000"/>
          <w:spacing w:val="-4"/>
          <w:lang w:val="fr-FR"/>
        </w:rPr>
        <w:t xml:space="preserve"> et </w:t>
      </w:r>
      <w:r w:rsidRPr="0036118B">
        <w:rPr>
          <w:rStyle w:val="Artref0"/>
          <w:b/>
          <w:color w:val="000000"/>
          <w:spacing w:val="-4"/>
          <w:lang w:val="fr-FR"/>
        </w:rPr>
        <w:t>22.5A</w:t>
      </w:r>
      <w:r w:rsidRPr="0036118B">
        <w:rPr>
          <w:color w:val="000000"/>
          <w:spacing w:val="-4"/>
          <w:lang w:val="fr-FR"/>
        </w:rPr>
        <w:t xml:space="preserve"> ainsi qu'aux limites de puissance surfacique équivalente sur la liaison inter-satellites (epfd</w:t>
      </w:r>
      <w:r w:rsidRPr="0036118B">
        <w:rPr>
          <w:spacing w:val="-4"/>
          <w:vertAlign w:val="subscript"/>
          <w:lang w:val="fr-FR"/>
        </w:rPr>
        <w:t>is</w:t>
      </w:r>
      <w:r w:rsidRPr="0036118B">
        <w:rPr>
          <w:color w:val="000000"/>
          <w:spacing w:val="-4"/>
          <w:lang w:val="fr-FR"/>
        </w:rPr>
        <w:t>) indiquées dans le Tableau </w:t>
      </w:r>
      <w:r w:rsidRPr="0036118B">
        <w:rPr>
          <w:rStyle w:val="Artref0"/>
          <w:b/>
          <w:color w:val="000000"/>
          <w:spacing w:val="-4"/>
          <w:lang w:val="fr-FR"/>
        </w:rPr>
        <w:t>22-3</w:t>
      </w:r>
      <w:r w:rsidRPr="0036118B">
        <w:rPr>
          <w:color w:val="000000"/>
          <w:spacing w:val="-4"/>
          <w:lang w:val="fr-FR"/>
        </w:rPr>
        <w:t xml:space="preserve"> (numéro </w:t>
      </w:r>
      <w:r w:rsidRPr="0036118B">
        <w:rPr>
          <w:rStyle w:val="Artref0"/>
          <w:b/>
          <w:color w:val="000000"/>
          <w:spacing w:val="-4"/>
          <w:lang w:val="fr-FR"/>
        </w:rPr>
        <w:t>22.5F</w:t>
      </w:r>
      <w:r w:rsidRPr="0036118B">
        <w:rPr>
          <w:color w:val="000000"/>
          <w:spacing w:val="-4"/>
          <w:lang w:val="fr-FR"/>
        </w:rPr>
        <w:t>);</w:t>
      </w:r>
    </w:p>
    <w:p w14:paraId="7993B66C" w14:textId="16443A05" w:rsidR="00667361" w:rsidRDefault="00667361" w:rsidP="0036118B">
      <w:pPr>
        <w:spacing w:before="40"/>
        <w:rPr>
          <w:color w:val="000000"/>
          <w:lang w:val="fr-FR"/>
        </w:rPr>
      </w:pPr>
      <w:r w:rsidRPr="00277E7C">
        <w:rPr>
          <w:color w:val="000000"/>
          <w:lang w:val="fr-FR"/>
        </w:rPr>
        <w:t>2.6.5</w:t>
      </w:r>
      <w:r w:rsidRPr="00277E7C">
        <w:rPr>
          <w:color w:val="000000"/>
          <w:lang w:val="fr-FR"/>
        </w:rPr>
        <w:tab/>
        <w:t>conformité à la limite de puissance surfacique équivalente (epfd) produite sur l'OSG (epfd</w:t>
      </w:r>
      <w:r w:rsidRPr="00277E7C">
        <w:rPr>
          <w:rFonts w:ascii="Symbol" w:hAnsi="Symbol"/>
          <w:color w:val="000000"/>
          <w:position w:val="-4"/>
          <w:sz w:val="16"/>
          <w:lang w:val="fr-FR"/>
        </w:rPr>
        <w:t></w:t>
      </w:r>
      <w:r w:rsidRPr="00277E7C">
        <w:rPr>
          <w:rFonts w:ascii="Symbol" w:hAnsi="Symbol"/>
          <w:color w:val="000000"/>
          <w:sz w:val="20"/>
          <w:lang w:val="fr-FR"/>
        </w:rPr>
        <w:t></w:t>
      </w:r>
      <w:r w:rsidRPr="00277E7C">
        <w:rPr>
          <w:color w:val="000000"/>
          <w:lang w:val="fr-FR"/>
        </w:rPr>
        <w:t xml:space="preserve"> par des stations terriennes, comme indiqué au Tableau </w:t>
      </w:r>
      <w:r w:rsidRPr="00277E7C">
        <w:rPr>
          <w:rStyle w:val="Artref0"/>
          <w:b/>
          <w:color w:val="000000"/>
          <w:lang w:val="fr-FR"/>
        </w:rPr>
        <w:t>22-2</w:t>
      </w:r>
      <w:r w:rsidRPr="00277E7C">
        <w:rPr>
          <w:color w:val="000000"/>
          <w:lang w:val="fr-FR"/>
        </w:rPr>
        <w:t xml:space="preserve"> (numéro </w:t>
      </w:r>
      <w:r w:rsidRPr="00277E7C">
        <w:rPr>
          <w:rStyle w:val="Artref0"/>
          <w:b/>
          <w:color w:val="000000"/>
          <w:lang w:val="fr-FR"/>
        </w:rPr>
        <w:t>22.5D</w:t>
      </w:r>
      <w:r w:rsidRPr="00277E7C">
        <w:rPr>
          <w:color w:val="000000"/>
          <w:lang w:val="fr-FR"/>
        </w:rPr>
        <w:t>);</w:t>
      </w:r>
    </w:p>
    <w:p w14:paraId="52728045" w14:textId="4A5F55AE" w:rsidR="001B2615" w:rsidRPr="00277E7C" w:rsidRDefault="001B2615" w:rsidP="0036118B">
      <w:pPr>
        <w:spacing w:before="40"/>
        <w:rPr>
          <w:color w:val="000000"/>
          <w:lang w:val="fr-FR"/>
        </w:rPr>
      </w:pPr>
      <w:r w:rsidRPr="001B2615">
        <w:rPr>
          <w:color w:val="000000"/>
          <w:lang w:val="fr-FR"/>
        </w:rPr>
        <w:t>2.6.6</w:t>
      </w:r>
      <w:r w:rsidRPr="001B2615">
        <w:rPr>
          <w:color w:val="000000"/>
          <w:lang w:val="fr-FR"/>
        </w:rPr>
        <w:tab/>
      </w:r>
      <w:r w:rsidRPr="0036118B">
        <w:rPr>
          <w:color w:val="000000"/>
          <w:spacing w:val="-4"/>
          <w:lang w:val="fr-FR"/>
        </w:rPr>
        <w:t xml:space="preserve">conformité à la limite pour une seule source de brouillage indiquée au numéro </w:t>
      </w:r>
      <w:r w:rsidRPr="0036118B">
        <w:rPr>
          <w:b/>
          <w:bCs/>
          <w:color w:val="000000"/>
          <w:spacing w:val="-4"/>
          <w:lang w:val="fr-FR"/>
        </w:rPr>
        <w:t>22.5L</w:t>
      </w:r>
      <w:r w:rsidRPr="0036118B">
        <w:rPr>
          <w:color w:val="000000"/>
          <w:spacing w:val="-4"/>
          <w:lang w:val="fr-FR"/>
        </w:rPr>
        <w:t xml:space="preserve"> pour les systèmes à satellites non géostationnaires du service fixe par satellite;</w:t>
      </w:r>
    </w:p>
    <w:p w14:paraId="32CA3B4E" w14:textId="0ABF292B" w:rsidR="00BC0842" w:rsidRPr="00BC0842" w:rsidRDefault="00667361" w:rsidP="0036118B">
      <w:pPr>
        <w:spacing w:before="40"/>
        <w:rPr>
          <w:color w:val="000000"/>
          <w:lang w:val="fr-FR"/>
        </w:rPr>
      </w:pPr>
      <w:r w:rsidRPr="00BC0842">
        <w:rPr>
          <w:color w:val="000000"/>
          <w:lang w:val="fr-FR"/>
        </w:rPr>
        <w:t>2.6.</w:t>
      </w:r>
      <w:r w:rsidR="001B2615">
        <w:rPr>
          <w:color w:val="000000"/>
          <w:lang w:val="fr-FR"/>
        </w:rPr>
        <w:t>7</w:t>
      </w:r>
      <w:r w:rsidRPr="00BC0842">
        <w:rPr>
          <w:color w:val="000000"/>
          <w:lang w:val="fr-FR"/>
        </w:rPr>
        <w:tab/>
      </w:r>
      <w:r w:rsidR="00BC0842" w:rsidRPr="00BC0842">
        <w:rPr>
          <w:color w:val="000000"/>
          <w:lang w:val="fr-CH"/>
        </w:rPr>
        <w:t xml:space="preserve">conformité à la limite de puissance surfacique produite sur l'OSG par des stations terriennes comme indiqué au numéro </w:t>
      </w:r>
      <w:r w:rsidR="00BC0842" w:rsidRPr="000D76C5">
        <w:rPr>
          <w:b/>
          <w:bCs/>
          <w:color w:val="000000"/>
          <w:lang w:val="fr-CH"/>
        </w:rPr>
        <w:t>22.40</w:t>
      </w:r>
      <w:r w:rsidR="00BC0842" w:rsidRPr="00BC0842">
        <w:rPr>
          <w:color w:val="000000"/>
          <w:lang w:val="fr-CH"/>
        </w:rPr>
        <w:t>;</w:t>
      </w:r>
    </w:p>
    <w:p w14:paraId="1351F2BC" w14:textId="0E37C74E" w:rsidR="00667361" w:rsidRPr="00277E7C" w:rsidRDefault="00BC0842" w:rsidP="0036118B">
      <w:pPr>
        <w:spacing w:before="40"/>
        <w:rPr>
          <w:color w:val="000000"/>
          <w:lang w:val="fr-FR"/>
        </w:rPr>
      </w:pPr>
      <w:r w:rsidRPr="00BC0842">
        <w:rPr>
          <w:color w:val="000000"/>
          <w:lang w:val="fr-FR"/>
        </w:rPr>
        <w:t>2.6.</w:t>
      </w:r>
      <w:r w:rsidR="001B2615">
        <w:rPr>
          <w:color w:val="000000"/>
          <w:lang w:val="fr-FR"/>
        </w:rPr>
        <w:t>8</w:t>
      </w:r>
      <w:r w:rsidRPr="00BC0842">
        <w:rPr>
          <w:color w:val="000000"/>
          <w:lang w:val="fr-FR"/>
        </w:rPr>
        <w:tab/>
      </w:r>
      <w:r w:rsidR="00667361" w:rsidRPr="00BC0842">
        <w:rPr>
          <w:color w:val="000000"/>
          <w:lang w:val="fr-FR"/>
        </w:rPr>
        <w:t>conformité aux limites prescrites aux numéros </w:t>
      </w:r>
      <w:r w:rsidR="00667361" w:rsidRPr="00BC0842">
        <w:rPr>
          <w:rStyle w:val="Artref0"/>
          <w:b/>
          <w:color w:val="000000"/>
          <w:lang w:val="fr-FR"/>
        </w:rPr>
        <w:t>22.8</w:t>
      </w:r>
      <w:r w:rsidR="00667361" w:rsidRPr="00BC0842">
        <w:rPr>
          <w:color w:val="000000"/>
          <w:lang w:val="fr-FR"/>
        </w:rPr>
        <w:t xml:space="preserve">, </w:t>
      </w:r>
      <w:r w:rsidR="00667361" w:rsidRPr="00BC0842">
        <w:rPr>
          <w:rStyle w:val="Artref0"/>
          <w:b/>
          <w:color w:val="000000"/>
          <w:lang w:val="fr-FR"/>
        </w:rPr>
        <w:t>22.13</w:t>
      </w:r>
      <w:r w:rsidR="00667361" w:rsidRPr="00BC0842">
        <w:rPr>
          <w:color w:val="000000"/>
          <w:lang w:val="fr-FR"/>
        </w:rPr>
        <w:t xml:space="preserve">, </w:t>
      </w:r>
      <w:r w:rsidR="00667361" w:rsidRPr="00BC0842">
        <w:rPr>
          <w:rStyle w:val="Artref0"/>
          <w:b/>
          <w:color w:val="000000"/>
          <w:lang w:val="fr-FR"/>
        </w:rPr>
        <w:t>22.17</w:t>
      </w:r>
      <w:r w:rsidR="001B2615">
        <w:rPr>
          <w:rStyle w:val="Artref0"/>
          <w:b/>
          <w:color w:val="000000"/>
          <w:lang w:val="fr-FR"/>
        </w:rPr>
        <w:br/>
      </w:r>
      <w:r w:rsidR="00667361" w:rsidRPr="00BC0842">
        <w:rPr>
          <w:color w:val="000000"/>
          <w:lang w:val="fr-FR"/>
        </w:rPr>
        <w:t>et </w:t>
      </w:r>
      <w:r w:rsidR="00667361" w:rsidRPr="00BC0842">
        <w:rPr>
          <w:rStyle w:val="Artref0"/>
          <w:b/>
          <w:color w:val="000000"/>
          <w:lang w:val="fr-FR"/>
        </w:rPr>
        <w:t>22.19</w:t>
      </w:r>
      <w:r w:rsidR="00667361" w:rsidRPr="00BC0842">
        <w:rPr>
          <w:color w:val="000000"/>
          <w:lang w:val="fr-FR"/>
        </w:rPr>
        <w:t>.</w:t>
      </w:r>
    </w:p>
    <w:p w14:paraId="49D9D024" w14:textId="77777777" w:rsidR="00667361" w:rsidRPr="00277E7C" w:rsidRDefault="00667361" w:rsidP="0036118B">
      <w:pPr>
        <w:spacing w:before="40"/>
        <w:rPr>
          <w:color w:val="000000"/>
          <w:lang w:val="fr-FR"/>
        </w:rPr>
      </w:pPr>
      <w:r w:rsidRPr="00277E7C">
        <w:rPr>
          <w:color w:val="000000"/>
          <w:lang w:val="fr-FR"/>
        </w:rPr>
        <w:t>3</w:t>
      </w:r>
      <w:r w:rsidRPr="00277E7C">
        <w:rPr>
          <w:color w:val="000000"/>
          <w:lang w:val="fr-FR"/>
        </w:rPr>
        <w:tab/>
        <w:t xml:space="preserve">Les autres dispositions des Articles </w:t>
      </w:r>
      <w:r w:rsidRPr="00277E7C">
        <w:rPr>
          <w:rStyle w:val="Artref0"/>
          <w:b/>
          <w:color w:val="000000"/>
          <w:lang w:val="fr-FR"/>
        </w:rPr>
        <w:t>21</w:t>
      </w:r>
      <w:r w:rsidRPr="00277E7C">
        <w:rPr>
          <w:color w:val="000000"/>
          <w:lang w:val="fr-FR"/>
        </w:rPr>
        <w:t xml:space="preserve"> et </w:t>
      </w:r>
      <w:r w:rsidRPr="00277E7C">
        <w:rPr>
          <w:rStyle w:val="Artref0"/>
          <w:b/>
          <w:color w:val="000000"/>
          <w:lang w:val="fr-FR"/>
        </w:rPr>
        <w:t>22</w:t>
      </w:r>
      <w:r w:rsidRPr="00277E7C">
        <w:rPr>
          <w:color w:val="000000"/>
          <w:lang w:val="fr-FR"/>
        </w:rPr>
        <w:t xml:space="preserve">, ne seront pas prises en compte dans l'examen réglementaire effectué au titre du numéro </w:t>
      </w:r>
      <w:r w:rsidRPr="00277E7C">
        <w:rPr>
          <w:rStyle w:val="Artref0"/>
          <w:b/>
          <w:color w:val="000000"/>
          <w:lang w:val="fr-FR"/>
        </w:rPr>
        <w:t>11.31</w:t>
      </w:r>
      <w:r w:rsidRPr="00277E7C">
        <w:rPr>
          <w:color w:val="000000"/>
          <w:lang w:val="fr-FR"/>
        </w:rPr>
        <w:t xml:space="preserve"> et le Comité considère que ces dispositions doivent être appliquées entre les administrations.</w:t>
      </w:r>
    </w:p>
    <w:p w14:paraId="4412D79C" w14:textId="77777777" w:rsidR="00667361" w:rsidRPr="00277E7C" w:rsidRDefault="00667361" w:rsidP="0036118B">
      <w:pPr>
        <w:pStyle w:val="Heading1"/>
        <w:spacing w:before="40"/>
        <w:rPr>
          <w:b w:val="0"/>
          <w:bCs/>
          <w:sz w:val="24"/>
          <w:szCs w:val="24"/>
          <w:lang w:val="fr-FR"/>
        </w:rPr>
      </w:pPr>
      <w:r w:rsidRPr="00277E7C">
        <w:rPr>
          <w:bCs/>
          <w:sz w:val="24"/>
          <w:szCs w:val="24"/>
          <w:lang w:val="fr-FR"/>
        </w:rPr>
        <w:t>4</w:t>
      </w:r>
      <w:r w:rsidRPr="00277E7C">
        <w:rPr>
          <w:b w:val="0"/>
          <w:bCs/>
          <w:sz w:val="24"/>
          <w:szCs w:val="24"/>
          <w:lang w:val="fr-FR"/>
        </w:rPr>
        <w:tab/>
        <w:t>(Non utilisé)</w:t>
      </w:r>
    </w:p>
    <w:p w14:paraId="21E6500B" w14:textId="77777777" w:rsidR="00667361" w:rsidRPr="00277E7C" w:rsidRDefault="00667361" w:rsidP="00093869">
      <w:pPr>
        <w:pStyle w:val="Heading1"/>
        <w:spacing w:before="120"/>
        <w:rPr>
          <w:lang w:val="fr-FR"/>
        </w:rPr>
      </w:pPr>
      <w:r w:rsidRPr="00277E7C">
        <w:rPr>
          <w:lang w:val="fr-FR"/>
        </w:rPr>
        <w:t>5</w:t>
      </w:r>
      <w:r w:rsidRPr="00277E7C">
        <w:rPr>
          <w:lang w:val="fr-FR"/>
        </w:rPr>
        <w:tab/>
        <w:t>Conformité avec le Tableau d'attribution des bandes de fréquences</w:t>
      </w:r>
    </w:p>
    <w:p w14:paraId="6A7835B5" w14:textId="54285CEB" w:rsidR="00BC0842" w:rsidRDefault="00667361" w:rsidP="0036118B">
      <w:pPr>
        <w:spacing w:before="40"/>
        <w:rPr>
          <w:color w:val="000000"/>
          <w:lang w:val="fr-FR"/>
        </w:rPr>
      </w:pPr>
      <w:r w:rsidRPr="00277E7C">
        <w:rPr>
          <w:color w:val="000000"/>
          <w:lang w:val="fr-FR"/>
        </w:rPr>
        <w:t>L'examen de conformité avec le Tableau d'attribution des bandes de fréquences consiste à dé</w:t>
      </w:r>
      <w:r w:rsidR="000E7C11" w:rsidRPr="00277E7C">
        <w:rPr>
          <w:color w:val="000000"/>
          <w:lang w:val="fr-FR"/>
        </w:rPr>
        <w:softHyphen/>
      </w:r>
      <w:r w:rsidRPr="00277E7C">
        <w:rPr>
          <w:color w:val="000000"/>
          <w:lang w:val="fr-FR"/>
        </w:rPr>
        <w:t>terminer si la fréquence assignée et/ou la largeur de bande nécessaire de l'émission se situent dans la bande de fréquences attribuée au service dans lequel la station en question fonctionne. Un autre élément consiste à identifier la catégorie du service conformément au</w:t>
      </w:r>
      <w:r w:rsidR="000E7C11" w:rsidRPr="00277E7C">
        <w:rPr>
          <w:color w:val="000000"/>
          <w:lang w:val="fr-FR"/>
        </w:rPr>
        <w:t xml:space="preserve"> </w:t>
      </w:r>
      <w:r w:rsidRPr="00277E7C">
        <w:rPr>
          <w:color w:val="000000"/>
          <w:lang w:val="fr-FR"/>
        </w:rPr>
        <w:t>Tableau d'attribution des bandes de fréquences. Les règles suivantes sont appliquées à cet égard:</w:t>
      </w:r>
    </w:p>
    <w:p w14:paraId="4FCA69B6" w14:textId="26A4F566" w:rsidR="00667361" w:rsidRPr="00277E7C" w:rsidRDefault="00667361" w:rsidP="000E7C11">
      <w:pPr>
        <w:spacing w:before="160"/>
        <w:rPr>
          <w:color w:val="000000"/>
          <w:lang w:val="fr-FR"/>
        </w:rPr>
      </w:pPr>
      <w:r w:rsidRPr="00277E7C">
        <w:rPr>
          <w:color w:val="000000"/>
          <w:lang w:val="fr-FR"/>
        </w:rPr>
        <w:lastRenderedPageBreak/>
        <w:t>5.1</w:t>
      </w:r>
      <w:r w:rsidRPr="00277E7C">
        <w:rPr>
          <w:color w:val="000000"/>
          <w:lang w:val="fr-FR"/>
        </w:rPr>
        <w:tab/>
      </w:r>
      <w:r w:rsidRPr="00277E7C">
        <w:rPr>
          <w:i/>
          <w:color w:val="000000"/>
          <w:lang w:val="fr-FR"/>
        </w:rPr>
        <w:t>Emissions</w:t>
      </w:r>
      <w:r w:rsidR="000E7C11" w:rsidRPr="00277E7C">
        <w:rPr>
          <w:i/>
          <w:color w:val="000000"/>
          <w:lang w:val="fr-FR"/>
        </w:rPr>
        <w:t> </w:t>
      </w:r>
      <w:r w:rsidRPr="00277E7C">
        <w:rPr>
          <w:i/>
          <w:color w:val="000000"/>
          <w:lang w:val="fr-FR"/>
        </w:rPr>
        <w:t>hors</w:t>
      </w:r>
      <w:r w:rsidR="000E7C11" w:rsidRPr="00277E7C">
        <w:rPr>
          <w:i/>
          <w:color w:val="000000"/>
          <w:lang w:val="fr-FR"/>
        </w:rPr>
        <w:t> </w:t>
      </w:r>
      <w:r w:rsidRPr="00277E7C">
        <w:rPr>
          <w:i/>
          <w:color w:val="000000"/>
          <w:lang w:val="fr-FR"/>
        </w:rPr>
        <w:t>bande:</w:t>
      </w:r>
      <w:r w:rsidR="000E7C11" w:rsidRPr="00277E7C">
        <w:rPr>
          <w:iCs/>
          <w:color w:val="000000"/>
          <w:lang w:val="fr-FR"/>
        </w:rPr>
        <w:t>  </w:t>
      </w:r>
      <w:r w:rsidRPr="00277E7C">
        <w:rPr>
          <w:color w:val="000000"/>
          <w:lang w:val="fr-FR"/>
        </w:rPr>
        <w:t>Dans le cas où la fréquence assignée se situe dans une bande</w:t>
      </w:r>
      <w:r w:rsidRPr="00277E7C">
        <w:rPr>
          <w:color w:val="000000"/>
          <w:sz w:val="20"/>
          <w:lang w:val="fr-FR"/>
        </w:rPr>
        <w:t xml:space="preserve"> </w:t>
      </w:r>
      <w:r w:rsidRPr="00277E7C">
        <w:rPr>
          <w:color w:val="000000"/>
          <w:lang w:val="fr-FR"/>
        </w:rPr>
        <w:t>qui</w:t>
      </w:r>
      <w:r w:rsidRPr="00277E7C">
        <w:rPr>
          <w:color w:val="000000"/>
          <w:sz w:val="20"/>
          <w:lang w:val="fr-FR"/>
        </w:rPr>
        <w:t xml:space="preserve"> </w:t>
      </w:r>
      <w:r w:rsidRPr="00277E7C">
        <w:rPr>
          <w:color w:val="000000"/>
          <w:lang w:val="fr-FR"/>
        </w:rPr>
        <w:t>n'est</w:t>
      </w:r>
      <w:r w:rsidRPr="00277E7C">
        <w:rPr>
          <w:color w:val="000000"/>
          <w:sz w:val="20"/>
          <w:lang w:val="fr-FR"/>
        </w:rPr>
        <w:t xml:space="preserve"> </w:t>
      </w:r>
      <w:r w:rsidRPr="00277E7C">
        <w:rPr>
          <w:color w:val="000000"/>
          <w:lang w:val="fr-FR"/>
        </w:rPr>
        <w:t>pas</w:t>
      </w:r>
      <w:r w:rsidRPr="00277E7C">
        <w:rPr>
          <w:color w:val="000000"/>
          <w:sz w:val="20"/>
          <w:lang w:val="fr-FR"/>
        </w:rPr>
        <w:t xml:space="preserve"> </w:t>
      </w:r>
      <w:r w:rsidRPr="00277E7C">
        <w:rPr>
          <w:color w:val="000000"/>
          <w:lang w:val="fr-FR"/>
        </w:rPr>
        <w:t>attribuée</w:t>
      </w:r>
      <w:r w:rsidRPr="00277E7C">
        <w:rPr>
          <w:color w:val="000000"/>
          <w:sz w:val="20"/>
          <w:lang w:val="fr-FR"/>
        </w:rPr>
        <w:t xml:space="preserve"> </w:t>
      </w:r>
      <w:r w:rsidRPr="00277E7C">
        <w:rPr>
          <w:color w:val="000000"/>
          <w:lang w:val="fr-FR"/>
        </w:rPr>
        <w:t>au</w:t>
      </w:r>
      <w:r w:rsidRPr="00277E7C">
        <w:rPr>
          <w:color w:val="000000"/>
          <w:sz w:val="20"/>
          <w:lang w:val="fr-FR"/>
        </w:rPr>
        <w:t xml:space="preserve"> </w:t>
      </w:r>
      <w:r w:rsidRPr="00277E7C">
        <w:rPr>
          <w:color w:val="000000"/>
          <w:lang w:val="fr-FR"/>
        </w:rPr>
        <w:t>service</w:t>
      </w:r>
      <w:r w:rsidRPr="00277E7C">
        <w:rPr>
          <w:color w:val="000000"/>
          <w:sz w:val="20"/>
          <w:lang w:val="fr-FR"/>
        </w:rPr>
        <w:t xml:space="preserve"> </w:t>
      </w:r>
      <w:r w:rsidRPr="00277E7C">
        <w:rPr>
          <w:color w:val="000000"/>
          <w:lang w:val="fr-FR"/>
        </w:rPr>
        <w:t>dans</w:t>
      </w:r>
      <w:r w:rsidRPr="00277E7C">
        <w:rPr>
          <w:color w:val="000000"/>
          <w:sz w:val="20"/>
          <w:lang w:val="fr-FR"/>
        </w:rPr>
        <w:t xml:space="preserve"> </w:t>
      </w:r>
      <w:r w:rsidRPr="00277E7C">
        <w:rPr>
          <w:color w:val="000000"/>
          <w:lang w:val="fr-FR"/>
        </w:rPr>
        <w:t>lequel</w:t>
      </w:r>
      <w:r w:rsidRPr="00277E7C">
        <w:rPr>
          <w:color w:val="000000"/>
          <w:sz w:val="20"/>
          <w:lang w:val="fr-FR"/>
        </w:rPr>
        <w:t xml:space="preserve"> </w:t>
      </w:r>
      <w:r w:rsidRPr="00277E7C">
        <w:rPr>
          <w:color w:val="000000"/>
          <w:lang w:val="fr-FR"/>
        </w:rPr>
        <w:t>la</w:t>
      </w:r>
      <w:r w:rsidRPr="00277E7C">
        <w:rPr>
          <w:color w:val="000000"/>
          <w:sz w:val="20"/>
          <w:lang w:val="fr-FR"/>
        </w:rPr>
        <w:t xml:space="preserve"> </w:t>
      </w:r>
      <w:r w:rsidRPr="00277E7C">
        <w:rPr>
          <w:color w:val="000000"/>
          <w:lang w:val="fr-FR"/>
        </w:rPr>
        <w:t>station</w:t>
      </w:r>
      <w:r w:rsidRPr="00277E7C">
        <w:rPr>
          <w:color w:val="000000"/>
          <w:sz w:val="20"/>
          <w:lang w:val="fr-FR"/>
        </w:rPr>
        <w:t xml:space="preserve"> </w:t>
      </w:r>
      <w:r w:rsidRPr="00277E7C">
        <w:rPr>
          <w:color w:val="000000"/>
          <w:lang w:val="fr-FR"/>
        </w:rPr>
        <w:t>fonctionne,</w:t>
      </w:r>
      <w:r w:rsidRPr="00277E7C">
        <w:rPr>
          <w:color w:val="000000"/>
          <w:sz w:val="20"/>
          <w:lang w:val="fr-FR"/>
        </w:rPr>
        <w:t xml:space="preserve"> </w:t>
      </w:r>
      <w:r w:rsidRPr="00277E7C">
        <w:rPr>
          <w:color w:val="000000"/>
          <w:lang w:val="fr-FR"/>
        </w:rPr>
        <w:t>la</w:t>
      </w:r>
      <w:r w:rsidRPr="00277E7C">
        <w:rPr>
          <w:color w:val="000000"/>
          <w:sz w:val="20"/>
          <w:lang w:val="fr-FR"/>
        </w:rPr>
        <w:t xml:space="preserve"> </w:t>
      </w:r>
      <w:r w:rsidRPr="00277E7C">
        <w:rPr>
          <w:color w:val="000000"/>
          <w:lang w:val="fr-FR"/>
        </w:rPr>
        <w:t>fiche</w:t>
      </w:r>
      <w:r w:rsidRPr="00277E7C">
        <w:rPr>
          <w:color w:val="000000"/>
          <w:sz w:val="20"/>
          <w:lang w:val="fr-FR"/>
        </w:rPr>
        <w:t xml:space="preserve"> </w:t>
      </w:r>
      <w:r w:rsidRPr="00277E7C">
        <w:rPr>
          <w:color w:val="000000"/>
          <w:lang w:val="fr-FR"/>
        </w:rPr>
        <w:t>de</w:t>
      </w:r>
      <w:r w:rsidRPr="00277E7C">
        <w:rPr>
          <w:color w:val="000000"/>
          <w:sz w:val="20"/>
          <w:lang w:val="fr-FR"/>
        </w:rPr>
        <w:t xml:space="preserve"> </w:t>
      </w:r>
      <w:r w:rsidRPr="00277E7C">
        <w:rPr>
          <w:color w:val="000000"/>
          <w:lang w:val="fr-FR"/>
        </w:rPr>
        <w:t>notification fait l'objet d'une conclusion réglementaire défavorable. Si la fréquence assignée se situe à la limite d'une bande qui n'est pas attribuée au service, la conclusion est également défavorable.</w:t>
      </w:r>
    </w:p>
    <w:p w14:paraId="23463F1D" w14:textId="77777777" w:rsidR="00667361" w:rsidRPr="00277E7C" w:rsidRDefault="00667361" w:rsidP="000E7C11">
      <w:pPr>
        <w:spacing w:before="160"/>
        <w:rPr>
          <w:color w:val="000000"/>
          <w:lang w:val="fr-FR"/>
        </w:rPr>
      </w:pPr>
      <w:r w:rsidRPr="00277E7C">
        <w:rPr>
          <w:color w:val="000000"/>
          <w:lang w:val="fr-FR"/>
        </w:rPr>
        <w:t>5.2</w:t>
      </w:r>
      <w:r w:rsidRPr="00277E7C">
        <w:rPr>
          <w:color w:val="000000"/>
          <w:lang w:val="fr-FR"/>
        </w:rPr>
        <w:tab/>
      </w:r>
      <w:r w:rsidRPr="00277E7C">
        <w:rPr>
          <w:i/>
          <w:color w:val="000000"/>
          <w:lang w:val="fr-FR"/>
        </w:rPr>
        <w:t>Emissions</w:t>
      </w:r>
      <w:r w:rsidR="000E7C11" w:rsidRPr="00277E7C">
        <w:rPr>
          <w:i/>
          <w:color w:val="000000"/>
          <w:lang w:val="fr-FR"/>
        </w:rPr>
        <w:t> </w:t>
      </w:r>
      <w:r w:rsidRPr="00277E7C">
        <w:rPr>
          <w:i/>
          <w:color w:val="000000"/>
          <w:lang w:val="fr-FR"/>
        </w:rPr>
        <w:t>en</w:t>
      </w:r>
      <w:r w:rsidR="000E7C11" w:rsidRPr="00277E7C">
        <w:rPr>
          <w:i/>
          <w:color w:val="000000"/>
          <w:lang w:val="fr-FR"/>
        </w:rPr>
        <w:t> </w:t>
      </w:r>
      <w:r w:rsidRPr="00277E7C">
        <w:rPr>
          <w:i/>
          <w:color w:val="000000"/>
          <w:lang w:val="fr-FR"/>
        </w:rPr>
        <w:t>chevauchement:</w:t>
      </w:r>
      <w:r w:rsidR="000E7C11" w:rsidRPr="00277E7C">
        <w:rPr>
          <w:iCs/>
          <w:color w:val="000000"/>
          <w:lang w:val="fr-FR"/>
        </w:rPr>
        <w:t>  </w:t>
      </w:r>
      <w:r w:rsidRPr="00277E7C">
        <w:rPr>
          <w:color w:val="000000"/>
          <w:lang w:val="fr-FR"/>
        </w:rPr>
        <w:t>Dans le cas où la fréquence assignée se situe dans la bande qui est attribuée au service mais où la largeur de bande nécessaire chevauche la bande immédiatement adjacente qui n'est pas attribuée au service, la fiche de notification fait l'objet d'une conclusion réglementaire défavorable.</w:t>
      </w:r>
    </w:p>
    <w:p w14:paraId="58F006C3" w14:textId="77777777" w:rsidR="00667361" w:rsidRPr="00277E7C" w:rsidRDefault="00667361" w:rsidP="000E7C11">
      <w:pPr>
        <w:spacing w:before="160"/>
        <w:rPr>
          <w:color w:val="000000"/>
          <w:lang w:val="fr-FR"/>
        </w:rPr>
      </w:pPr>
      <w:r w:rsidRPr="00277E7C">
        <w:rPr>
          <w:color w:val="000000"/>
          <w:lang w:val="fr-FR"/>
        </w:rPr>
        <w:t>5.3</w:t>
      </w:r>
      <w:r w:rsidRPr="00277E7C">
        <w:rPr>
          <w:color w:val="000000"/>
          <w:lang w:val="fr-FR"/>
        </w:rPr>
        <w:tab/>
      </w:r>
      <w:r w:rsidRPr="00277E7C">
        <w:rPr>
          <w:i/>
          <w:color w:val="000000"/>
          <w:lang w:val="fr-FR"/>
        </w:rPr>
        <w:t>Point de réception d'un service de Terre situé dans une région où le service n'est pas attribué:</w:t>
      </w:r>
      <w:r w:rsidR="000E7C11" w:rsidRPr="00277E7C">
        <w:rPr>
          <w:iCs/>
          <w:color w:val="000000"/>
          <w:lang w:val="fr-FR"/>
        </w:rPr>
        <w:t>  </w:t>
      </w:r>
      <w:r w:rsidRPr="00277E7C">
        <w:rPr>
          <w:color w:val="000000"/>
          <w:lang w:val="fr-FR"/>
        </w:rPr>
        <w:t>En cas de circuit dont le point d'émission se situe dans un pays, une sous-région ou une région où la fréquence est attribuée au service mais dont le point de réception se situe là où la fréquence ne l'est pas, une conclusion réglementaire défavorable est formulée.</w:t>
      </w:r>
    </w:p>
    <w:p w14:paraId="0B404EC5" w14:textId="6DFFD130" w:rsidR="00667361" w:rsidRPr="00277E7C" w:rsidRDefault="00667361" w:rsidP="00667361">
      <w:pPr>
        <w:spacing w:before="160"/>
        <w:rPr>
          <w:color w:val="000000"/>
          <w:lang w:val="fr-FR"/>
        </w:rPr>
      </w:pPr>
      <w:r w:rsidRPr="00277E7C">
        <w:rPr>
          <w:color w:val="000000"/>
          <w:lang w:val="fr-FR"/>
        </w:rPr>
        <w:t>5.4</w:t>
      </w:r>
      <w:r w:rsidRPr="00277E7C">
        <w:rPr>
          <w:color w:val="000000"/>
          <w:lang w:val="fr-FR"/>
        </w:rPr>
        <w:tab/>
        <w:t>La relation entre l'administration notificatrice et le territoire sur lequel est située la station est couverte par la Résolution</w:t>
      </w:r>
      <w:r w:rsidR="00E175FB">
        <w:rPr>
          <w:color w:val="000000"/>
          <w:lang w:val="fr-FR"/>
        </w:rPr>
        <w:t> </w:t>
      </w:r>
      <w:r w:rsidRPr="00277E7C">
        <w:rPr>
          <w:b/>
          <w:color w:val="000000"/>
          <w:lang w:val="fr-FR"/>
        </w:rPr>
        <w:t>1</w:t>
      </w:r>
      <w:r w:rsidR="00E175FB">
        <w:rPr>
          <w:color w:val="000000"/>
          <w:lang w:val="fr-FR"/>
        </w:rPr>
        <w:t> </w:t>
      </w:r>
      <w:r w:rsidRPr="00277E7C">
        <w:rPr>
          <w:b/>
          <w:color w:val="000000"/>
          <w:lang w:val="fr-FR"/>
        </w:rPr>
        <w:t>(Rév.CMR-97)</w:t>
      </w:r>
      <w:r w:rsidRPr="00277E7C">
        <w:rPr>
          <w:color w:val="000000"/>
          <w:lang w:val="fr-FR"/>
        </w:rPr>
        <w:t xml:space="preserve"> </w:t>
      </w:r>
      <w:r w:rsidRPr="00E175FB">
        <w:rPr>
          <w:color w:val="000000"/>
          <w:spacing w:val="-4"/>
          <w:lang w:val="fr-FR"/>
        </w:rPr>
        <w:t xml:space="preserve">(voir également les commentaires concernant les Règles de procédure relatives au numéro </w:t>
      </w:r>
      <w:r w:rsidRPr="00E175FB">
        <w:rPr>
          <w:rStyle w:val="Artref0"/>
          <w:b/>
          <w:color w:val="000000"/>
          <w:spacing w:val="-4"/>
          <w:lang w:val="fr-FR"/>
        </w:rPr>
        <w:t>9.3</w:t>
      </w:r>
      <w:r w:rsidRPr="00E175FB">
        <w:rPr>
          <w:color w:val="000000"/>
          <w:spacing w:val="-4"/>
          <w:lang w:val="fr-FR"/>
        </w:rPr>
        <w:t xml:space="preserve"> et à la Résolution</w:t>
      </w:r>
      <w:r w:rsidR="002E379E" w:rsidRPr="00E175FB">
        <w:rPr>
          <w:color w:val="000000"/>
          <w:spacing w:val="-4"/>
          <w:lang w:val="fr-FR"/>
        </w:rPr>
        <w:t> </w:t>
      </w:r>
      <w:r w:rsidRPr="00E175FB">
        <w:rPr>
          <w:b/>
          <w:color w:val="000000"/>
          <w:spacing w:val="-4"/>
          <w:lang w:val="fr-FR"/>
        </w:rPr>
        <w:t>1</w:t>
      </w:r>
      <w:r w:rsidR="0076068A" w:rsidRPr="00E175FB">
        <w:rPr>
          <w:color w:val="000000"/>
          <w:spacing w:val="-4"/>
          <w:lang w:val="fr-FR"/>
        </w:rPr>
        <w:t> </w:t>
      </w:r>
      <w:r w:rsidRPr="00E175FB">
        <w:rPr>
          <w:b/>
          <w:color w:val="000000"/>
          <w:spacing w:val="-4"/>
          <w:lang w:val="fr-FR"/>
        </w:rPr>
        <w:t>(Rév.CMR</w:t>
      </w:r>
      <w:r w:rsidRPr="00E175FB">
        <w:rPr>
          <w:b/>
          <w:color w:val="000000"/>
          <w:spacing w:val="-4"/>
          <w:lang w:val="fr-FR"/>
        </w:rPr>
        <w:noBreakHyphen/>
        <w:t>97)</w:t>
      </w:r>
      <w:r w:rsidRPr="00E175FB">
        <w:rPr>
          <w:bCs/>
          <w:color w:val="000000"/>
          <w:spacing w:val="-4"/>
          <w:lang w:val="fr-FR"/>
        </w:rPr>
        <w:t>)</w:t>
      </w:r>
      <w:r w:rsidRPr="00E175FB">
        <w:rPr>
          <w:color w:val="000000"/>
          <w:spacing w:val="-4"/>
          <w:lang w:val="fr-FR"/>
        </w:rPr>
        <w:t>.</w:t>
      </w:r>
      <w:r w:rsidRPr="00277E7C">
        <w:rPr>
          <w:color w:val="000000"/>
          <w:lang w:val="fr-FR"/>
        </w:rPr>
        <w:t xml:space="preserve"> La notification d'assignations à des stations spatiales soulève les questions suivantes:</w:t>
      </w:r>
    </w:p>
    <w:p w14:paraId="3D1A8C92" w14:textId="77777777" w:rsidR="00667361" w:rsidRPr="00277E7C" w:rsidRDefault="00667361" w:rsidP="00667361">
      <w:pPr>
        <w:pStyle w:val="enumlev1"/>
        <w:rPr>
          <w:color w:val="000000"/>
          <w:lang w:val="fr-FR"/>
        </w:rPr>
      </w:pPr>
      <w:r w:rsidRPr="00277E7C">
        <w:rPr>
          <w:color w:val="000000"/>
          <w:lang w:val="fr-FR"/>
        </w:rPr>
        <w:t>–</w:t>
      </w:r>
      <w:r w:rsidRPr="00277E7C">
        <w:rPr>
          <w:color w:val="000000"/>
          <w:lang w:val="fr-FR"/>
        </w:rPr>
        <w:tab/>
        <w:t>Devrait-il y avoir une relation entre le territoire de l'administration notificatrice et la position orbitale d'une station spatiale en cas d'attributions mondiales?</w:t>
      </w:r>
    </w:p>
    <w:p w14:paraId="3E8F8EF0" w14:textId="77777777" w:rsidR="00667361" w:rsidRPr="00277E7C" w:rsidRDefault="00667361" w:rsidP="00667361">
      <w:pPr>
        <w:pStyle w:val="enumlev1"/>
        <w:rPr>
          <w:color w:val="000000"/>
          <w:lang w:val="fr-FR"/>
        </w:rPr>
      </w:pPr>
      <w:r w:rsidRPr="00277E7C">
        <w:rPr>
          <w:color w:val="000000"/>
          <w:lang w:val="fr-FR"/>
        </w:rPr>
        <w:t>–</w:t>
      </w:r>
      <w:r w:rsidRPr="00277E7C">
        <w:rPr>
          <w:color w:val="000000"/>
          <w:lang w:val="fr-FR"/>
        </w:rPr>
        <w:tab/>
        <w:t>Devrait-il y avoir une relation du même type dans le cas d'attributions régionales ou d'attributions à un groupe de pays ou à un pays particulier?</w:t>
      </w:r>
    </w:p>
    <w:p w14:paraId="246B551F" w14:textId="77777777" w:rsidR="00667361" w:rsidRPr="00277E7C" w:rsidRDefault="00667361" w:rsidP="00667361">
      <w:pPr>
        <w:rPr>
          <w:color w:val="000000"/>
          <w:lang w:val="fr-FR"/>
        </w:rPr>
      </w:pPr>
      <w:r w:rsidRPr="00277E7C">
        <w:rPr>
          <w:color w:val="000000"/>
          <w:lang w:val="fr-FR"/>
        </w:rPr>
        <w:t>En réponse à ces questions, le Comité est parvenu aux conclusions suivantes:</w:t>
      </w:r>
    </w:p>
    <w:p w14:paraId="44AD4820" w14:textId="77777777" w:rsidR="00667361" w:rsidRPr="00277E7C" w:rsidRDefault="00667361" w:rsidP="00667361">
      <w:pPr>
        <w:pStyle w:val="enumlev1"/>
        <w:rPr>
          <w:color w:val="000000"/>
          <w:lang w:val="fr-FR"/>
        </w:rPr>
      </w:pPr>
      <w:r w:rsidRPr="00277E7C">
        <w:rPr>
          <w:i/>
          <w:color w:val="000000"/>
          <w:lang w:val="fr-FR"/>
        </w:rPr>
        <w:t>a)</w:t>
      </w:r>
      <w:r w:rsidRPr="00277E7C">
        <w:rPr>
          <w:color w:val="000000"/>
          <w:lang w:val="fr-FR"/>
        </w:rPr>
        <w:tab/>
        <w:t>Dans le cas d'attributions mondiales sans restriction expresse énoncée dans un renvoi, toute administration peut notifier une position orbitale et une zone de service quelles qu'elles soient, dans n'importe quelle partie de la Terre visible depuis la station spatiale.</w:t>
      </w:r>
    </w:p>
    <w:p w14:paraId="46B4C080" w14:textId="77777777" w:rsidR="00667361" w:rsidRPr="00277E7C" w:rsidRDefault="00667361" w:rsidP="00667361">
      <w:pPr>
        <w:pStyle w:val="enumlev1"/>
        <w:rPr>
          <w:color w:val="000000"/>
          <w:lang w:val="fr-FR"/>
        </w:rPr>
      </w:pPr>
      <w:r w:rsidRPr="00277E7C">
        <w:rPr>
          <w:i/>
          <w:color w:val="000000"/>
          <w:lang w:val="fr-FR"/>
        </w:rPr>
        <w:t>b)</w:t>
      </w:r>
      <w:r w:rsidRPr="00277E7C">
        <w:rPr>
          <w:color w:val="000000"/>
          <w:lang w:val="fr-FR"/>
        </w:rPr>
        <w:tab/>
        <w:t>Lorsqu'une attribution est faite avec des restrictions territoriales (par exemple utilisation nationale), la zone de service doit être limitée à ce territoire.</w:t>
      </w:r>
    </w:p>
    <w:p w14:paraId="1F49D647" w14:textId="77777777" w:rsidR="00667361" w:rsidRPr="00277E7C" w:rsidRDefault="00667361" w:rsidP="000E7C11">
      <w:pPr>
        <w:pStyle w:val="enumlev1"/>
        <w:rPr>
          <w:color w:val="000000"/>
          <w:lang w:val="fr-FR"/>
        </w:rPr>
      </w:pPr>
      <w:r w:rsidRPr="00277E7C">
        <w:rPr>
          <w:i/>
          <w:color w:val="000000"/>
          <w:lang w:val="fr-FR"/>
        </w:rPr>
        <w:t>c)</w:t>
      </w:r>
      <w:r w:rsidRPr="00277E7C">
        <w:rPr>
          <w:color w:val="000000"/>
          <w:lang w:val="fr-FR"/>
        </w:rPr>
        <w:tab/>
        <w:t>En cas d'attribution régionale, étant donné que les limites entre les trois Régions ne concernent pas l'orbite des satellites géostationnaires, on ne prend pas en considération la position orbitale lorsque l'on détermine si l'attribution régionale est respectée; seule la zone de service est utilisée pour formuler une conclusion; cette conclusion est favorable si la zone de service est entièrement située dans la Région à laquelle l'attribution est faite; elle est défavorable dans tous les autres cas. Si aucune restriction n'est expressément énoncée dans un renvoi, toute administration, qu'elle appartienne ou non à la Région à laquelle l'attribution est faite, peut notifier une position orbitale et une zone de service, quelles qu'elles soient, dans la Région à laquelle l'attribution est faite.</w:t>
      </w:r>
    </w:p>
    <w:p w14:paraId="6EAE2B38" w14:textId="77777777" w:rsidR="0092605C" w:rsidRDefault="0092605C">
      <w:pPr>
        <w:tabs>
          <w:tab w:val="clear" w:pos="1134"/>
          <w:tab w:val="clear" w:pos="1871"/>
          <w:tab w:val="clear" w:pos="2268"/>
        </w:tabs>
        <w:overflowPunct/>
        <w:autoSpaceDE/>
        <w:autoSpaceDN/>
        <w:adjustRightInd/>
        <w:spacing w:before="0"/>
        <w:jc w:val="left"/>
        <w:textAlignment w:val="auto"/>
        <w:rPr>
          <w:i/>
          <w:color w:val="000000"/>
          <w:lang w:val="fr-FR"/>
        </w:rPr>
      </w:pPr>
      <w:r>
        <w:rPr>
          <w:i/>
          <w:color w:val="000000"/>
          <w:lang w:val="fr-FR"/>
        </w:rPr>
        <w:br w:type="page"/>
      </w:r>
    </w:p>
    <w:p w14:paraId="2ABD03D9" w14:textId="77777777" w:rsidR="00667361" w:rsidRPr="00277E7C" w:rsidRDefault="00667361" w:rsidP="00667361">
      <w:pPr>
        <w:pStyle w:val="enumlev1"/>
        <w:rPr>
          <w:color w:val="000000"/>
          <w:lang w:val="fr-FR"/>
        </w:rPr>
      </w:pPr>
      <w:r w:rsidRPr="00277E7C">
        <w:rPr>
          <w:i/>
          <w:color w:val="000000"/>
          <w:lang w:val="fr-FR"/>
        </w:rPr>
        <w:lastRenderedPageBreak/>
        <w:t>d)</w:t>
      </w:r>
      <w:r w:rsidRPr="00277E7C">
        <w:rPr>
          <w:color w:val="000000"/>
          <w:lang w:val="fr-FR"/>
        </w:rPr>
        <w:tab/>
        <w:t xml:space="preserve">Le </w:t>
      </w:r>
      <w:r w:rsidRPr="00277E7C">
        <w:rPr>
          <w:i/>
          <w:color w:val="000000"/>
          <w:lang w:val="fr-FR"/>
        </w:rPr>
        <w:t>c)</w:t>
      </w:r>
      <w:r w:rsidRPr="00277E7C">
        <w:rPr>
          <w:color w:val="000000"/>
          <w:lang w:val="fr-FR"/>
        </w:rPr>
        <w:t xml:space="preserve"> ci-dessus s'applique de la même manière à une attribution à une sous-région ou à un pays.</w:t>
      </w:r>
    </w:p>
    <w:p w14:paraId="30496317" w14:textId="77777777" w:rsidR="00667361" w:rsidRPr="00277E7C" w:rsidRDefault="00667361" w:rsidP="0092605C">
      <w:pPr>
        <w:pStyle w:val="enumlev1"/>
        <w:rPr>
          <w:lang w:val="fr-FR"/>
        </w:rPr>
      </w:pPr>
      <w:r w:rsidRPr="00277E7C">
        <w:rPr>
          <w:i/>
          <w:lang w:val="fr-FR"/>
        </w:rPr>
        <w:t>e)</w:t>
      </w:r>
      <w:r w:rsidRPr="00277E7C">
        <w:rPr>
          <w:lang w:val="fr-FR"/>
        </w:rPr>
        <w:tab/>
        <w:t xml:space="preserve">Comme indiqué aux </w:t>
      </w:r>
      <w:r w:rsidRPr="00277E7C">
        <w:rPr>
          <w:i/>
          <w:lang w:val="fr-FR"/>
        </w:rPr>
        <w:t>c)</w:t>
      </w:r>
      <w:r w:rsidRPr="00277E7C">
        <w:rPr>
          <w:lang w:val="fr-FR"/>
        </w:rPr>
        <w:t xml:space="preserve"> et </w:t>
      </w:r>
      <w:r w:rsidRPr="00277E7C">
        <w:rPr>
          <w:i/>
          <w:lang w:val="fr-FR"/>
        </w:rPr>
        <w:t>d)</w:t>
      </w:r>
      <w:r w:rsidRPr="00277E7C">
        <w:rPr>
          <w:lang w:val="fr-FR"/>
        </w:rPr>
        <w:t xml:space="preserve"> ci-dessus, la zone de service notifiée par une administration ne correspond pas forcément au territoire de cette administration. Quand la zone de service notifiée couvre tout ou partie du territoire d'une autre administration, on suppose (sauf démenti d'une administration qui n'accepte pas cette pratique) qu'un accord existe entre les administrations concernées. Si, à la suite de la publication d'une assignation dans la Circulaire BR IFIC, une administration s'oppose à la zone de service notifiée, le Bureau informe l'administration notificatrice des observations reçues et ne modifie la zone de service qu'à la demande de celle</w:t>
      </w:r>
      <w:r w:rsidRPr="00277E7C">
        <w:rPr>
          <w:lang w:val="fr-FR"/>
        </w:rPr>
        <w:noBreakHyphen/>
        <w:t>ci.</w:t>
      </w:r>
    </w:p>
    <w:p w14:paraId="0A6B393C" w14:textId="77777777" w:rsidR="00667361" w:rsidRPr="00277E7C" w:rsidRDefault="00667361" w:rsidP="00667361">
      <w:pPr>
        <w:pStyle w:val="enumlev1"/>
        <w:rPr>
          <w:color w:val="000000"/>
          <w:lang w:val="fr-FR"/>
        </w:rPr>
      </w:pPr>
      <w:r w:rsidRPr="00277E7C">
        <w:rPr>
          <w:i/>
          <w:color w:val="000000"/>
          <w:lang w:val="fr-FR"/>
        </w:rPr>
        <w:t>f</w:t>
      </w:r>
      <w:r w:rsidR="000E7C11" w:rsidRPr="00277E7C">
        <w:rPr>
          <w:rFonts w:ascii="Tms Rmn" w:hAnsi="Tms Rmn"/>
          <w:iCs/>
          <w:color w:val="000000"/>
          <w:sz w:val="12"/>
          <w:lang w:val="fr-FR"/>
        </w:rPr>
        <w:t> </w:t>
      </w:r>
      <w:r w:rsidRPr="00277E7C">
        <w:rPr>
          <w:i/>
          <w:color w:val="000000"/>
          <w:lang w:val="fr-FR"/>
        </w:rPr>
        <w:t>)</w:t>
      </w:r>
      <w:r w:rsidRPr="00277E7C">
        <w:rPr>
          <w:color w:val="000000"/>
          <w:lang w:val="fr-FR"/>
        </w:rPr>
        <w:tab/>
        <w:t xml:space="preserve">Une station spatiale a une </w:t>
      </w:r>
      <w:r w:rsidRPr="00750D80">
        <w:rPr>
          <w:i/>
          <w:iCs/>
          <w:color w:val="000000"/>
          <w:lang w:val="fr-FR"/>
        </w:rPr>
        <w:t>«zone de couverture»</w:t>
      </w:r>
      <w:r w:rsidRPr="00277E7C">
        <w:rPr>
          <w:color w:val="000000"/>
          <w:lang w:val="fr-FR"/>
        </w:rPr>
        <w:t xml:space="preserve"> qui recouvre généralement la </w:t>
      </w:r>
      <w:r w:rsidRPr="00750D80">
        <w:rPr>
          <w:i/>
          <w:iCs/>
          <w:color w:val="000000"/>
          <w:lang w:val="fr-FR"/>
        </w:rPr>
        <w:t>«zone de service»</w:t>
      </w:r>
      <w:r w:rsidRPr="00277E7C">
        <w:rPr>
          <w:color w:val="000000"/>
          <w:lang w:val="fr-FR"/>
        </w:rPr>
        <w:t xml:space="preserve">. L'Article </w:t>
      </w:r>
      <w:r w:rsidRPr="00277E7C">
        <w:rPr>
          <w:rStyle w:val="Artref0"/>
          <w:b/>
          <w:color w:val="000000"/>
          <w:lang w:val="fr-FR"/>
        </w:rPr>
        <w:t>1</w:t>
      </w:r>
      <w:r w:rsidRPr="00277E7C">
        <w:rPr>
          <w:color w:val="000000"/>
          <w:lang w:val="fr-FR"/>
        </w:rPr>
        <w:t xml:space="preserve"> ne contient pas de définition de ces termes, mais on peut utiliser les définitions figurant dans l'Annexe 5 de l'Appendice </w:t>
      </w:r>
      <w:r w:rsidRPr="00277E7C">
        <w:rPr>
          <w:rStyle w:val="Appref"/>
          <w:b/>
          <w:color w:val="000000"/>
          <w:lang w:val="fr-FR"/>
        </w:rPr>
        <w:t>30</w:t>
      </w:r>
      <w:r w:rsidRPr="00277E7C">
        <w:rPr>
          <w:color w:val="000000"/>
          <w:lang w:val="fr-FR"/>
        </w:rPr>
        <w:t>. De manière générale, la zone de couverture entraîne une émission inévitable sur le territoire d'autres pays et les commen</w:t>
      </w:r>
      <w:r w:rsidRPr="00277E7C">
        <w:rPr>
          <w:color w:val="000000"/>
          <w:lang w:val="fr-FR"/>
        </w:rPr>
        <w:softHyphen/>
        <w:t xml:space="preserve">taires formulés au </w:t>
      </w:r>
      <w:r w:rsidRPr="00277E7C">
        <w:rPr>
          <w:i/>
          <w:color w:val="000000"/>
          <w:lang w:val="fr-FR"/>
        </w:rPr>
        <w:t>e)</w:t>
      </w:r>
      <w:r w:rsidRPr="00277E7C">
        <w:rPr>
          <w:color w:val="000000"/>
          <w:lang w:val="fr-FR"/>
        </w:rPr>
        <w:t xml:space="preserve"> ci-dessus ne s'appliquent pas à ce chevauchement inévitable.</w:t>
      </w:r>
    </w:p>
    <w:p w14:paraId="4E7F5809" w14:textId="77777777" w:rsidR="00667361" w:rsidRPr="00277E7C" w:rsidRDefault="00667361" w:rsidP="000E7C11">
      <w:pPr>
        <w:rPr>
          <w:color w:val="000000"/>
          <w:lang w:val="fr-FR"/>
        </w:rPr>
      </w:pPr>
      <w:r w:rsidRPr="00277E7C">
        <w:rPr>
          <w:color w:val="000000"/>
          <w:lang w:val="fr-FR"/>
        </w:rPr>
        <w:t>5.5</w:t>
      </w:r>
      <w:r w:rsidRPr="00277E7C">
        <w:rPr>
          <w:color w:val="000000"/>
          <w:lang w:val="fr-FR"/>
        </w:rPr>
        <w:tab/>
      </w:r>
      <w:r w:rsidRPr="00277E7C">
        <w:rPr>
          <w:i/>
          <w:color w:val="000000"/>
          <w:lang w:val="fr-FR"/>
        </w:rPr>
        <w:t>Catégories</w:t>
      </w:r>
      <w:r w:rsidR="000E7C11" w:rsidRPr="00277E7C">
        <w:rPr>
          <w:i/>
          <w:color w:val="000000"/>
          <w:lang w:val="fr-FR"/>
        </w:rPr>
        <w:t> </w:t>
      </w:r>
      <w:r w:rsidRPr="00277E7C">
        <w:rPr>
          <w:i/>
          <w:color w:val="000000"/>
          <w:lang w:val="fr-FR"/>
        </w:rPr>
        <w:t>d'attribution:</w:t>
      </w:r>
      <w:r w:rsidR="000E7C11" w:rsidRPr="00277E7C">
        <w:rPr>
          <w:iCs/>
          <w:color w:val="000000"/>
          <w:lang w:val="fr-FR"/>
        </w:rPr>
        <w:t>  </w:t>
      </w:r>
      <w:r w:rsidRPr="00277E7C">
        <w:rPr>
          <w:color w:val="000000"/>
          <w:lang w:val="fr-FR"/>
        </w:rPr>
        <w:t>Dans le cas où la largeur de bande assignée chevauche deux bandes de fréquences qui sont toutes deux attribuées au service en question, avec différentes catégories d'attribution, la conclusion réglementaire favorable est accompagnée de l'indication du statut découlant de la plus basse des deux catégories d'attribution.</w:t>
      </w:r>
    </w:p>
    <w:p w14:paraId="066135AD" w14:textId="77777777" w:rsidR="00667361" w:rsidRPr="00277E7C" w:rsidRDefault="00667361" w:rsidP="000E7C11">
      <w:pPr>
        <w:rPr>
          <w:color w:val="000000"/>
          <w:lang w:val="fr-FR"/>
        </w:rPr>
      </w:pPr>
      <w:r w:rsidRPr="00277E7C">
        <w:rPr>
          <w:color w:val="000000"/>
          <w:lang w:val="fr-FR"/>
        </w:rPr>
        <w:t>5.6</w:t>
      </w:r>
      <w:r w:rsidRPr="00277E7C">
        <w:rPr>
          <w:color w:val="000000"/>
          <w:lang w:val="fr-FR"/>
        </w:rPr>
        <w:tab/>
      </w:r>
      <w:r w:rsidRPr="00277E7C">
        <w:rPr>
          <w:i/>
          <w:color w:val="000000"/>
          <w:lang w:val="fr-FR"/>
        </w:rPr>
        <w:t>Bandes</w:t>
      </w:r>
      <w:r w:rsidR="000E7C11" w:rsidRPr="00277E7C">
        <w:rPr>
          <w:i/>
          <w:color w:val="000000"/>
          <w:lang w:val="fr-FR"/>
        </w:rPr>
        <w:t> </w:t>
      </w:r>
      <w:r w:rsidRPr="00277E7C">
        <w:rPr>
          <w:i/>
          <w:color w:val="000000"/>
          <w:lang w:val="fr-FR"/>
        </w:rPr>
        <w:t>de</w:t>
      </w:r>
      <w:r w:rsidR="000E7C11" w:rsidRPr="00277E7C">
        <w:rPr>
          <w:i/>
          <w:color w:val="000000"/>
          <w:lang w:val="fr-FR"/>
        </w:rPr>
        <w:t> </w:t>
      </w:r>
      <w:r w:rsidRPr="00277E7C">
        <w:rPr>
          <w:i/>
          <w:color w:val="000000"/>
          <w:lang w:val="fr-FR"/>
        </w:rPr>
        <w:t>radiodiffusion</w:t>
      </w:r>
      <w:r w:rsidR="000E7C11" w:rsidRPr="00277E7C">
        <w:rPr>
          <w:i/>
          <w:color w:val="000000"/>
          <w:lang w:val="fr-FR"/>
        </w:rPr>
        <w:t> </w:t>
      </w:r>
      <w:r w:rsidRPr="00277E7C">
        <w:rPr>
          <w:i/>
          <w:color w:val="000000"/>
          <w:lang w:val="fr-FR"/>
        </w:rPr>
        <w:t>tropicale:</w:t>
      </w:r>
      <w:r w:rsidR="000E7C11" w:rsidRPr="00277E7C">
        <w:rPr>
          <w:iCs/>
          <w:color w:val="000000"/>
          <w:lang w:val="fr-FR"/>
        </w:rPr>
        <w:t>  </w:t>
      </w:r>
      <w:r w:rsidRPr="00277E7C">
        <w:rPr>
          <w:color w:val="000000"/>
          <w:lang w:val="fr-FR"/>
        </w:rPr>
        <w:t>Les bandes de fréquences énumérées au numéro </w:t>
      </w:r>
      <w:r w:rsidRPr="00277E7C">
        <w:rPr>
          <w:rStyle w:val="Artref0"/>
          <w:b/>
          <w:color w:val="000000"/>
          <w:lang w:val="fr-FR"/>
        </w:rPr>
        <w:t>23.6</w:t>
      </w:r>
      <w:r w:rsidRPr="00277E7C">
        <w:rPr>
          <w:color w:val="000000"/>
          <w:lang w:val="fr-FR"/>
        </w:rPr>
        <w:t xml:space="preserve"> sont attribuées en partage au service de radiodiffusion tropicale et aux services fixe et mobile (voir également le numéro </w:t>
      </w:r>
      <w:r w:rsidRPr="00277E7C">
        <w:rPr>
          <w:rStyle w:val="Artref0"/>
          <w:b/>
          <w:color w:val="000000"/>
          <w:lang w:val="fr-FR"/>
        </w:rPr>
        <w:t>5.113</w:t>
      </w:r>
      <w:r w:rsidRPr="00277E7C">
        <w:rPr>
          <w:color w:val="000000"/>
          <w:lang w:val="fr-FR"/>
        </w:rPr>
        <w:t xml:space="preserve">). Dans la Zone tropicale (numéros </w:t>
      </w:r>
      <w:r w:rsidRPr="00277E7C">
        <w:rPr>
          <w:rStyle w:val="Artref0"/>
          <w:b/>
          <w:color w:val="000000"/>
          <w:lang w:val="fr-FR"/>
        </w:rPr>
        <w:t xml:space="preserve">5.16 </w:t>
      </w:r>
      <w:r w:rsidRPr="00277E7C">
        <w:rPr>
          <w:color w:val="000000"/>
          <w:lang w:val="fr-FR"/>
        </w:rPr>
        <w:t>à </w:t>
      </w:r>
      <w:r w:rsidRPr="00277E7C">
        <w:rPr>
          <w:rStyle w:val="Artref0"/>
          <w:b/>
          <w:color w:val="000000"/>
          <w:lang w:val="fr-FR"/>
        </w:rPr>
        <w:t>5.21</w:t>
      </w:r>
      <w:r w:rsidRPr="00277E7C">
        <w:rPr>
          <w:color w:val="000000"/>
          <w:lang w:val="fr-FR"/>
        </w:rPr>
        <w:t>), le service de radiodiffusion est prioritaire sur les autres services dans ces bandes de fréquences et les assignations de fréquence aux services autres que le service de radio</w:t>
      </w:r>
      <w:r w:rsidRPr="00277E7C">
        <w:rPr>
          <w:color w:val="000000"/>
          <w:lang w:val="fr-FR"/>
        </w:rPr>
        <w:softHyphen/>
        <w:t>diffusion sont indiquées de manière à faire apparaître qu'elles ont un statut inférieur par rapport aux assignations de fréquence aux stations du service de radiodiffusion tout en conservant leur statut par rapport aux assignations autres que celles de la radiodiffusion, aussi bien à l'intérieur qu'à l'extérieur de la Zone tropicale (symbole V dans la Colonne 13B2).</w:t>
      </w:r>
    </w:p>
    <w:p w14:paraId="5A54F09C" w14:textId="77777777" w:rsidR="00667361" w:rsidRPr="00277E7C" w:rsidRDefault="00667361" w:rsidP="00B04273">
      <w:pPr>
        <w:rPr>
          <w:color w:val="000000"/>
          <w:lang w:val="fr-FR"/>
        </w:rPr>
      </w:pPr>
      <w:r w:rsidRPr="00277E7C">
        <w:rPr>
          <w:color w:val="000000"/>
          <w:lang w:val="fr-FR"/>
        </w:rPr>
        <w:t>6</w:t>
      </w:r>
      <w:r w:rsidRPr="00277E7C">
        <w:rPr>
          <w:color w:val="000000"/>
          <w:lang w:val="fr-FR"/>
        </w:rPr>
        <w:tab/>
        <w:t xml:space="preserve">L'examen au titre du numéro </w:t>
      </w:r>
      <w:r w:rsidRPr="00277E7C">
        <w:rPr>
          <w:rStyle w:val="Artref0"/>
          <w:b/>
          <w:color w:val="000000"/>
          <w:lang w:val="fr-FR"/>
        </w:rPr>
        <w:t>11.31</w:t>
      </w:r>
      <w:r w:rsidRPr="00277E7C">
        <w:rPr>
          <w:color w:val="000000"/>
          <w:lang w:val="fr-FR"/>
        </w:rPr>
        <w:t>, qui suppose l'application réussie du numéro </w:t>
      </w:r>
      <w:r w:rsidRPr="00277E7C">
        <w:rPr>
          <w:rStyle w:val="Artref0"/>
          <w:b/>
          <w:color w:val="000000"/>
          <w:lang w:val="fr-FR"/>
        </w:rPr>
        <w:t>9.21</w:t>
      </w:r>
      <w:r w:rsidRPr="00277E7C">
        <w:rPr>
          <w:color w:val="000000"/>
          <w:lang w:val="fr-FR"/>
        </w:rPr>
        <w:t xml:space="preserve"> s'effectue sur la base des renseignements ayant trait au stade de l'accord de coordination dans la fiche de notification.</w:t>
      </w:r>
    </w:p>
    <w:p w14:paraId="079F6472" w14:textId="77777777" w:rsidR="00667361" w:rsidRPr="00277E7C" w:rsidRDefault="00667361" w:rsidP="000E7C11">
      <w:pPr>
        <w:rPr>
          <w:color w:val="000000"/>
          <w:lang w:val="fr-FR"/>
        </w:rPr>
      </w:pPr>
      <w:r w:rsidRPr="00277E7C">
        <w:rPr>
          <w:color w:val="000000"/>
          <w:lang w:val="fr-FR"/>
        </w:rPr>
        <w:t>7</w:t>
      </w:r>
      <w:r w:rsidRPr="00277E7C">
        <w:rPr>
          <w:color w:val="000000"/>
          <w:lang w:val="fr-FR"/>
        </w:rPr>
        <w:tab/>
        <w:t xml:space="preserve">Il peut résulter de l'examen au titre des Articles </w:t>
      </w:r>
      <w:r w:rsidRPr="00277E7C">
        <w:rPr>
          <w:rStyle w:val="Artref0"/>
          <w:b/>
          <w:color w:val="000000"/>
          <w:lang w:val="fr-FR"/>
        </w:rPr>
        <w:t>21</w:t>
      </w:r>
      <w:r w:rsidRPr="00277E7C">
        <w:rPr>
          <w:color w:val="000000"/>
          <w:lang w:val="fr-FR"/>
        </w:rPr>
        <w:t xml:space="preserve"> et </w:t>
      </w:r>
      <w:r w:rsidRPr="00277E7C">
        <w:rPr>
          <w:rStyle w:val="Artref0"/>
          <w:b/>
          <w:color w:val="000000"/>
          <w:lang w:val="fr-FR"/>
        </w:rPr>
        <w:t>22</w:t>
      </w:r>
      <w:r w:rsidRPr="00277E7C">
        <w:rPr>
          <w:color w:val="000000"/>
          <w:lang w:val="fr-FR"/>
        </w:rPr>
        <w:t xml:space="preserve"> que, dans certains cas, les limites énoncées dans ces Articles sont dépassées. Lorsque l'accord d'autres administrations est prévu, le Bureau formulera une conclusion favorable relativement au numéro </w:t>
      </w:r>
      <w:r w:rsidRPr="00277E7C">
        <w:rPr>
          <w:rStyle w:val="Artref0"/>
          <w:b/>
          <w:color w:val="000000"/>
          <w:lang w:val="fr-FR"/>
        </w:rPr>
        <w:t>11.31</w:t>
      </w:r>
      <w:r w:rsidRPr="00277E7C">
        <w:rPr>
          <w:color w:val="000000"/>
          <w:lang w:val="fr-FR"/>
        </w:rPr>
        <w:t xml:space="preserve"> uniquement s'il est informé qu'un accord existe. Il traite cet accord séparément de l'accord de coordination.</w:t>
      </w:r>
    </w:p>
    <w:p w14:paraId="42E5E7DD" w14:textId="77777777" w:rsidR="00D96A92" w:rsidRDefault="00D96A92">
      <w:pPr>
        <w:tabs>
          <w:tab w:val="clear" w:pos="1134"/>
          <w:tab w:val="clear" w:pos="1871"/>
          <w:tab w:val="clear" w:pos="2268"/>
        </w:tabs>
        <w:overflowPunct/>
        <w:autoSpaceDE/>
        <w:autoSpaceDN/>
        <w:adjustRightInd/>
        <w:spacing w:before="0"/>
        <w:jc w:val="left"/>
        <w:textAlignment w:val="auto"/>
        <w:rPr>
          <w:lang w:val="fr-FR"/>
        </w:rPr>
        <w:sectPr w:rsidR="00D96A92" w:rsidSect="00526050">
          <w:footnotePr>
            <w:pos w:val="beneathText"/>
          </w:footnotePr>
          <w:pgSz w:w="11907" w:h="16840" w:code="9"/>
          <w:pgMar w:top="1701" w:right="851" w:bottom="1134" w:left="1985" w:header="720" w:footer="482" w:gutter="0"/>
          <w:cols w:space="720"/>
          <w:vAlign w:val="both"/>
          <w:docGrid w:linePitch="326"/>
        </w:sectPr>
      </w:pPr>
    </w:p>
    <w:p w14:paraId="200FBBF1" w14:textId="36156E7F" w:rsidR="00D96A92" w:rsidRPr="007C23E7" w:rsidRDefault="00D96A92" w:rsidP="00D96A92">
      <w:pPr>
        <w:rPr>
          <w:sz w:val="16"/>
          <w:szCs w:val="16"/>
          <w:lang w:val="fr-CH"/>
        </w:rPr>
      </w:pPr>
      <w:r w:rsidRPr="00D96A92">
        <w:rPr>
          <w:lang w:val="fr-FR"/>
        </w:rPr>
        <w:lastRenderedPageBreak/>
        <w:t>8</w:t>
      </w:r>
      <w:r w:rsidRPr="00D96A92">
        <w:rPr>
          <w:lang w:val="fr-FR"/>
        </w:rPr>
        <w:tab/>
        <w:t xml:space="preserve">Aux fins de l'examen de conformité avec les limites de puissance, y compris les limites de puissance surfacique et les limites de p.i.r.e., le Comité a noté que les caractéristiques de transmission définies au niveau d'émission d'une assignation de fréquence sont utilisées conjointement avec les caractéristiques de gain d'antenne associées. Les niveaux de puissance émise sont calculés à partir des éléments de données C.8.a.1/C.8.b.1 de l'Appendice </w:t>
      </w:r>
      <w:r w:rsidRPr="00D96A92">
        <w:rPr>
          <w:b/>
          <w:bCs/>
          <w:lang w:val="fr-FR"/>
        </w:rPr>
        <w:t>4</w:t>
      </w:r>
      <w:r w:rsidRPr="00D96A92">
        <w:rPr>
          <w:lang w:val="fr-FR"/>
        </w:rPr>
        <w:t xml:space="preserve"> – Valeur maximale/totale de la puissance en crête et des éléments C.8.a.2/C.8.b.2 – Densité maximale de puissance. Le Comité a décidé que d'autres éléments de l'Appendice </w:t>
      </w:r>
      <w:r w:rsidRPr="00D96A92">
        <w:rPr>
          <w:b/>
          <w:bCs/>
          <w:lang w:val="fr-FR"/>
        </w:rPr>
        <w:t>4</w:t>
      </w:r>
      <w:r w:rsidRPr="00D96A92">
        <w:rPr>
          <w:lang w:val="fr-FR"/>
        </w:rPr>
        <w:t xml:space="preserve"> donnant une valeur de crête moyenne ou maximale de la p.i.r.e., soit sous la forme d'une valeur unique soit une fonction de l'angle d'élévation (éléments de données B.4.b.4.a. B.4.b.4.a</w:t>
      </w:r>
      <w:r w:rsidRPr="00D96A92">
        <w:rPr>
          <w:i/>
          <w:iCs/>
          <w:lang w:val="fr-FR"/>
        </w:rPr>
        <w:t>bis</w:t>
      </w:r>
      <w:r w:rsidRPr="00D96A92">
        <w:rPr>
          <w:lang w:val="fr-FR"/>
        </w:rPr>
        <w:t>, B.4.b.4.a</w:t>
      </w:r>
      <w:r w:rsidRPr="00D96A92">
        <w:rPr>
          <w:i/>
          <w:iCs/>
          <w:lang w:val="fr-FR"/>
        </w:rPr>
        <w:t>ter</w:t>
      </w:r>
      <w:r w:rsidRPr="00D96A92">
        <w:rPr>
          <w:lang w:val="fr-FR"/>
        </w:rPr>
        <w:t>, B.4.b.4.b, B.4.b.4.c, B.4.b.4.c</w:t>
      </w:r>
      <w:r w:rsidRPr="00D96A92">
        <w:rPr>
          <w:i/>
          <w:iCs/>
          <w:lang w:val="fr-FR"/>
        </w:rPr>
        <w:t>bis</w:t>
      </w:r>
      <w:r w:rsidRPr="00D96A92">
        <w:rPr>
          <w:lang w:val="fr-FR"/>
        </w:rPr>
        <w:t>, B.4.b.4.c</w:t>
      </w:r>
      <w:r w:rsidRPr="00D96A92">
        <w:rPr>
          <w:i/>
          <w:iCs/>
          <w:lang w:val="fr-FR"/>
        </w:rPr>
        <w:t>ter</w:t>
      </w:r>
      <w:r w:rsidRPr="00D96A92">
        <w:rPr>
          <w:lang w:val="fr-FR"/>
        </w:rPr>
        <w:t xml:space="preserve"> et B.4.b.4.d de l'Appendice </w:t>
      </w:r>
      <w:r w:rsidRPr="00D96A92">
        <w:rPr>
          <w:b/>
          <w:bCs/>
          <w:lang w:val="fr-FR"/>
        </w:rPr>
        <w:t>4</w:t>
      </w:r>
      <w:r w:rsidRPr="00D96A92">
        <w:rPr>
          <w:lang w:val="fr-FR"/>
        </w:rPr>
        <w:t xml:space="preserve">) ne pouvaient être utilisés pour calculer la puissance émise aux fins de l'examen au titre du numéro </w:t>
      </w:r>
      <w:r w:rsidRPr="00D96A92">
        <w:rPr>
          <w:b/>
          <w:bCs/>
          <w:lang w:val="fr-FR"/>
        </w:rPr>
        <w:t>11.31</w:t>
      </w:r>
      <w:r w:rsidRPr="00D96A92">
        <w:rPr>
          <w:lang w:val="fr-FR"/>
        </w:rPr>
        <w:t>. Toutefois, ces éléments peuvent être utilisés dans le cadre de la coordination bilatérale entre administrations.</w:t>
      </w:r>
    </w:p>
    <w:p w14:paraId="11C10220" w14:textId="4D7EC52B" w:rsidR="00D96A92" w:rsidRPr="00D96A92" w:rsidRDefault="00D96A92" w:rsidP="00D96A92">
      <w:pPr>
        <w:rPr>
          <w:lang w:val="fr-FR"/>
        </w:rPr>
      </w:pPr>
      <w:r w:rsidRPr="00D96A92">
        <w:rPr>
          <w:lang w:val="fr-FR"/>
        </w:rPr>
        <w:t>9</w:t>
      </w:r>
      <w:r w:rsidRPr="00D96A92">
        <w:rPr>
          <w:lang w:val="fr-FR"/>
        </w:rPr>
        <w:tab/>
        <w:t xml:space="preserve">Dans les cas où le réseau à satellite ou le système à satellites contenant des assignations de fréquence à la liaison de service (voir les renseignements soumis au titre de l'élément de données A.1.c de l'Annexe 2 de l'Appendice </w:t>
      </w:r>
      <w:r w:rsidRPr="00D96A92">
        <w:rPr>
          <w:b/>
          <w:bCs/>
          <w:lang w:val="fr-FR"/>
        </w:rPr>
        <w:t>4</w:t>
      </w:r>
      <w:r w:rsidRPr="00D96A92">
        <w:rPr>
          <w:lang w:val="fr-FR"/>
        </w:rPr>
        <w:t>) n'appartient pas à la même administration notificatrice que les assignations de fréquence à la liaison de connexion et où l'administration notificatrice du réseau à satellite ou du système à satellites contenant la liaison de service n'approuve pas cette utilisation, le Comité a décidé que cette dernière en informerait l'administration notificatrice de la liaison de connexion et le Bureau. Après réception de ces renseignements et en l'absence de renseignements contraires, le Bureau réexaminera la conclusion relative aux assignations de fréquence à la liaison de connexion au titre du numéro </w:t>
      </w:r>
      <w:r w:rsidRPr="00D96A92">
        <w:rPr>
          <w:b/>
          <w:bCs/>
          <w:lang w:val="fr-FR"/>
        </w:rPr>
        <w:t>11.31</w:t>
      </w:r>
      <w:r w:rsidRPr="00D96A92">
        <w:rPr>
          <w:lang w:val="fr-FR"/>
        </w:rPr>
        <w:t>.</w:t>
      </w:r>
    </w:p>
    <w:p w14:paraId="7F197BD0" w14:textId="77777777" w:rsidR="00D96A92" w:rsidRPr="007C23E7" w:rsidRDefault="00D96A92" w:rsidP="00D96A92">
      <w:pPr>
        <w:rPr>
          <w:lang w:val="fr-CH"/>
        </w:rPr>
      </w:pPr>
    </w:p>
    <w:p w14:paraId="3AF66B3D" w14:textId="77777777" w:rsidR="00D96A92" w:rsidRPr="007C23E7" w:rsidRDefault="00D96A92" w:rsidP="00D96A92">
      <w:pPr>
        <w:rPr>
          <w:lang w:val="fr-CH"/>
        </w:rPr>
      </w:pPr>
    </w:p>
    <w:p w14:paraId="41515087" w14:textId="77777777" w:rsidR="00D96A92" w:rsidRPr="007C23E7" w:rsidRDefault="00D96A92" w:rsidP="00D96A92">
      <w:pPr>
        <w:rPr>
          <w:lang w:val="fr-CH"/>
        </w:rPr>
      </w:pPr>
    </w:p>
    <w:p w14:paraId="60E49A55" w14:textId="77777777" w:rsidR="00D96A92" w:rsidRPr="007C23E7" w:rsidRDefault="00D96A92" w:rsidP="00D96A92">
      <w:pPr>
        <w:rPr>
          <w:lang w:val="fr-CH"/>
        </w:rPr>
      </w:pPr>
    </w:p>
    <w:p w14:paraId="7FBE62D0" w14:textId="77777777" w:rsidR="00D96A92" w:rsidRPr="007C23E7" w:rsidRDefault="00D96A92" w:rsidP="00D96A92">
      <w:pPr>
        <w:rPr>
          <w:lang w:val="fr-CH"/>
        </w:rPr>
      </w:pPr>
    </w:p>
    <w:p w14:paraId="01082668" w14:textId="77777777" w:rsidR="00D96A92" w:rsidRPr="007C23E7" w:rsidRDefault="00D96A92" w:rsidP="00D96A92">
      <w:pPr>
        <w:rPr>
          <w:lang w:val="fr-CH"/>
        </w:rPr>
      </w:pPr>
    </w:p>
    <w:p w14:paraId="53344155" w14:textId="77777777" w:rsidR="00D96A92" w:rsidRPr="007C23E7" w:rsidRDefault="00D96A92" w:rsidP="00D96A92">
      <w:pPr>
        <w:rPr>
          <w:lang w:val="fr-CH"/>
        </w:rPr>
      </w:pPr>
    </w:p>
    <w:p w14:paraId="279211D8" w14:textId="77777777" w:rsidR="00D96A92" w:rsidRPr="007C23E7" w:rsidRDefault="00D96A92" w:rsidP="00D96A92">
      <w:pPr>
        <w:rPr>
          <w:lang w:val="fr-CH"/>
        </w:rPr>
      </w:pPr>
    </w:p>
    <w:p w14:paraId="4777205B" w14:textId="77777777" w:rsidR="00D96A92" w:rsidRPr="007C23E7" w:rsidRDefault="00D96A92" w:rsidP="00D96A92">
      <w:pPr>
        <w:rPr>
          <w:lang w:val="fr-CH"/>
        </w:rPr>
      </w:pPr>
    </w:p>
    <w:p w14:paraId="50280331" w14:textId="77777777" w:rsidR="00D96A92" w:rsidRPr="007C23E7" w:rsidRDefault="00D96A92" w:rsidP="00D96A92">
      <w:pPr>
        <w:rPr>
          <w:lang w:val="fr-CH"/>
        </w:rPr>
      </w:pPr>
    </w:p>
    <w:p w14:paraId="2AC6A632" w14:textId="77777777" w:rsidR="00D96A92" w:rsidRPr="007C23E7" w:rsidRDefault="00D96A92" w:rsidP="00D96A92">
      <w:pPr>
        <w:rPr>
          <w:lang w:val="fr-CH"/>
        </w:rPr>
      </w:pPr>
    </w:p>
    <w:p w14:paraId="5D0596A8" w14:textId="77777777" w:rsidR="00D96A92" w:rsidRPr="007C23E7" w:rsidRDefault="00D96A92" w:rsidP="00D96A92">
      <w:pPr>
        <w:rPr>
          <w:lang w:val="fr-CH"/>
        </w:rPr>
      </w:pPr>
    </w:p>
    <w:p w14:paraId="1C5CCB36" w14:textId="77777777" w:rsidR="00D96A92" w:rsidRDefault="00D96A92" w:rsidP="00D96A92">
      <w:pPr>
        <w:rPr>
          <w:lang w:val="fr-FR"/>
        </w:rPr>
        <w:sectPr w:rsidR="00D96A92" w:rsidSect="003068AD">
          <w:footnotePr>
            <w:pos w:val="beneathText"/>
          </w:footnotePr>
          <w:pgSz w:w="11907" w:h="16840" w:code="9"/>
          <w:pgMar w:top="1701" w:right="851" w:bottom="1134" w:left="1985" w:header="720" w:footer="482" w:gutter="0"/>
          <w:cols w:space="720"/>
          <w:vAlign w:val="both"/>
          <w:docGrid w:linePitch="326"/>
        </w:sectPr>
      </w:pPr>
    </w:p>
    <w:p w14:paraId="26176396" w14:textId="77777777" w:rsidR="00CB0787" w:rsidRPr="00277E7C" w:rsidRDefault="00CB0787" w:rsidP="000E7C11">
      <w:pPr>
        <w:pStyle w:val="Heading8"/>
        <w:rPr>
          <w:lang w:val="fr-FR"/>
        </w:rPr>
      </w:pPr>
      <w:r w:rsidRPr="00277E7C">
        <w:rPr>
          <w:lang w:val="fr-FR"/>
        </w:rPr>
        <w:lastRenderedPageBreak/>
        <w:t>11.32</w:t>
      </w:r>
    </w:p>
    <w:p w14:paraId="6A5447BB" w14:textId="77777777" w:rsidR="00667361" w:rsidRPr="00277E7C" w:rsidRDefault="00667361" w:rsidP="00667361">
      <w:pPr>
        <w:pStyle w:val="Heading1"/>
        <w:rPr>
          <w:color w:val="000000"/>
          <w:lang w:val="fr-FR"/>
        </w:rPr>
      </w:pPr>
      <w:r w:rsidRPr="00277E7C">
        <w:rPr>
          <w:color w:val="000000"/>
          <w:lang w:val="fr-FR"/>
        </w:rPr>
        <w:t>1</w:t>
      </w:r>
      <w:r w:rsidRPr="00277E7C">
        <w:rPr>
          <w:color w:val="000000"/>
          <w:lang w:val="fr-FR"/>
        </w:rPr>
        <w:tab/>
        <w:t>Examen d'une assignation de fréquence à une station spatiale</w:t>
      </w:r>
    </w:p>
    <w:p w14:paraId="3E50D3C2" w14:textId="7F310C29" w:rsidR="00667361" w:rsidRPr="00277E7C" w:rsidRDefault="00D96A92" w:rsidP="00D96A92">
      <w:pPr>
        <w:spacing w:before="80"/>
        <w:rPr>
          <w:color w:val="000000"/>
          <w:lang w:val="fr-FR"/>
        </w:rPr>
      </w:pPr>
      <w:r>
        <w:rPr>
          <w:color w:val="000000"/>
          <w:lang w:val="fr-FR"/>
        </w:rPr>
        <w:t>1.1</w:t>
      </w:r>
      <w:r>
        <w:rPr>
          <w:color w:val="000000"/>
          <w:lang w:val="fr-FR"/>
        </w:rPr>
        <w:tab/>
      </w:r>
      <w:r w:rsidR="00667361" w:rsidRPr="00277E7C">
        <w:rPr>
          <w:color w:val="000000"/>
          <w:lang w:val="fr-FR"/>
        </w:rPr>
        <w:t xml:space="preserve">Si l'on appliquait cette disposition à la lettre, il faudrait examiner l'assignation notifiée avec toute station identifiée en application du numéro </w:t>
      </w:r>
      <w:r w:rsidR="00667361" w:rsidRPr="00277E7C">
        <w:rPr>
          <w:rStyle w:val="Artref0"/>
          <w:b/>
          <w:color w:val="000000"/>
          <w:lang w:val="fr-FR"/>
        </w:rPr>
        <w:t>9.27</w:t>
      </w:r>
      <w:r w:rsidR="00667361" w:rsidRPr="00277E7C">
        <w:rPr>
          <w:color w:val="000000"/>
          <w:lang w:val="fr-FR"/>
        </w:rPr>
        <w:t>, alors que cet examen, ou une grande partie de cet examen, a été déjà effectué durant l'application de la procédure de coordination. Le Comité a adopté la méthode pratique suivante:</w:t>
      </w:r>
    </w:p>
    <w:p w14:paraId="3DD898DC" w14:textId="2ABE25E7" w:rsidR="0092605C" w:rsidRDefault="00667361" w:rsidP="00D96A92">
      <w:pPr>
        <w:pStyle w:val="enumlev1"/>
        <w:spacing w:before="80"/>
        <w:rPr>
          <w:lang w:val="fr-FR"/>
        </w:rPr>
      </w:pPr>
      <w:r w:rsidRPr="00277E7C">
        <w:rPr>
          <w:i/>
          <w:lang w:val="fr-FR"/>
        </w:rPr>
        <w:t>a)</w:t>
      </w:r>
      <w:r w:rsidRPr="00277E7C">
        <w:rPr>
          <w:lang w:val="fr-FR"/>
        </w:rPr>
        <w:tab/>
        <w:t>Les calculs concernant des réseaux d'une administration dont il est indiqué dans la fiche de notification qu'elle a donné son accord à la coordination relativement aux numéros </w:t>
      </w:r>
      <w:r w:rsidRPr="00277E7C">
        <w:rPr>
          <w:rStyle w:val="Artref0"/>
          <w:b/>
          <w:color w:val="000000"/>
          <w:lang w:val="fr-FR"/>
        </w:rPr>
        <w:t>9.7</w:t>
      </w:r>
      <w:r w:rsidRPr="00277E7C">
        <w:rPr>
          <w:lang w:val="fr-FR"/>
        </w:rPr>
        <w:t xml:space="preserve"> ou </w:t>
      </w:r>
      <w:r w:rsidRPr="00277E7C">
        <w:rPr>
          <w:rStyle w:val="Artref0"/>
          <w:b/>
          <w:color w:val="000000"/>
          <w:lang w:val="fr-FR"/>
        </w:rPr>
        <w:t>9.7B</w:t>
      </w:r>
      <w:r w:rsidRPr="00277E7C">
        <w:rPr>
          <w:lang w:val="fr-FR"/>
        </w:rPr>
        <w:t xml:space="preserve"> ne sont pas effectués, car on suppose que les différences éventuelles entre les caractéristiques notifiées et celles publiées dans la Section spéciale en vertu du numéro </w:t>
      </w:r>
      <w:r w:rsidRPr="00277E7C">
        <w:rPr>
          <w:rStyle w:val="Artref0"/>
          <w:b/>
          <w:color w:val="000000"/>
          <w:lang w:val="fr-FR"/>
        </w:rPr>
        <w:t>9.7</w:t>
      </w:r>
      <w:r w:rsidRPr="00277E7C">
        <w:rPr>
          <w:lang w:val="fr-FR"/>
        </w:rPr>
        <w:t xml:space="preserve"> ou </w:t>
      </w:r>
      <w:r w:rsidRPr="00277E7C">
        <w:rPr>
          <w:rStyle w:val="Artref0"/>
          <w:b/>
          <w:color w:val="000000"/>
          <w:lang w:val="fr-FR"/>
        </w:rPr>
        <w:t>9.7B</w:t>
      </w:r>
      <w:r w:rsidRPr="00277E7C">
        <w:rPr>
          <w:lang w:val="fr-FR"/>
        </w:rPr>
        <w:t xml:space="preserve"> sont coordonnées et acceptées par cette administration.</w:t>
      </w:r>
      <w:r w:rsidR="0092605C">
        <w:rPr>
          <w:lang w:val="fr-FR"/>
        </w:rPr>
        <w:t xml:space="preserve"> </w:t>
      </w:r>
    </w:p>
    <w:p w14:paraId="396D1287" w14:textId="77777777" w:rsidR="00667361" w:rsidRPr="00277E7C" w:rsidRDefault="00667361" w:rsidP="00D96A92">
      <w:pPr>
        <w:pStyle w:val="enumlev1"/>
        <w:spacing w:before="80"/>
        <w:rPr>
          <w:color w:val="000000"/>
          <w:lang w:val="fr-FR"/>
        </w:rPr>
      </w:pPr>
      <w:r w:rsidRPr="00277E7C">
        <w:rPr>
          <w:i/>
          <w:lang w:val="fr-FR"/>
        </w:rPr>
        <w:t>b)</w:t>
      </w:r>
      <w:r w:rsidRPr="00277E7C">
        <w:rPr>
          <w:lang w:val="fr-FR"/>
        </w:rPr>
        <w:tab/>
        <w:t>Si toutes les administrations identifiées dans les Sections spéciales précitées ne sont pas indiquées dans les Colonnes A5/A6 avec une référence au § 6 de l'Appendice </w:t>
      </w:r>
      <w:r w:rsidRPr="00277E7C">
        <w:rPr>
          <w:rStyle w:val="Appref"/>
          <w:b/>
          <w:color w:val="000000"/>
          <w:lang w:val="fr-FR"/>
        </w:rPr>
        <w:t>5</w:t>
      </w:r>
      <w:r w:rsidRPr="00277E7C">
        <w:rPr>
          <w:lang w:val="fr-FR"/>
        </w:rPr>
        <w:t xml:space="preserve"> ou au numéro </w:t>
      </w:r>
      <w:r w:rsidRPr="00277E7C">
        <w:rPr>
          <w:rStyle w:val="Artref0"/>
          <w:b/>
          <w:color w:val="000000"/>
          <w:lang w:val="fr-FR"/>
        </w:rPr>
        <w:t>11.32A</w:t>
      </w:r>
      <w:r w:rsidRPr="00277E7C">
        <w:rPr>
          <w:lang w:val="fr-FR"/>
        </w:rPr>
        <w:t xml:space="preserve">, la fiche de notification sera retournée à l'administration avec une </w:t>
      </w:r>
      <w:r w:rsidRPr="00277E7C">
        <w:rPr>
          <w:color w:val="000000"/>
          <w:lang w:val="fr-FR"/>
        </w:rPr>
        <w:t xml:space="preserve">conclusion défavorable relativement au numéro </w:t>
      </w:r>
      <w:r w:rsidRPr="00277E7C">
        <w:rPr>
          <w:rStyle w:val="Artref0"/>
          <w:b/>
          <w:color w:val="000000"/>
          <w:lang w:val="fr-FR"/>
        </w:rPr>
        <w:t>11.32</w:t>
      </w:r>
      <w:r w:rsidRPr="00277E7C">
        <w:rPr>
          <w:color w:val="000000"/>
          <w:lang w:val="fr-FR"/>
        </w:rPr>
        <w:t xml:space="preserve">. Pour des raisons pratiques, aucun examen ne sera effectué au titre du numéro </w:t>
      </w:r>
      <w:r w:rsidRPr="00277E7C">
        <w:rPr>
          <w:rStyle w:val="Artref0"/>
          <w:b/>
          <w:color w:val="000000"/>
          <w:lang w:val="fr-FR"/>
        </w:rPr>
        <w:t>11.31</w:t>
      </w:r>
      <w:r w:rsidRPr="00277E7C">
        <w:rPr>
          <w:color w:val="000000"/>
          <w:lang w:val="fr-FR"/>
        </w:rPr>
        <w:t xml:space="preserve"> si une conclusion défavorable rela</w:t>
      </w:r>
      <w:r w:rsidRPr="00277E7C">
        <w:rPr>
          <w:color w:val="000000"/>
          <w:lang w:val="fr-FR"/>
        </w:rPr>
        <w:softHyphen/>
        <w:t>tivement au numéro </w:t>
      </w:r>
      <w:r w:rsidRPr="00277E7C">
        <w:rPr>
          <w:rStyle w:val="Artref0"/>
          <w:b/>
          <w:color w:val="000000"/>
          <w:lang w:val="fr-FR"/>
        </w:rPr>
        <w:t>11.32</w:t>
      </w:r>
      <w:r w:rsidRPr="00277E7C">
        <w:rPr>
          <w:color w:val="000000"/>
          <w:lang w:val="fr-FR"/>
        </w:rPr>
        <w:t xml:space="preserve"> est formulée à ce stade.</w:t>
      </w:r>
    </w:p>
    <w:p w14:paraId="286CA062" w14:textId="77777777" w:rsidR="00667361" w:rsidRPr="00277E7C" w:rsidRDefault="00667361" w:rsidP="00D96A92">
      <w:pPr>
        <w:pStyle w:val="enumlev1"/>
        <w:spacing w:before="80"/>
        <w:rPr>
          <w:color w:val="000000"/>
          <w:lang w:val="fr-FR"/>
        </w:rPr>
      </w:pPr>
      <w:r w:rsidRPr="00277E7C">
        <w:rPr>
          <w:color w:val="000000"/>
          <w:lang w:val="fr-FR"/>
        </w:rPr>
        <w:tab/>
        <w:t>(Voir la Lettre circulaire N</w:t>
      </w:r>
      <w:r w:rsidR="000E7C11" w:rsidRPr="00277E7C">
        <w:rPr>
          <w:rFonts w:ascii="Symbol" w:hAnsi="Symbol"/>
          <w:color w:val="000000"/>
          <w:lang w:val="fr-FR"/>
        </w:rPr>
        <w:t></w:t>
      </w:r>
      <w:r w:rsidR="000E7C11" w:rsidRPr="00277E7C">
        <w:rPr>
          <w:color w:val="000000"/>
          <w:lang w:val="fr-FR"/>
        </w:rPr>
        <w:t> </w:t>
      </w:r>
      <w:r w:rsidRPr="00277E7C">
        <w:rPr>
          <w:color w:val="000000"/>
          <w:lang w:val="fr-FR"/>
        </w:rPr>
        <w:t>104 du 10 août 1998 et les Règles de procédure relatives au numéro </w:t>
      </w:r>
      <w:r w:rsidRPr="00277E7C">
        <w:rPr>
          <w:rStyle w:val="Artref0"/>
          <w:b/>
          <w:color w:val="000000"/>
          <w:lang w:val="fr-FR"/>
        </w:rPr>
        <w:t>9.52C</w:t>
      </w:r>
      <w:r w:rsidRPr="00277E7C">
        <w:rPr>
          <w:lang w:val="fr-FR"/>
        </w:rPr>
        <w:t>.)</w:t>
      </w:r>
    </w:p>
    <w:p w14:paraId="6A51932F" w14:textId="77777777" w:rsidR="00667361" w:rsidRPr="00277E7C" w:rsidRDefault="00667361" w:rsidP="00D96A92">
      <w:pPr>
        <w:pStyle w:val="enumlev1"/>
        <w:spacing w:before="80"/>
        <w:rPr>
          <w:color w:val="000000"/>
          <w:lang w:val="fr-FR"/>
        </w:rPr>
      </w:pPr>
      <w:r w:rsidRPr="00277E7C">
        <w:rPr>
          <w:i/>
          <w:color w:val="000000"/>
          <w:lang w:val="fr-FR"/>
        </w:rPr>
        <w:t>c)</w:t>
      </w:r>
      <w:r w:rsidRPr="00277E7C">
        <w:rPr>
          <w:color w:val="000000"/>
          <w:lang w:val="fr-FR"/>
        </w:rPr>
        <w:tab/>
        <w:t>Afin d'identifier d'autres administrations susceptibles d'être affectées, les caractéristiques notifiées sont comparées avec celles publiées dans la Section spéciale mentionnée ci</w:t>
      </w:r>
      <w:r w:rsidRPr="00277E7C">
        <w:rPr>
          <w:color w:val="000000"/>
          <w:lang w:val="fr-FR"/>
        </w:rPr>
        <w:noBreakHyphen/>
        <w:t>dessus et, si elles sont identiques ou correspondent aux caractéristiques publiées dans ces Sections spéciales, le résultat des calculs/examens déjà faits pour ces Sections spéciales est utilisé.</w:t>
      </w:r>
    </w:p>
    <w:p w14:paraId="56886C22" w14:textId="77777777" w:rsidR="00667361" w:rsidRPr="00277E7C" w:rsidRDefault="00667361" w:rsidP="00D96A92">
      <w:pPr>
        <w:pStyle w:val="enumlev1"/>
        <w:spacing w:before="80"/>
        <w:rPr>
          <w:color w:val="000000"/>
          <w:lang w:val="fr-FR"/>
        </w:rPr>
      </w:pPr>
      <w:r w:rsidRPr="00277E7C">
        <w:rPr>
          <w:i/>
          <w:color w:val="000000"/>
          <w:lang w:val="fr-FR"/>
        </w:rPr>
        <w:t>d)</w:t>
      </w:r>
      <w:r w:rsidRPr="00277E7C">
        <w:rPr>
          <w:color w:val="000000"/>
          <w:lang w:val="fr-FR"/>
        </w:rPr>
        <w:tab/>
        <w:t xml:space="preserve">Si les caractéristiques notifiées diffèrent des caractéristiques publiées, des calculs seront effectués sur la base de l'Appendice </w:t>
      </w:r>
      <w:r w:rsidRPr="00277E7C">
        <w:rPr>
          <w:rStyle w:val="Appref"/>
          <w:b/>
          <w:color w:val="000000"/>
          <w:lang w:val="fr-FR"/>
        </w:rPr>
        <w:t>5</w:t>
      </w:r>
      <w:r w:rsidRPr="00277E7C">
        <w:rPr>
          <w:color w:val="000000"/>
          <w:lang w:val="fr-FR"/>
        </w:rPr>
        <w:t xml:space="preserve"> et s'il apparaît que d'autres administrations (mis à part celles énumérées dans les Colonnes A5/A6 des Sections spéciales correspondantes) subissent ou causent, en raison des caractéristiques modifiées, des brouillages supérieurs à ceux subis ou causés précédemment, une conclusion défavorable sera formulée et la fiche de notification sera retournée à l'administration notificatrice. Celle-ci sera invitée à publier une modification de la Section spéciale concernée et à engager une coordination avec les administrations identifiées dans la Section spéciale ainsi modifiée. S'il apparaît qu'aucune autre administration ne subit ou ne cause, en raison des caractéristiques modi</w:t>
      </w:r>
      <w:r w:rsidRPr="00277E7C">
        <w:rPr>
          <w:color w:val="000000"/>
          <w:lang w:val="fr-FR"/>
        </w:rPr>
        <w:softHyphen/>
        <w:t>fiées, des brouillages supérieurs à ceux subis ou causés précédemment, une conclusion favorable sera formulée. Voir également les Règles de procédure relatives au numéro </w:t>
      </w:r>
      <w:r w:rsidRPr="00277E7C">
        <w:rPr>
          <w:rStyle w:val="Artref0"/>
          <w:b/>
          <w:color w:val="000000"/>
          <w:lang w:val="fr-FR"/>
        </w:rPr>
        <w:t>9.27</w:t>
      </w:r>
      <w:r w:rsidRPr="00277E7C">
        <w:rPr>
          <w:color w:val="000000"/>
          <w:lang w:val="fr-FR"/>
        </w:rPr>
        <w:t>.</w:t>
      </w:r>
    </w:p>
    <w:p w14:paraId="45BC15BD" w14:textId="77777777" w:rsidR="00D96A92" w:rsidRDefault="00D96A92" w:rsidP="00D96A92">
      <w:pPr>
        <w:spacing w:before="80"/>
        <w:rPr>
          <w:lang w:val="fr-FR"/>
        </w:rPr>
      </w:pPr>
      <w:r w:rsidRPr="00D96A92">
        <w:rPr>
          <w:lang w:val="fr-FR"/>
        </w:rPr>
        <w:t>1.2</w:t>
      </w:r>
      <w:r w:rsidRPr="00D96A92">
        <w:rPr>
          <w:lang w:val="fr-FR"/>
        </w:rPr>
        <w:tab/>
        <w:t xml:space="preserve">Le Comité a observé que la Conférence mondiale des radiocommunications (Dubaï, 2023) (CMR-23) avait supprimé les éléments de données suivants de l'Annexe 2 de l'Appendice </w:t>
      </w:r>
      <w:r w:rsidRPr="00D96A92">
        <w:rPr>
          <w:b/>
          <w:bCs/>
          <w:lang w:val="fr-FR"/>
        </w:rPr>
        <w:t>4</w:t>
      </w:r>
      <w:r w:rsidRPr="00D96A92">
        <w:rPr>
          <w:lang w:val="fr-FR"/>
        </w:rPr>
        <w:t xml:space="preserve">: A.4.b.4.g – valeur de l'ascension droite du nœud ascendant (RAAN), et A.4.b.4.k/A.4.b.4.l (édition de 2020 du RR) – date et heure auxquelles le satellite se trouve au point défini par la longitude du nœud ascendant. Le Comité a décidé que les renseignements soumis avant le 1er janvier 2025 concernant l'ascension droite du nœud ascendant des plans </w:t>
      </w:r>
      <w:r>
        <w:rPr>
          <w:lang w:val="fr-FR"/>
        </w:rPr>
        <w:br/>
      </w:r>
    </w:p>
    <w:p w14:paraId="24228246" w14:textId="49BDDAE0" w:rsidR="00D96A92" w:rsidRPr="00D96A92" w:rsidRDefault="00D96A92" w:rsidP="00D96A92">
      <w:pPr>
        <w:spacing w:before="80"/>
        <w:rPr>
          <w:lang w:val="fr-FR"/>
        </w:rPr>
      </w:pPr>
      <w:r w:rsidRPr="00D96A92">
        <w:rPr>
          <w:lang w:val="fr-FR"/>
        </w:rPr>
        <w:lastRenderedPageBreak/>
        <w:t>orbitaux pour les systèmes à satellites non géostationnaires (non OSG) relevant de la Section</w:t>
      </w:r>
      <w:r>
        <w:rPr>
          <w:lang w:val="fr-FR"/>
        </w:rPr>
        <w:t> </w:t>
      </w:r>
      <w:r w:rsidRPr="00D96A92">
        <w:rPr>
          <w:lang w:val="fr-FR"/>
        </w:rPr>
        <w:t xml:space="preserve">II de l'Article </w:t>
      </w:r>
      <w:r w:rsidRPr="00D96A92">
        <w:rPr>
          <w:b/>
          <w:bCs/>
          <w:lang w:val="fr-FR"/>
        </w:rPr>
        <w:t>9</w:t>
      </w:r>
      <w:r w:rsidRPr="00D96A92">
        <w:rPr>
          <w:lang w:val="fr-FR"/>
        </w:rPr>
        <w:t xml:space="preserve"> devaient continuer d'être utilisés dans le cadre de la coordination (y compris lors de l'examen d'une modification des assignations de fréquence de systèmes non OSG en application de la Règle de procédure relative au numéro </w:t>
      </w:r>
      <w:r w:rsidRPr="00D96A92">
        <w:rPr>
          <w:b/>
          <w:bCs/>
          <w:lang w:val="fr-FR"/>
        </w:rPr>
        <w:t>9.27</w:t>
      </w:r>
      <w:r w:rsidRPr="00D96A92">
        <w:rPr>
          <w:lang w:val="fr-FR"/>
        </w:rPr>
        <w:t xml:space="preserve">) lorsqu'aucun renseignement n'est disponible sur la longitude du nœud ascendant (voir l'élément de données A.4.b.4.j de l'Annexe 2 de l'Appendice </w:t>
      </w:r>
      <w:r w:rsidRPr="00D96A92">
        <w:rPr>
          <w:b/>
          <w:bCs/>
          <w:lang w:val="fr-FR"/>
        </w:rPr>
        <w:t>4</w:t>
      </w:r>
      <w:r w:rsidRPr="00D96A92">
        <w:rPr>
          <w:lang w:val="fr-FR"/>
        </w:rPr>
        <w:t>) pour le même plan orbital ou lorsque ce plan est différent de la longitude existante du nœud ascendant.</w:t>
      </w:r>
    </w:p>
    <w:p w14:paraId="56BFC696" w14:textId="77777777" w:rsidR="00CC1169" w:rsidRPr="00277E7C" w:rsidRDefault="00CC1169" w:rsidP="00CC1169">
      <w:pPr>
        <w:pStyle w:val="Heading1"/>
        <w:rPr>
          <w:color w:val="000000"/>
          <w:lang w:val="fr-FR"/>
        </w:rPr>
      </w:pPr>
      <w:r w:rsidRPr="00277E7C">
        <w:rPr>
          <w:color w:val="000000"/>
          <w:lang w:val="fr-FR"/>
        </w:rPr>
        <w:t>2</w:t>
      </w:r>
      <w:r w:rsidRPr="00277E7C">
        <w:rPr>
          <w:color w:val="000000"/>
          <w:lang w:val="fr-FR"/>
        </w:rPr>
        <w:tab/>
        <w:t>Examen d'une assignation de fréquence à une station terrienne en application des numéros </w:t>
      </w:r>
      <w:r w:rsidRPr="00277E7C">
        <w:rPr>
          <w:rStyle w:val="Artref0"/>
          <w:color w:val="000000"/>
          <w:lang w:val="fr-FR"/>
        </w:rPr>
        <w:t>9.7</w:t>
      </w:r>
      <w:r w:rsidRPr="00277E7C">
        <w:rPr>
          <w:color w:val="000000"/>
          <w:lang w:val="fr-FR"/>
        </w:rPr>
        <w:t xml:space="preserve">, </w:t>
      </w:r>
      <w:r w:rsidRPr="00277E7C">
        <w:rPr>
          <w:rStyle w:val="Artref0"/>
          <w:color w:val="000000"/>
          <w:lang w:val="fr-FR"/>
        </w:rPr>
        <w:t>9.12</w:t>
      </w:r>
      <w:r w:rsidRPr="00277E7C">
        <w:rPr>
          <w:color w:val="000000"/>
          <w:lang w:val="fr-FR"/>
        </w:rPr>
        <w:t xml:space="preserve">, </w:t>
      </w:r>
      <w:r w:rsidRPr="00277E7C">
        <w:rPr>
          <w:rStyle w:val="Artref0"/>
          <w:color w:val="000000"/>
          <w:lang w:val="fr-FR"/>
        </w:rPr>
        <w:t>9.12A</w:t>
      </w:r>
      <w:r w:rsidRPr="00277E7C">
        <w:rPr>
          <w:color w:val="000000"/>
          <w:lang w:val="fr-FR"/>
        </w:rPr>
        <w:t xml:space="preserve"> et </w:t>
      </w:r>
      <w:r w:rsidRPr="00277E7C">
        <w:rPr>
          <w:rStyle w:val="Artref0"/>
          <w:color w:val="000000"/>
          <w:lang w:val="fr-FR"/>
        </w:rPr>
        <w:t>9.13</w:t>
      </w:r>
    </w:p>
    <w:p w14:paraId="16323E5D" w14:textId="77777777" w:rsidR="00CC1169" w:rsidRPr="00277E7C" w:rsidRDefault="00CC1169" w:rsidP="00CC1169">
      <w:pPr>
        <w:pStyle w:val="enumlev1"/>
        <w:rPr>
          <w:color w:val="000000"/>
          <w:lang w:val="fr-FR"/>
        </w:rPr>
      </w:pPr>
      <w:r w:rsidRPr="00277E7C">
        <w:rPr>
          <w:i/>
          <w:color w:val="000000"/>
          <w:lang w:val="fr-FR"/>
        </w:rPr>
        <w:t>a)</w:t>
      </w:r>
      <w:r w:rsidRPr="00277E7C">
        <w:rPr>
          <w:color w:val="000000"/>
          <w:lang w:val="fr-FR"/>
        </w:rPr>
        <w:tab/>
        <w:t>Cet examen comporte normalement l'application du Tableau 5</w:t>
      </w:r>
      <w:r w:rsidRPr="00277E7C">
        <w:rPr>
          <w:color w:val="000000"/>
          <w:lang w:val="fr-FR"/>
        </w:rPr>
        <w:noBreakHyphen/>
        <w:t>1 de l'Appendice </w:t>
      </w:r>
      <w:r w:rsidRPr="00277E7C">
        <w:rPr>
          <w:rStyle w:val="Appref"/>
          <w:b/>
          <w:color w:val="000000"/>
          <w:lang w:val="fr-FR"/>
        </w:rPr>
        <w:t>5</w:t>
      </w:r>
      <w:r w:rsidRPr="00277E7C">
        <w:rPr>
          <w:color w:val="000000"/>
          <w:lang w:val="fr-FR"/>
        </w:rPr>
        <w:t xml:space="preserve"> en ce qui concerne la coordination entre les ressources du satellite à chaque assignation de fréquence de chaque station terrienne, la comparaison des résultats obtenus avec les valeurs correspondant aux stations terriennes déjà publiées ou notifiées et l'identification des administrations affectées.</w:t>
      </w:r>
    </w:p>
    <w:p w14:paraId="208F2F68" w14:textId="77777777" w:rsidR="0092605C" w:rsidRDefault="00CC1169" w:rsidP="0092605C">
      <w:pPr>
        <w:pStyle w:val="enumlev1"/>
        <w:rPr>
          <w:color w:val="000000"/>
          <w:lang w:val="fr-FR"/>
        </w:rPr>
      </w:pPr>
      <w:r w:rsidRPr="00277E7C">
        <w:rPr>
          <w:i/>
          <w:color w:val="000000"/>
          <w:lang w:val="fr-FR"/>
        </w:rPr>
        <w:t>b)</w:t>
      </w:r>
      <w:r w:rsidRPr="00277E7C">
        <w:rPr>
          <w:color w:val="000000"/>
          <w:lang w:val="fr-FR"/>
        </w:rPr>
        <w:tab/>
        <w:t>Il a été noté que, dans la pratique, lors de la coordination de leurs réseaux à satellite, les administrations tiennent généralement compte des stations terriennes, que leurs caracté</w:t>
      </w:r>
      <w:r w:rsidRPr="00277E7C">
        <w:rPr>
          <w:color w:val="000000"/>
          <w:lang w:val="fr-FR"/>
        </w:rPr>
        <w:softHyphen/>
        <w:t xml:space="preserve">ristiques aient été publiées ou non. La CAMR Orb-88, préoccupée par la complexité des procédures des anciens Articles 11 (maintenant </w:t>
      </w:r>
      <w:r w:rsidRPr="00277E7C">
        <w:rPr>
          <w:rStyle w:val="Artref0"/>
          <w:b/>
          <w:color w:val="000000"/>
          <w:lang w:val="fr-FR"/>
        </w:rPr>
        <w:t>9</w:t>
      </w:r>
      <w:r w:rsidRPr="00277E7C">
        <w:rPr>
          <w:color w:val="000000"/>
          <w:lang w:val="fr-FR"/>
        </w:rPr>
        <w:t xml:space="preserve">) et 13 (maintenant </w:t>
      </w:r>
      <w:r w:rsidRPr="00277E7C">
        <w:rPr>
          <w:rStyle w:val="Artref0"/>
          <w:b/>
          <w:color w:val="000000"/>
          <w:lang w:val="fr-FR"/>
        </w:rPr>
        <w:t>11</w:t>
      </w:r>
      <w:r w:rsidRPr="00277E7C">
        <w:rPr>
          <w:color w:val="000000"/>
          <w:lang w:val="fr-FR"/>
        </w:rPr>
        <w:t>), surtout en ce qui concerne leur application aux stations terriennes, a décidé d'adopter une méthode de coordination des réseaux. Etant donné ce qui précède, le Comité a décidé d'appliquer la procédure simplifiée suivante.</w:t>
      </w:r>
      <w:r w:rsidR="0092605C">
        <w:rPr>
          <w:color w:val="000000"/>
          <w:lang w:val="fr-FR"/>
        </w:rPr>
        <w:t xml:space="preserve"> </w:t>
      </w:r>
    </w:p>
    <w:p w14:paraId="301A7669" w14:textId="77777777" w:rsidR="00CC1169" w:rsidRPr="00277E7C" w:rsidRDefault="00CC1169" w:rsidP="0092605C">
      <w:pPr>
        <w:pStyle w:val="Heading2"/>
        <w:rPr>
          <w:lang w:val="fr-FR"/>
        </w:rPr>
      </w:pPr>
      <w:r w:rsidRPr="00277E7C">
        <w:rPr>
          <w:lang w:val="fr-FR"/>
        </w:rPr>
        <w:t>2.1</w:t>
      </w:r>
      <w:r w:rsidRPr="00277E7C">
        <w:rPr>
          <w:lang w:val="fr-FR"/>
        </w:rPr>
        <w:tab/>
        <w:t>Examen d'une assignation à une station terrienne reçue pour la première fois</w:t>
      </w:r>
    </w:p>
    <w:p w14:paraId="023D5485" w14:textId="77777777" w:rsidR="00CC1169" w:rsidRPr="00277E7C" w:rsidRDefault="00CC1169" w:rsidP="00CC1169">
      <w:pPr>
        <w:rPr>
          <w:color w:val="000000"/>
          <w:lang w:val="fr-FR"/>
        </w:rPr>
      </w:pPr>
      <w:r w:rsidRPr="00277E7C">
        <w:rPr>
          <w:color w:val="000000"/>
          <w:lang w:val="fr-FR"/>
        </w:rPr>
        <w:t xml:space="preserve">On procédera à l'examen d'assignations de fréquence à des stations terriennes en application des numéros </w:t>
      </w:r>
      <w:r w:rsidRPr="00277E7C">
        <w:rPr>
          <w:rStyle w:val="Artref0"/>
          <w:b/>
          <w:color w:val="000000"/>
          <w:lang w:val="fr-FR"/>
        </w:rPr>
        <w:t>9.7</w:t>
      </w:r>
      <w:r w:rsidRPr="00277E7C">
        <w:rPr>
          <w:color w:val="000000"/>
          <w:lang w:val="fr-FR"/>
        </w:rPr>
        <w:t xml:space="preserve">, </w:t>
      </w:r>
      <w:r w:rsidRPr="00277E7C">
        <w:rPr>
          <w:rStyle w:val="Artref0"/>
          <w:b/>
          <w:color w:val="000000"/>
          <w:lang w:val="fr-FR"/>
        </w:rPr>
        <w:t>9.12, 9.12A</w:t>
      </w:r>
      <w:r w:rsidRPr="00277E7C">
        <w:rPr>
          <w:color w:val="000000"/>
          <w:lang w:val="fr-FR"/>
        </w:rPr>
        <w:t xml:space="preserve"> et </w:t>
      </w:r>
      <w:r w:rsidRPr="00277E7C">
        <w:rPr>
          <w:rStyle w:val="Artref0"/>
          <w:b/>
          <w:color w:val="000000"/>
          <w:lang w:val="fr-FR"/>
        </w:rPr>
        <w:t>9.13</w:t>
      </w:r>
      <w:r w:rsidRPr="00277E7C">
        <w:rPr>
          <w:color w:val="000000"/>
          <w:lang w:val="fr-FR"/>
        </w:rPr>
        <w:t xml:space="preserve"> en vérifiant le statut des assignations correspondant à la station spatiale associée (c'est-à-dire le réseau à satellite).</w:t>
      </w:r>
    </w:p>
    <w:p w14:paraId="05E0128A" w14:textId="77777777" w:rsidR="00CC1169" w:rsidRPr="00277E7C" w:rsidRDefault="00CC1169" w:rsidP="00CC1169">
      <w:pPr>
        <w:pStyle w:val="Heading3"/>
        <w:rPr>
          <w:color w:val="000000"/>
          <w:lang w:val="fr-FR"/>
        </w:rPr>
      </w:pPr>
      <w:r w:rsidRPr="00277E7C">
        <w:rPr>
          <w:color w:val="000000"/>
          <w:lang w:val="fr-FR"/>
        </w:rPr>
        <w:t>2.1.1</w:t>
      </w:r>
      <w:r w:rsidRPr="00277E7C">
        <w:rPr>
          <w:color w:val="000000"/>
          <w:lang w:val="fr-FR"/>
        </w:rPr>
        <w:tab/>
        <w:t>Cas où les assignations à la station spatiale sont inscrites dans le Fichier de référence</w:t>
      </w:r>
    </w:p>
    <w:p w14:paraId="0033EFA9" w14:textId="77777777" w:rsidR="00CC1169" w:rsidRPr="00277E7C" w:rsidRDefault="00CC1169" w:rsidP="00CC1169">
      <w:pPr>
        <w:pStyle w:val="enumlev1"/>
        <w:rPr>
          <w:color w:val="000000"/>
          <w:lang w:val="fr-FR"/>
        </w:rPr>
      </w:pPr>
      <w:r w:rsidRPr="00277E7C">
        <w:rPr>
          <w:i/>
          <w:color w:val="000000"/>
          <w:lang w:val="fr-FR"/>
        </w:rPr>
        <w:t>a)</w:t>
      </w:r>
      <w:r w:rsidRPr="00277E7C">
        <w:rPr>
          <w:color w:val="000000"/>
          <w:lang w:val="fr-FR"/>
        </w:rPr>
        <w:tab/>
        <w:t>Dans le cas d'une station spatiale inscrite avec une conclusion favorable relativement au numéro </w:t>
      </w:r>
      <w:r w:rsidRPr="00277E7C">
        <w:rPr>
          <w:rStyle w:val="Artref0"/>
          <w:b/>
          <w:color w:val="000000"/>
          <w:lang w:val="fr-FR"/>
        </w:rPr>
        <w:t>11.32</w:t>
      </w:r>
      <w:r w:rsidRPr="00277E7C">
        <w:rPr>
          <w:color w:val="000000"/>
          <w:lang w:val="fr-FR"/>
        </w:rPr>
        <w:t xml:space="preserve"> (ayant fait l'objet d'une coordination réussie ou ne nécessitant pas de coordination), l'assignation à la station terrienne associée est censée avoir été coordonnée et recevra une conclusion favorable relativement au numéro </w:t>
      </w:r>
      <w:r w:rsidRPr="00277E7C">
        <w:rPr>
          <w:rStyle w:val="Artref0"/>
          <w:b/>
          <w:color w:val="000000"/>
          <w:lang w:val="fr-FR"/>
        </w:rPr>
        <w:t>11.32</w:t>
      </w:r>
      <w:r w:rsidRPr="00277E7C">
        <w:rPr>
          <w:color w:val="000000"/>
          <w:lang w:val="fr-FR"/>
        </w:rPr>
        <w:t>, assortie de l'indi</w:t>
      </w:r>
      <w:r w:rsidRPr="00277E7C">
        <w:rPr>
          <w:color w:val="000000"/>
          <w:lang w:val="fr-FR"/>
        </w:rPr>
        <w:softHyphen/>
        <w:t>cation suivante dans la Colonne A5/A6 de la Partie II</w:t>
      </w:r>
      <w:r w:rsidRPr="00277E7C">
        <w:rPr>
          <w:color w:val="000000"/>
          <w:lang w:val="fr-FR"/>
        </w:rPr>
        <w:noBreakHyphen/>
        <w:t>S de la Circulaire BR IFIC:</w:t>
      </w:r>
    </w:p>
    <w:p w14:paraId="637DE15A" w14:textId="77777777" w:rsidR="00CC1169" w:rsidRPr="00277E7C" w:rsidRDefault="00CC1169" w:rsidP="000E7C11">
      <w:pPr>
        <w:pStyle w:val="enumlev2"/>
        <w:rPr>
          <w:color w:val="000000"/>
          <w:lang w:val="fr-FR"/>
        </w:rPr>
      </w:pPr>
      <w:r w:rsidRPr="00277E7C">
        <w:rPr>
          <w:color w:val="000000"/>
          <w:lang w:val="fr-FR"/>
        </w:rPr>
        <w:t>–</w:t>
      </w:r>
      <w:r w:rsidRPr="00277E7C">
        <w:rPr>
          <w:color w:val="000000"/>
          <w:lang w:val="fr-FR"/>
        </w:rPr>
        <w:tab/>
        <w:t>Z/</w:t>
      </w:r>
      <w:r w:rsidRPr="00277E7C">
        <w:rPr>
          <w:rStyle w:val="Artref0"/>
          <w:b/>
          <w:color w:val="000000"/>
          <w:lang w:val="fr-FR"/>
        </w:rPr>
        <w:t>9.7</w:t>
      </w:r>
      <w:r w:rsidRPr="00277E7C">
        <w:rPr>
          <w:color w:val="000000"/>
          <w:lang w:val="fr-FR"/>
        </w:rPr>
        <w:t xml:space="preserve">, </w:t>
      </w:r>
      <w:r w:rsidRPr="00277E7C">
        <w:rPr>
          <w:rStyle w:val="Artref0"/>
          <w:b/>
          <w:color w:val="000000"/>
          <w:lang w:val="fr-FR"/>
        </w:rPr>
        <w:t>9.12, 9.12A</w:t>
      </w:r>
      <w:r w:rsidRPr="00277E7C">
        <w:rPr>
          <w:color w:val="000000"/>
          <w:lang w:val="fr-FR"/>
        </w:rPr>
        <w:t xml:space="preserve"> et </w:t>
      </w:r>
      <w:r w:rsidRPr="00277E7C">
        <w:rPr>
          <w:rStyle w:val="Artref0"/>
          <w:b/>
          <w:color w:val="000000"/>
          <w:lang w:val="fr-FR"/>
        </w:rPr>
        <w:t>9.13</w:t>
      </w:r>
      <w:r w:rsidRPr="00277E7C">
        <w:rPr>
          <w:color w:val="000000"/>
          <w:lang w:val="fr-FR"/>
        </w:rPr>
        <w:t xml:space="preserve">, selon le cas/--- (voir la Préface), suivis du nom des administrations figurant dans la Colonne A5/A6 sous le symbole </w:t>
      </w:r>
      <w:r w:rsidRPr="00277E7C">
        <w:rPr>
          <w:rStyle w:val="Artref0"/>
          <w:b/>
          <w:color w:val="000000"/>
          <w:lang w:val="fr-FR"/>
        </w:rPr>
        <w:t>9.7</w:t>
      </w:r>
      <w:r w:rsidRPr="00277E7C">
        <w:rPr>
          <w:color w:val="000000"/>
          <w:lang w:val="fr-FR"/>
        </w:rPr>
        <w:t xml:space="preserve">, </w:t>
      </w:r>
      <w:r w:rsidRPr="00277E7C">
        <w:rPr>
          <w:rStyle w:val="Artref0"/>
          <w:b/>
          <w:color w:val="000000"/>
          <w:lang w:val="fr-FR"/>
        </w:rPr>
        <w:t>9.12, 9.12A</w:t>
      </w:r>
      <w:r w:rsidRPr="00277E7C">
        <w:rPr>
          <w:color w:val="000000"/>
          <w:lang w:val="fr-FR"/>
        </w:rPr>
        <w:t xml:space="preserve"> et </w:t>
      </w:r>
      <w:r w:rsidRPr="00277E7C">
        <w:rPr>
          <w:rStyle w:val="Artref0"/>
          <w:b/>
          <w:color w:val="000000"/>
          <w:lang w:val="fr-FR"/>
        </w:rPr>
        <w:t>9.13</w:t>
      </w:r>
      <w:r w:rsidRPr="00277E7C">
        <w:rPr>
          <w:color w:val="000000"/>
          <w:lang w:val="fr-FR"/>
        </w:rPr>
        <w:t>, selon le cas/--- de la station spatiale associée (si aucune administration n'est indiquée en raison de l'application du § 6 de l'Appendice</w:t>
      </w:r>
      <w:r w:rsidR="000E7C11" w:rsidRPr="00277E7C">
        <w:rPr>
          <w:color w:val="000000"/>
          <w:lang w:val="fr-FR"/>
        </w:rPr>
        <w:t> </w:t>
      </w:r>
      <w:r w:rsidRPr="00277E7C">
        <w:rPr>
          <w:rStyle w:val="Appref"/>
          <w:b/>
          <w:color w:val="000000"/>
          <w:lang w:val="fr-FR"/>
        </w:rPr>
        <w:t>5</w:t>
      </w:r>
      <w:r w:rsidRPr="00277E7C">
        <w:rPr>
          <w:color w:val="000000"/>
          <w:lang w:val="fr-FR"/>
        </w:rPr>
        <w:t>, on ne fournira que l'indication Z/</w:t>
      </w:r>
      <w:r w:rsidRPr="00277E7C">
        <w:rPr>
          <w:rStyle w:val="Artref0"/>
          <w:b/>
          <w:color w:val="000000"/>
          <w:lang w:val="fr-FR"/>
        </w:rPr>
        <w:t>9.7</w:t>
      </w:r>
      <w:r w:rsidRPr="00277E7C">
        <w:rPr>
          <w:color w:val="000000"/>
          <w:lang w:val="fr-FR"/>
        </w:rPr>
        <w:t xml:space="preserve">, </w:t>
      </w:r>
      <w:r w:rsidRPr="00277E7C">
        <w:rPr>
          <w:rStyle w:val="Artref0"/>
          <w:b/>
          <w:color w:val="000000"/>
          <w:lang w:val="fr-FR"/>
        </w:rPr>
        <w:t>9.12, 9.12A</w:t>
      </w:r>
      <w:r w:rsidRPr="00277E7C">
        <w:rPr>
          <w:color w:val="000000"/>
          <w:lang w:val="fr-FR"/>
        </w:rPr>
        <w:t xml:space="preserve"> et </w:t>
      </w:r>
      <w:r w:rsidRPr="00277E7C">
        <w:rPr>
          <w:rStyle w:val="Artref0"/>
          <w:b/>
          <w:color w:val="000000"/>
          <w:lang w:val="fr-FR"/>
        </w:rPr>
        <w:t>9.13</w:t>
      </w:r>
      <w:r w:rsidRPr="00277E7C">
        <w:rPr>
          <w:color w:val="000000"/>
          <w:lang w:val="fr-FR"/>
        </w:rPr>
        <w:t>, selon le cas; et</w:t>
      </w:r>
    </w:p>
    <w:p w14:paraId="6F3B28C4" w14:textId="77777777" w:rsidR="00CC1169" w:rsidRDefault="00CC1169" w:rsidP="00CC1169">
      <w:pPr>
        <w:pStyle w:val="enumlev2"/>
        <w:rPr>
          <w:color w:val="000000"/>
          <w:lang w:val="fr-FR"/>
        </w:rPr>
      </w:pPr>
      <w:r w:rsidRPr="00277E7C">
        <w:rPr>
          <w:color w:val="000000"/>
          <w:lang w:val="fr-FR"/>
        </w:rPr>
        <w:t>–</w:t>
      </w:r>
      <w:r w:rsidRPr="00277E7C">
        <w:rPr>
          <w:color w:val="000000"/>
          <w:lang w:val="fr-FR"/>
        </w:rPr>
        <w:tab/>
      </w:r>
      <w:r w:rsidRPr="00277E7C">
        <w:rPr>
          <w:rStyle w:val="Artref0"/>
          <w:b/>
          <w:color w:val="000000"/>
          <w:lang w:val="fr-FR"/>
        </w:rPr>
        <w:t>9.7</w:t>
      </w:r>
      <w:r w:rsidRPr="00277E7C">
        <w:rPr>
          <w:color w:val="000000"/>
          <w:lang w:val="fr-FR"/>
        </w:rPr>
        <w:t xml:space="preserve">, </w:t>
      </w:r>
      <w:r w:rsidRPr="00277E7C">
        <w:rPr>
          <w:rStyle w:val="Artref0"/>
          <w:b/>
          <w:color w:val="000000"/>
          <w:lang w:val="fr-FR"/>
        </w:rPr>
        <w:t>9.12, 9.12A</w:t>
      </w:r>
      <w:r w:rsidRPr="00277E7C">
        <w:rPr>
          <w:color w:val="000000"/>
          <w:lang w:val="fr-FR"/>
        </w:rPr>
        <w:t xml:space="preserve"> et </w:t>
      </w:r>
      <w:r w:rsidRPr="00277E7C">
        <w:rPr>
          <w:rStyle w:val="Artref0"/>
          <w:b/>
          <w:color w:val="000000"/>
          <w:lang w:val="fr-FR"/>
        </w:rPr>
        <w:t>9.13</w:t>
      </w:r>
      <w:r w:rsidRPr="00277E7C">
        <w:rPr>
          <w:color w:val="000000"/>
          <w:lang w:val="fr-FR"/>
        </w:rPr>
        <w:t>, selon le cas/---, suivis du nom des administrations indiquées dans la fiche de notification de la station terrienne, s'il y a lieu.</w:t>
      </w:r>
    </w:p>
    <w:p w14:paraId="478CAF3D" w14:textId="77777777" w:rsidR="00D96A92" w:rsidRPr="00277E7C" w:rsidRDefault="00D96A92" w:rsidP="00CC1169">
      <w:pPr>
        <w:pStyle w:val="enumlev2"/>
        <w:rPr>
          <w:color w:val="000000"/>
          <w:lang w:val="fr-FR"/>
        </w:rPr>
      </w:pPr>
    </w:p>
    <w:p w14:paraId="6180FF4A" w14:textId="77777777" w:rsidR="00D96A92" w:rsidRDefault="00D96A92">
      <w:pPr>
        <w:tabs>
          <w:tab w:val="clear" w:pos="1134"/>
          <w:tab w:val="clear" w:pos="1871"/>
          <w:tab w:val="clear" w:pos="2268"/>
        </w:tabs>
        <w:overflowPunct/>
        <w:autoSpaceDE/>
        <w:autoSpaceDN/>
        <w:adjustRightInd/>
        <w:spacing w:before="0"/>
        <w:jc w:val="left"/>
        <w:textAlignment w:val="auto"/>
        <w:rPr>
          <w:i/>
          <w:color w:val="000000"/>
          <w:lang w:val="fr-FR"/>
        </w:rPr>
        <w:sectPr w:rsidR="00D96A92" w:rsidSect="00D96A92">
          <w:footnotePr>
            <w:pos w:val="beneathText"/>
          </w:footnotePr>
          <w:pgSz w:w="11907" w:h="16840" w:code="9"/>
          <w:pgMar w:top="1701" w:right="851" w:bottom="1134" w:left="1985" w:header="720" w:footer="482" w:gutter="0"/>
          <w:cols w:space="720"/>
          <w:vAlign w:val="both"/>
          <w:docGrid w:linePitch="326"/>
        </w:sectPr>
      </w:pPr>
    </w:p>
    <w:p w14:paraId="1C33C25D" w14:textId="77777777" w:rsidR="00CC1169" w:rsidRPr="00277E7C" w:rsidRDefault="00CC1169" w:rsidP="000E7C11">
      <w:pPr>
        <w:pStyle w:val="enumlev1"/>
        <w:rPr>
          <w:color w:val="000000"/>
          <w:lang w:val="fr-FR"/>
        </w:rPr>
      </w:pPr>
      <w:r w:rsidRPr="00277E7C">
        <w:rPr>
          <w:i/>
          <w:color w:val="000000"/>
          <w:lang w:val="fr-FR"/>
        </w:rPr>
        <w:lastRenderedPageBreak/>
        <w:t>b)</w:t>
      </w:r>
      <w:r w:rsidRPr="00277E7C">
        <w:rPr>
          <w:color w:val="000000"/>
          <w:lang w:val="fr-FR"/>
        </w:rPr>
        <w:tab/>
        <w:t>Si, à la suite de la publication de cette assignation à une station terrienne dans la Partie II de la Circulaire BR IFIC, une administration s'oppose à l'action du Bureau décrite au</w:t>
      </w:r>
      <w:r w:rsidR="000E7C11" w:rsidRPr="00277E7C">
        <w:rPr>
          <w:color w:val="000000"/>
          <w:lang w:val="fr-FR"/>
        </w:rPr>
        <w:t> </w:t>
      </w:r>
      <w:r w:rsidRPr="00277E7C">
        <w:rPr>
          <w:i/>
          <w:color w:val="000000"/>
          <w:lang w:val="fr-FR"/>
        </w:rPr>
        <w:t>a)</w:t>
      </w:r>
      <w:r w:rsidRPr="00277E7C">
        <w:rPr>
          <w:color w:val="000000"/>
          <w:lang w:val="fr-FR"/>
        </w:rPr>
        <w:t xml:space="preserve"> ci-dessus, celui-ci examine l'assignation à la station terrienne déjà inscrite relativement aux numéros </w:t>
      </w:r>
      <w:r w:rsidRPr="00277E7C">
        <w:rPr>
          <w:rStyle w:val="Artref0"/>
          <w:b/>
          <w:color w:val="000000"/>
          <w:lang w:val="fr-FR"/>
        </w:rPr>
        <w:t>9.7</w:t>
      </w:r>
      <w:r w:rsidRPr="00277E7C">
        <w:rPr>
          <w:color w:val="000000"/>
          <w:lang w:val="fr-FR"/>
        </w:rPr>
        <w:t xml:space="preserve">, </w:t>
      </w:r>
      <w:r w:rsidRPr="00277E7C">
        <w:rPr>
          <w:rStyle w:val="Artref0"/>
          <w:b/>
          <w:color w:val="000000"/>
          <w:lang w:val="fr-FR"/>
        </w:rPr>
        <w:t>9.12, 9.12A</w:t>
      </w:r>
      <w:r w:rsidRPr="00277E7C">
        <w:rPr>
          <w:color w:val="000000"/>
          <w:lang w:val="fr-FR"/>
        </w:rPr>
        <w:t xml:space="preserve"> et </w:t>
      </w:r>
      <w:r w:rsidRPr="00277E7C">
        <w:rPr>
          <w:rStyle w:val="Artref0"/>
          <w:b/>
          <w:color w:val="000000"/>
          <w:lang w:val="fr-FR"/>
        </w:rPr>
        <w:t>9.13</w:t>
      </w:r>
      <w:r w:rsidRPr="00277E7C">
        <w:rPr>
          <w:color w:val="000000"/>
          <w:lang w:val="fr-FR"/>
        </w:rPr>
        <w:t xml:space="preserve"> en appliquant la méthode et les critères prescrits dans l'Appendice </w:t>
      </w:r>
      <w:r w:rsidRPr="00277E7C">
        <w:rPr>
          <w:rStyle w:val="Appref"/>
          <w:b/>
          <w:color w:val="000000"/>
          <w:lang w:val="fr-FR"/>
        </w:rPr>
        <w:t>5</w:t>
      </w:r>
      <w:r w:rsidRPr="00277E7C">
        <w:rPr>
          <w:color w:val="000000"/>
          <w:lang w:val="fr-FR"/>
        </w:rPr>
        <w:t>. A l'issue de cet examen, le Bureau révisera ou maintiendra la conclusion qu'il avait initialement formulée au sujet de l'assignation en question et, dans un cas comme dans l'autre, communiquera ses conclusions à l'administration qui s'était opposée à l'inscription.</w:t>
      </w:r>
    </w:p>
    <w:p w14:paraId="08B424FB" w14:textId="77777777" w:rsidR="00CC1169" w:rsidRPr="00277E7C" w:rsidRDefault="00CC1169" w:rsidP="000E7C11">
      <w:pPr>
        <w:pStyle w:val="enumlev1"/>
        <w:rPr>
          <w:lang w:val="fr-FR"/>
        </w:rPr>
      </w:pPr>
      <w:r w:rsidRPr="00277E7C">
        <w:rPr>
          <w:i/>
          <w:lang w:val="fr-FR"/>
        </w:rPr>
        <w:t>c)</w:t>
      </w:r>
      <w:r w:rsidRPr="00277E7C">
        <w:rPr>
          <w:lang w:val="fr-FR"/>
        </w:rPr>
        <w:tab/>
        <w:t xml:space="preserve">La méthode décrite aux </w:t>
      </w:r>
      <w:r w:rsidRPr="00277E7C">
        <w:rPr>
          <w:i/>
          <w:lang w:val="fr-FR"/>
        </w:rPr>
        <w:t>a)</w:t>
      </w:r>
      <w:r w:rsidRPr="00277E7C">
        <w:rPr>
          <w:lang w:val="fr-FR"/>
        </w:rPr>
        <w:t xml:space="preserve"> et </w:t>
      </w:r>
      <w:r w:rsidRPr="00277E7C">
        <w:rPr>
          <w:i/>
          <w:lang w:val="fr-FR"/>
        </w:rPr>
        <w:t>b)</w:t>
      </w:r>
      <w:r w:rsidRPr="00277E7C">
        <w:rPr>
          <w:lang w:val="fr-FR"/>
        </w:rPr>
        <w:t xml:space="preserve"> ci-dessus a été étendue au cas d'une station spatiale inscrite avec une conclusion favorable relativement au numéro </w:t>
      </w:r>
      <w:r w:rsidRPr="00277E7C">
        <w:rPr>
          <w:rStyle w:val="Artref0"/>
          <w:b/>
          <w:color w:val="000000"/>
          <w:lang w:val="fr-FR"/>
        </w:rPr>
        <w:t>11.32A</w:t>
      </w:r>
      <w:r w:rsidRPr="00277E7C">
        <w:rPr>
          <w:lang w:val="fr-FR"/>
        </w:rPr>
        <w:t xml:space="preserve"> (examen du point de vue de la probabilité d'un brouillage préjudiciable). L'assignation de la station terrienne associée recevra une conclusion favorable relativement au numéro </w:t>
      </w:r>
      <w:r w:rsidRPr="00277E7C">
        <w:rPr>
          <w:rStyle w:val="Artref0"/>
          <w:b/>
          <w:color w:val="000000"/>
          <w:lang w:val="fr-FR"/>
        </w:rPr>
        <w:t>11.32</w:t>
      </w:r>
      <w:r w:rsidRPr="00277E7C">
        <w:rPr>
          <w:lang w:val="fr-FR"/>
        </w:rPr>
        <w:t xml:space="preserve"> en application des numéros </w:t>
      </w:r>
      <w:r w:rsidRPr="00277E7C">
        <w:rPr>
          <w:rStyle w:val="Artref0"/>
          <w:b/>
          <w:color w:val="000000"/>
          <w:lang w:val="fr-FR"/>
        </w:rPr>
        <w:t>9.7</w:t>
      </w:r>
      <w:r w:rsidRPr="00277E7C">
        <w:rPr>
          <w:lang w:val="fr-FR"/>
        </w:rPr>
        <w:t xml:space="preserve">, </w:t>
      </w:r>
      <w:r w:rsidRPr="00277E7C">
        <w:rPr>
          <w:rStyle w:val="Artref0"/>
          <w:b/>
          <w:color w:val="000000"/>
          <w:lang w:val="fr-FR"/>
        </w:rPr>
        <w:t>9.12, 9.12A</w:t>
      </w:r>
      <w:r w:rsidRPr="00277E7C">
        <w:rPr>
          <w:lang w:val="fr-FR"/>
        </w:rPr>
        <w:t xml:space="preserve"> et </w:t>
      </w:r>
      <w:r w:rsidRPr="00277E7C">
        <w:rPr>
          <w:rStyle w:val="Artref0"/>
          <w:b/>
          <w:color w:val="000000"/>
          <w:lang w:val="fr-FR"/>
        </w:rPr>
        <w:t>9.13</w:t>
      </w:r>
      <w:r w:rsidRPr="00277E7C">
        <w:rPr>
          <w:lang w:val="fr-FR"/>
        </w:rPr>
        <w:t>, assortie des indications appropriées, dans la Colonne</w:t>
      </w:r>
      <w:r w:rsidR="000E7C11" w:rsidRPr="00277E7C">
        <w:rPr>
          <w:lang w:val="fr-FR"/>
        </w:rPr>
        <w:t> </w:t>
      </w:r>
      <w:r w:rsidRPr="00277E7C">
        <w:rPr>
          <w:lang w:val="fr-FR"/>
        </w:rPr>
        <w:t>A5/A6 (voir le</w:t>
      </w:r>
      <w:r w:rsidR="000E7C11" w:rsidRPr="00277E7C">
        <w:rPr>
          <w:lang w:val="fr-FR"/>
        </w:rPr>
        <w:t> </w:t>
      </w:r>
      <w:r w:rsidRPr="00277E7C">
        <w:rPr>
          <w:i/>
          <w:lang w:val="fr-FR"/>
        </w:rPr>
        <w:t>a)</w:t>
      </w:r>
      <w:r w:rsidRPr="00277E7C">
        <w:rPr>
          <w:lang w:val="fr-FR"/>
        </w:rPr>
        <w:t xml:space="preserve"> ci-dessus).</w:t>
      </w:r>
    </w:p>
    <w:p w14:paraId="01FB77B2" w14:textId="77777777" w:rsidR="00CC1169" w:rsidRDefault="00CC1169" w:rsidP="000E7C11">
      <w:pPr>
        <w:pStyle w:val="enumlev1"/>
        <w:rPr>
          <w:rFonts w:ascii="TimesNewRoman" w:eastAsia="SimSun" w:hAnsi="TimesNewRoman" w:cs="TimesNewRoman" w:hint="eastAsia"/>
          <w:szCs w:val="24"/>
          <w:lang w:val="fr-FR" w:eastAsia="zh-CN"/>
        </w:rPr>
      </w:pPr>
      <w:r w:rsidRPr="00277E7C">
        <w:rPr>
          <w:rFonts w:ascii="TimesNewRoman" w:eastAsia="SimSun" w:hAnsi="TimesNewRoman" w:cs="TimesNewRoman"/>
          <w:i/>
          <w:iCs/>
          <w:szCs w:val="24"/>
          <w:lang w:val="fr-FR" w:eastAsia="zh-CN"/>
        </w:rPr>
        <w:t>d)</w:t>
      </w:r>
      <w:r w:rsidRPr="00277E7C">
        <w:rPr>
          <w:rFonts w:ascii="TimesNewRoman" w:eastAsia="SimSun" w:hAnsi="TimesNewRoman" w:cs="TimesNewRoman"/>
          <w:i/>
          <w:iCs/>
          <w:szCs w:val="24"/>
          <w:lang w:val="fr-FR" w:eastAsia="zh-CN"/>
        </w:rPr>
        <w:tab/>
      </w:r>
      <w:r w:rsidRPr="00277E7C">
        <w:rPr>
          <w:rFonts w:ascii="TimesNewRoman" w:eastAsia="SimSun" w:hAnsi="TimesNewRoman" w:cs="TimesNewRoman"/>
          <w:szCs w:val="24"/>
          <w:lang w:val="fr-FR" w:eastAsia="zh-CN"/>
        </w:rPr>
        <w:t xml:space="preserve">La méthode décrite aux </w:t>
      </w:r>
      <w:r w:rsidRPr="00277E7C">
        <w:rPr>
          <w:rFonts w:ascii="TimesNewRoman" w:eastAsia="SimSun" w:hAnsi="TimesNewRoman" w:cs="TimesNewRoman"/>
          <w:i/>
          <w:iCs/>
          <w:szCs w:val="24"/>
          <w:lang w:val="fr-FR" w:eastAsia="zh-CN"/>
        </w:rPr>
        <w:t xml:space="preserve">a) </w:t>
      </w:r>
      <w:r w:rsidRPr="00277E7C">
        <w:rPr>
          <w:rFonts w:ascii="TimesNewRoman" w:eastAsia="SimSun" w:hAnsi="TimesNewRoman" w:cs="TimesNewRoman"/>
          <w:szCs w:val="24"/>
          <w:lang w:val="fr-FR" w:eastAsia="zh-CN"/>
        </w:rPr>
        <w:t xml:space="preserve">et </w:t>
      </w:r>
      <w:r w:rsidRPr="00277E7C">
        <w:rPr>
          <w:rFonts w:ascii="TimesNewRoman" w:eastAsia="SimSun" w:hAnsi="TimesNewRoman" w:cs="TimesNewRoman"/>
          <w:i/>
          <w:iCs/>
          <w:szCs w:val="24"/>
          <w:lang w:val="fr-FR" w:eastAsia="zh-CN"/>
        </w:rPr>
        <w:t>b)</w:t>
      </w:r>
      <w:r w:rsidRPr="00277E7C">
        <w:rPr>
          <w:rFonts w:ascii="TimesNewRoman" w:eastAsia="SimSun" w:hAnsi="TimesNewRoman" w:cs="TimesNewRoman"/>
          <w:szCs w:val="24"/>
          <w:lang w:val="fr-FR" w:eastAsia="zh-CN"/>
        </w:rPr>
        <w:t xml:space="preserve"> ci</w:t>
      </w:r>
      <w:r w:rsidRPr="00277E7C">
        <w:rPr>
          <w:rFonts w:ascii="TimesNewRoman" w:eastAsia="SimSun" w:hAnsi="TimesNewRoman" w:cs="TimesNewRoman"/>
          <w:szCs w:val="24"/>
          <w:lang w:val="fr-FR" w:eastAsia="zh-CN"/>
        </w:rPr>
        <w:noBreakHyphen/>
        <w:t xml:space="preserve">dessus a également été appliquée au cas d'une station spatiale inscrite au titre du numéro </w:t>
      </w:r>
      <w:r w:rsidRPr="00277E7C">
        <w:rPr>
          <w:rFonts w:ascii="TimesNewRoman" w:eastAsia="SimSun" w:hAnsi="TimesNewRoman" w:cs="TimesNewRoman"/>
          <w:b/>
          <w:bCs/>
          <w:szCs w:val="24"/>
          <w:lang w:val="fr-FR" w:eastAsia="zh-CN"/>
        </w:rPr>
        <w:t>11.41</w:t>
      </w:r>
      <w:r w:rsidRPr="00277E7C">
        <w:rPr>
          <w:rFonts w:ascii="TimesNewRoman" w:eastAsia="SimSun" w:hAnsi="TimesNewRoman" w:cs="TimesNewRoman"/>
          <w:szCs w:val="24"/>
          <w:lang w:val="fr-FR" w:eastAsia="zh-CN"/>
        </w:rPr>
        <w:t xml:space="preserve"> (conclusion défavorable relativement au numéro </w:t>
      </w:r>
      <w:r w:rsidRPr="00277E7C">
        <w:rPr>
          <w:rFonts w:ascii="TimesNewRoman" w:eastAsia="SimSun" w:hAnsi="TimesNewRoman" w:cs="TimesNewRoman"/>
          <w:b/>
          <w:bCs/>
          <w:szCs w:val="24"/>
          <w:lang w:val="fr-FR" w:eastAsia="zh-CN"/>
        </w:rPr>
        <w:t>11.32A</w:t>
      </w:r>
      <w:r w:rsidRPr="00277E7C">
        <w:rPr>
          <w:rFonts w:ascii="TimesNewRoman" w:eastAsia="SimSun" w:hAnsi="TimesNewRoman" w:cs="TimesNewRoman"/>
          <w:szCs w:val="24"/>
          <w:lang w:val="fr-FR" w:eastAsia="zh-CN"/>
        </w:rPr>
        <w:t>). L'assignation de la station terrienne fera l'objet d'une conclusion favo</w:t>
      </w:r>
      <w:r w:rsidR="000E7C11" w:rsidRPr="00277E7C">
        <w:rPr>
          <w:rFonts w:ascii="TimesNewRoman" w:eastAsia="SimSun" w:hAnsi="TimesNewRoman" w:cs="TimesNewRoman"/>
          <w:szCs w:val="24"/>
          <w:lang w:val="fr-FR" w:eastAsia="zh-CN"/>
        </w:rPr>
        <w:softHyphen/>
      </w:r>
      <w:r w:rsidRPr="00277E7C">
        <w:rPr>
          <w:rFonts w:ascii="TimesNewRoman" w:eastAsia="SimSun" w:hAnsi="TimesNewRoman" w:cs="TimesNewRoman"/>
          <w:szCs w:val="24"/>
          <w:lang w:val="fr-FR" w:eastAsia="zh-CN"/>
        </w:rPr>
        <w:t xml:space="preserve">rable relativement au numéro </w:t>
      </w:r>
      <w:r w:rsidRPr="00277E7C">
        <w:rPr>
          <w:rFonts w:ascii="TimesNewRoman" w:eastAsia="SimSun" w:hAnsi="TimesNewRoman" w:cs="TimesNewRoman"/>
          <w:b/>
          <w:bCs/>
          <w:szCs w:val="24"/>
          <w:lang w:val="fr-FR" w:eastAsia="zh-CN"/>
        </w:rPr>
        <w:t>11.32</w:t>
      </w:r>
      <w:r w:rsidRPr="00277E7C">
        <w:rPr>
          <w:rFonts w:ascii="TimesNewRoman" w:eastAsia="SimSun" w:hAnsi="TimesNewRoman" w:cs="TimesNewRoman"/>
          <w:szCs w:val="24"/>
          <w:lang w:val="fr-FR" w:eastAsia="zh-CN"/>
        </w:rPr>
        <w:t xml:space="preserve"> en application des numéros </w:t>
      </w:r>
      <w:r w:rsidRPr="00277E7C">
        <w:rPr>
          <w:rFonts w:ascii="TimesNewRoman" w:eastAsia="SimSun" w:hAnsi="TimesNewRoman" w:cs="TimesNewRoman"/>
          <w:b/>
          <w:bCs/>
          <w:szCs w:val="24"/>
          <w:lang w:val="fr-FR" w:eastAsia="zh-CN"/>
        </w:rPr>
        <w:t>9.7</w:t>
      </w:r>
      <w:r w:rsidRPr="00277E7C">
        <w:rPr>
          <w:rFonts w:ascii="TimesNewRoman" w:eastAsia="SimSun" w:hAnsi="TimesNewRoman" w:cs="TimesNewRoman"/>
          <w:szCs w:val="24"/>
          <w:lang w:val="fr-FR" w:eastAsia="zh-CN"/>
        </w:rPr>
        <w:t>,</w:t>
      </w:r>
      <w:r w:rsidRPr="00277E7C">
        <w:rPr>
          <w:rFonts w:ascii="TimesNewRoman" w:eastAsia="SimSun" w:hAnsi="TimesNewRoman" w:cs="TimesNewRoman"/>
          <w:b/>
          <w:bCs/>
          <w:szCs w:val="24"/>
          <w:lang w:val="fr-FR" w:eastAsia="zh-CN"/>
        </w:rPr>
        <w:t xml:space="preserve"> 9.12</w:t>
      </w:r>
      <w:r w:rsidRPr="00277E7C">
        <w:rPr>
          <w:rFonts w:ascii="TimesNewRoman" w:eastAsia="SimSun" w:hAnsi="TimesNewRoman" w:cs="TimesNewRoman"/>
          <w:szCs w:val="24"/>
          <w:lang w:val="fr-FR" w:eastAsia="zh-CN"/>
        </w:rPr>
        <w:t>,</w:t>
      </w:r>
      <w:r w:rsidRPr="00277E7C">
        <w:rPr>
          <w:rFonts w:ascii="TimesNewRoman" w:eastAsia="SimSun" w:hAnsi="TimesNewRoman" w:cs="TimesNewRoman"/>
          <w:b/>
          <w:bCs/>
          <w:szCs w:val="24"/>
          <w:lang w:val="fr-FR" w:eastAsia="zh-CN"/>
        </w:rPr>
        <w:t xml:space="preserve"> 9.12A </w:t>
      </w:r>
      <w:r w:rsidRPr="00277E7C">
        <w:rPr>
          <w:rFonts w:ascii="TimesNewRoman" w:eastAsia="SimSun" w:hAnsi="TimesNewRoman" w:cs="TimesNewRoman"/>
          <w:szCs w:val="24"/>
          <w:lang w:val="fr-FR" w:eastAsia="zh-CN"/>
        </w:rPr>
        <w:t xml:space="preserve">et </w:t>
      </w:r>
      <w:r w:rsidRPr="00277E7C">
        <w:rPr>
          <w:rFonts w:ascii="TimesNewRoman" w:eastAsia="SimSun" w:hAnsi="TimesNewRoman" w:cs="TimesNewRoman"/>
          <w:b/>
          <w:bCs/>
          <w:szCs w:val="24"/>
          <w:lang w:val="fr-FR" w:eastAsia="zh-CN"/>
        </w:rPr>
        <w:t>9.13</w:t>
      </w:r>
      <w:r w:rsidRPr="00277E7C">
        <w:rPr>
          <w:rFonts w:ascii="TimesNewRoman" w:eastAsia="SimSun" w:hAnsi="TimesNewRoman" w:cs="TimesNewRoman"/>
          <w:szCs w:val="24"/>
          <w:lang w:val="fr-FR" w:eastAsia="zh-CN"/>
        </w:rPr>
        <w:t xml:space="preserve">, assortie des indications appropriées, dans la Colonne A5/A6 (voir le </w:t>
      </w:r>
      <w:r w:rsidRPr="00277E7C">
        <w:rPr>
          <w:rFonts w:ascii="TimesNewRoman" w:eastAsia="SimSun" w:hAnsi="TimesNewRoman" w:cs="TimesNewRoman"/>
          <w:i/>
          <w:iCs/>
          <w:szCs w:val="24"/>
          <w:lang w:val="fr-FR" w:eastAsia="zh-CN"/>
        </w:rPr>
        <w:t>a)</w:t>
      </w:r>
      <w:r w:rsidRPr="00277E7C">
        <w:rPr>
          <w:rFonts w:ascii="TimesNewRoman" w:eastAsia="SimSun" w:hAnsi="TimesNewRoman" w:cs="TimesNewRoman"/>
          <w:szCs w:val="24"/>
          <w:lang w:val="fr-FR" w:eastAsia="zh-CN"/>
        </w:rPr>
        <w:t xml:space="preserve"> ci</w:t>
      </w:r>
      <w:r w:rsidRPr="00277E7C">
        <w:rPr>
          <w:rFonts w:ascii="TimesNewRoman" w:eastAsia="SimSun" w:hAnsi="TimesNewRoman" w:cs="TimesNewRoman"/>
          <w:szCs w:val="24"/>
          <w:lang w:val="fr-FR" w:eastAsia="zh-CN"/>
        </w:rPr>
        <w:noBreakHyphen/>
        <w:t>dessus), et de l'indication Z/</w:t>
      </w:r>
      <w:r w:rsidRPr="00277E7C">
        <w:rPr>
          <w:rFonts w:ascii="TimesNewRoman" w:eastAsia="SimSun" w:hAnsi="TimesNewRoman" w:cs="TimesNewRoman"/>
          <w:b/>
          <w:szCs w:val="24"/>
          <w:lang w:val="fr-FR" w:eastAsia="zh-CN"/>
        </w:rPr>
        <w:t>11.41</w:t>
      </w:r>
      <w:r w:rsidRPr="00277E7C">
        <w:rPr>
          <w:rFonts w:ascii="TimesNewRoman" w:eastAsia="SimSun" w:hAnsi="TimesNewRoman" w:cs="TimesNewRoman"/>
          <w:szCs w:val="24"/>
          <w:lang w:val="fr-FR" w:eastAsia="zh-CN"/>
        </w:rPr>
        <w:t xml:space="preserve"> suivies des noms des administrations concernées figurant dans la Colonne</w:t>
      </w:r>
      <w:r w:rsidR="000E7C11" w:rsidRPr="00277E7C">
        <w:rPr>
          <w:rFonts w:ascii="TimesNewRoman" w:eastAsia="SimSun" w:hAnsi="TimesNewRoman" w:cs="TimesNewRoman"/>
          <w:szCs w:val="24"/>
          <w:lang w:val="fr-FR" w:eastAsia="zh-CN"/>
        </w:rPr>
        <w:t> </w:t>
      </w:r>
      <w:r w:rsidRPr="00277E7C">
        <w:rPr>
          <w:rFonts w:ascii="TimesNewRoman" w:eastAsia="SimSun" w:hAnsi="TimesNewRoman" w:cs="TimesNewRoman"/>
          <w:szCs w:val="24"/>
          <w:lang w:val="fr-FR" w:eastAsia="zh-CN"/>
        </w:rPr>
        <w:t>A5/A6 de la station spatiale associée sous le symbole</w:t>
      </w:r>
      <w:r w:rsidR="000E7C11" w:rsidRPr="00277E7C">
        <w:rPr>
          <w:rFonts w:ascii="TimesNewRoman" w:eastAsia="SimSun" w:hAnsi="TimesNewRoman" w:cs="TimesNewRoman"/>
          <w:szCs w:val="24"/>
          <w:lang w:val="fr-FR" w:eastAsia="zh-CN"/>
        </w:rPr>
        <w:t> </w:t>
      </w:r>
      <w:r w:rsidRPr="00277E7C">
        <w:rPr>
          <w:rFonts w:ascii="TimesNewRoman" w:eastAsia="SimSun" w:hAnsi="TimesNewRoman" w:cs="TimesNewRoman"/>
          <w:b/>
          <w:szCs w:val="24"/>
          <w:lang w:val="fr-FR" w:eastAsia="zh-CN"/>
        </w:rPr>
        <w:t>11.41</w:t>
      </w:r>
      <w:r w:rsidRPr="00277E7C">
        <w:rPr>
          <w:rFonts w:ascii="TimesNewRoman" w:eastAsia="SimSun" w:hAnsi="TimesNewRoman" w:cs="TimesNewRoman"/>
          <w:szCs w:val="24"/>
          <w:lang w:val="fr-FR" w:eastAsia="zh-CN"/>
        </w:rPr>
        <w:t>.</w:t>
      </w:r>
      <w:r w:rsidR="00F53741">
        <w:rPr>
          <w:rFonts w:ascii="TimesNewRoman" w:eastAsia="SimSun" w:hAnsi="TimesNewRoman" w:cs="TimesNewRoman"/>
          <w:szCs w:val="24"/>
          <w:lang w:val="fr-FR" w:eastAsia="zh-CN"/>
        </w:rPr>
        <w:t xml:space="preserve"> </w:t>
      </w:r>
    </w:p>
    <w:p w14:paraId="272B9838" w14:textId="6FD1793F" w:rsidR="00CC1169" w:rsidRPr="00277E7C" w:rsidRDefault="00CC1169" w:rsidP="000E7C11">
      <w:pPr>
        <w:pStyle w:val="enumlev1"/>
        <w:rPr>
          <w:color w:val="000000"/>
          <w:lang w:val="fr-FR"/>
        </w:rPr>
      </w:pPr>
      <w:r w:rsidRPr="00277E7C">
        <w:rPr>
          <w:i/>
          <w:color w:val="000000"/>
          <w:lang w:val="fr-FR"/>
        </w:rPr>
        <w:t>e)</w:t>
      </w:r>
      <w:r w:rsidRPr="00277E7C">
        <w:rPr>
          <w:color w:val="000000"/>
          <w:lang w:val="fr-FR"/>
        </w:rPr>
        <w:tab/>
        <w:t xml:space="preserve">Dans le cas d'une station spatiale associée inscrite avec une conclusion défavorable relativement au numéro </w:t>
      </w:r>
      <w:r w:rsidRPr="00277E7C">
        <w:rPr>
          <w:rStyle w:val="Artref0"/>
          <w:b/>
          <w:color w:val="000000"/>
          <w:lang w:val="fr-FR"/>
        </w:rPr>
        <w:t>11.36</w:t>
      </w:r>
      <w:r w:rsidRPr="00277E7C">
        <w:rPr>
          <w:color w:val="000000"/>
          <w:lang w:val="fr-FR"/>
        </w:rPr>
        <w:t xml:space="preserve"> (station fonctionnant conformément aux dispositions du numéro </w:t>
      </w:r>
      <w:r w:rsidRPr="00277E7C">
        <w:rPr>
          <w:rStyle w:val="Artref0"/>
          <w:b/>
          <w:color w:val="000000"/>
          <w:lang w:val="fr-FR"/>
        </w:rPr>
        <w:t>4.4</w:t>
      </w:r>
      <w:r w:rsidRPr="00277E7C">
        <w:rPr>
          <w:color w:val="000000"/>
          <w:lang w:val="fr-FR"/>
        </w:rPr>
        <w:t>), la station terrienne fera l'objet d'une conclusion réglementaire (numéro </w:t>
      </w:r>
      <w:r w:rsidRPr="00277E7C">
        <w:rPr>
          <w:rStyle w:val="Artref0"/>
          <w:b/>
          <w:color w:val="000000"/>
          <w:lang w:val="fr-FR"/>
        </w:rPr>
        <w:t>11.31</w:t>
      </w:r>
      <w:r w:rsidRPr="00277E7C">
        <w:rPr>
          <w:color w:val="000000"/>
          <w:lang w:val="fr-FR"/>
        </w:rPr>
        <w:t>) et, si nécessaire, d'une conclusion du point de vue de la conformité avec les dispositions relatives à la coordination, indépendamment de la conclusion réglemen</w:t>
      </w:r>
      <w:r w:rsidRPr="00277E7C">
        <w:rPr>
          <w:color w:val="000000"/>
          <w:lang w:val="fr-FR"/>
        </w:rPr>
        <w:softHyphen/>
        <w:t>taire défavorable dont a fait l'objet la station spatiale. La conclusion du point de vue de la conformité ne s'applique néanmoins qu'à la procédure de coordination aux termes des numéros </w:t>
      </w:r>
      <w:r w:rsidRPr="00277E7C">
        <w:rPr>
          <w:rStyle w:val="Artref0"/>
          <w:b/>
          <w:color w:val="000000"/>
          <w:lang w:val="fr-FR"/>
        </w:rPr>
        <w:t>9.15</w:t>
      </w:r>
      <w:r w:rsidRPr="00277E7C">
        <w:rPr>
          <w:color w:val="000000"/>
          <w:lang w:val="fr-FR"/>
        </w:rPr>
        <w:t xml:space="preserve">, </w:t>
      </w:r>
      <w:r w:rsidRPr="00277E7C">
        <w:rPr>
          <w:rStyle w:val="Artref0"/>
          <w:b/>
          <w:color w:val="000000"/>
          <w:lang w:val="fr-FR"/>
        </w:rPr>
        <w:t>9.17</w:t>
      </w:r>
      <w:r w:rsidRPr="00277E7C">
        <w:rPr>
          <w:color w:val="000000"/>
          <w:lang w:val="fr-FR"/>
        </w:rPr>
        <w:t xml:space="preserve">, </w:t>
      </w:r>
      <w:r w:rsidRPr="00277E7C">
        <w:rPr>
          <w:rStyle w:val="Artref0"/>
          <w:b/>
          <w:color w:val="000000"/>
          <w:lang w:val="fr-FR"/>
        </w:rPr>
        <w:t>9.17A et 9.19</w:t>
      </w:r>
      <w:r w:rsidRPr="00277E7C">
        <w:rPr>
          <w:color w:val="000000"/>
          <w:lang w:val="fr-FR"/>
        </w:rPr>
        <w:t>. Une fois l'assignation inscrite, un symbole lui sera ajouté pour indiquer que le statut de la station terrienne ne concerne que la coordination vis-à-vis des services de Terre et vis-à-vis des stations terriennes fonctionnant dans le sens de transmission opposé et n'a aucune incidence sur la coordination du réseau spatial (numéros </w:t>
      </w:r>
      <w:r w:rsidRPr="00277E7C">
        <w:rPr>
          <w:rStyle w:val="Artref0"/>
          <w:b/>
          <w:color w:val="000000"/>
          <w:lang w:val="fr-FR"/>
        </w:rPr>
        <w:t>9.7</w:t>
      </w:r>
      <w:r w:rsidRPr="00277E7C">
        <w:rPr>
          <w:color w:val="000000"/>
          <w:lang w:val="fr-FR"/>
        </w:rPr>
        <w:t xml:space="preserve">, </w:t>
      </w:r>
      <w:r w:rsidRPr="00277E7C">
        <w:rPr>
          <w:rStyle w:val="Artref0"/>
          <w:b/>
          <w:color w:val="000000"/>
          <w:lang w:val="fr-FR"/>
        </w:rPr>
        <w:t>9.12, 9.12A</w:t>
      </w:r>
      <w:r w:rsidRPr="00277E7C">
        <w:rPr>
          <w:color w:val="000000"/>
          <w:lang w:val="fr-FR"/>
        </w:rPr>
        <w:t xml:space="preserve"> et </w:t>
      </w:r>
      <w:r w:rsidRPr="00277E7C">
        <w:rPr>
          <w:rStyle w:val="Artref0"/>
          <w:b/>
          <w:color w:val="000000"/>
          <w:lang w:val="fr-FR"/>
        </w:rPr>
        <w:t>9.13</w:t>
      </w:r>
      <w:r w:rsidRPr="00277E7C">
        <w:rPr>
          <w:color w:val="000000"/>
          <w:lang w:val="fr-FR"/>
        </w:rPr>
        <w:t>).</w:t>
      </w:r>
    </w:p>
    <w:p w14:paraId="4E7B6ACC" w14:textId="77777777" w:rsidR="00CC1169" w:rsidRPr="00277E7C" w:rsidRDefault="00CC1169" w:rsidP="00CC1169">
      <w:pPr>
        <w:pStyle w:val="Heading3"/>
        <w:rPr>
          <w:color w:val="000000"/>
          <w:lang w:val="fr-FR"/>
        </w:rPr>
      </w:pPr>
      <w:r w:rsidRPr="00277E7C">
        <w:rPr>
          <w:color w:val="000000"/>
          <w:lang w:val="fr-FR"/>
        </w:rPr>
        <w:t>2.1.2</w:t>
      </w:r>
      <w:r w:rsidRPr="00277E7C">
        <w:rPr>
          <w:color w:val="000000"/>
          <w:lang w:val="fr-FR"/>
        </w:rPr>
        <w:tab/>
        <w:t>Cas où les assignations de la station spatiale ne sont pas inscrites dans le Fichier de référence</w:t>
      </w:r>
    </w:p>
    <w:p w14:paraId="6FBCE567" w14:textId="77777777" w:rsidR="00CC1169" w:rsidRPr="00277E7C" w:rsidRDefault="00CC1169" w:rsidP="00CC1169">
      <w:pPr>
        <w:rPr>
          <w:color w:val="000000"/>
          <w:lang w:val="fr-FR"/>
        </w:rPr>
      </w:pPr>
      <w:r w:rsidRPr="00277E7C">
        <w:rPr>
          <w:color w:val="000000"/>
          <w:lang w:val="fr-FR"/>
        </w:rPr>
        <w:t>Cette catégorie peut comprendre les cas suivants:</w:t>
      </w:r>
    </w:p>
    <w:p w14:paraId="3CB9A3B1" w14:textId="77777777" w:rsidR="00CC1169" w:rsidRDefault="00CC1169" w:rsidP="00CC1169">
      <w:pPr>
        <w:pStyle w:val="enumlev1"/>
        <w:rPr>
          <w:color w:val="000000"/>
          <w:lang w:val="fr-FR"/>
        </w:rPr>
      </w:pPr>
      <w:r w:rsidRPr="00277E7C">
        <w:rPr>
          <w:i/>
          <w:color w:val="000000"/>
          <w:lang w:val="fr-FR"/>
        </w:rPr>
        <w:t>a)</w:t>
      </w:r>
      <w:r w:rsidRPr="00277E7C">
        <w:rPr>
          <w:color w:val="000000"/>
          <w:lang w:val="fr-FR"/>
        </w:rPr>
        <w:tab/>
        <w:t xml:space="preserve">station spatiale pour laquelle la procédure de la Section II de l'Article </w:t>
      </w:r>
      <w:r w:rsidRPr="00277E7C">
        <w:rPr>
          <w:rStyle w:val="Artref0"/>
          <w:b/>
          <w:color w:val="000000"/>
          <w:lang w:val="fr-FR"/>
        </w:rPr>
        <w:t>9</w:t>
      </w:r>
      <w:r w:rsidRPr="00277E7C">
        <w:rPr>
          <w:color w:val="000000"/>
          <w:lang w:val="fr-FR"/>
        </w:rPr>
        <w:t xml:space="preserve"> est applicable, mais n'ayant pas encore fait l'objet d'une communication au Bureau aux termes des numéros </w:t>
      </w:r>
      <w:r w:rsidRPr="00277E7C">
        <w:rPr>
          <w:rStyle w:val="Artref0"/>
          <w:b/>
          <w:color w:val="000000"/>
          <w:lang w:val="fr-FR"/>
        </w:rPr>
        <w:t>9.30</w:t>
      </w:r>
      <w:r w:rsidRPr="00277E7C">
        <w:rPr>
          <w:color w:val="000000"/>
          <w:lang w:val="fr-FR"/>
        </w:rPr>
        <w:t xml:space="preserve"> et </w:t>
      </w:r>
      <w:r w:rsidRPr="00277E7C">
        <w:rPr>
          <w:rStyle w:val="Artref0"/>
          <w:b/>
          <w:color w:val="000000"/>
          <w:lang w:val="fr-FR"/>
        </w:rPr>
        <w:t>9.32</w:t>
      </w:r>
      <w:r w:rsidRPr="00277E7C">
        <w:rPr>
          <w:color w:val="000000"/>
          <w:lang w:val="fr-FR"/>
        </w:rPr>
        <w:t>;</w:t>
      </w:r>
    </w:p>
    <w:p w14:paraId="2B01C7A9" w14:textId="77777777" w:rsidR="00D96A92" w:rsidRPr="00277E7C" w:rsidRDefault="00D96A92" w:rsidP="00CC1169">
      <w:pPr>
        <w:pStyle w:val="enumlev1"/>
        <w:rPr>
          <w:color w:val="000000"/>
          <w:lang w:val="fr-FR"/>
        </w:rPr>
      </w:pPr>
    </w:p>
    <w:p w14:paraId="448010D0" w14:textId="77777777" w:rsidR="00D96A92" w:rsidRDefault="00D96A92">
      <w:pPr>
        <w:tabs>
          <w:tab w:val="clear" w:pos="1134"/>
          <w:tab w:val="clear" w:pos="1871"/>
          <w:tab w:val="clear" w:pos="2268"/>
        </w:tabs>
        <w:overflowPunct/>
        <w:autoSpaceDE/>
        <w:autoSpaceDN/>
        <w:adjustRightInd/>
        <w:spacing w:before="0"/>
        <w:jc w:val="left"/>
        <w:textAlignment w:val="auto"/>
        <w:rPr>
          <w:i/>
          <w:color w:val="000000"/>
          <w:lang w:val="fr-FR"/>
        </w:rPr>
        <w:sectPr w:rsidR="00D96A92" w:rsidSect="00D96A92">
          <w:headerReference w:type="default" r:id="rId11"/>
          <w:footnotePr>
            <w:pos w:val="beneathText"/>
          </w:footnotePr>
          <w:pgSz w:w="11907" w:h="16840" w:code="9"/>
          <w:pgMar w:top="1701" w:right="851" w:bottom="1134" w:left="1985" w:header="720" w:footer="482" w:gutter="0"/>
          <w:cols w:space="720"/>
          <w:vAlign w:val="both"/>
          <w:docGrid w:linePitch="326"/>
        </w:sectPr>
      </w:pPr>
    </w:p>
    <w:p w14:paraId="2A11023C" w14:textId="77777777" w:rsidR="00CC1169" w:rsidRPr="00277E7C" w:rsidRDefault="00CC1169" w:rsidP="00CC1169">
      <w:pPr>
        <w:pStyle w:val="enumlev1"/>
        <w:rPr>
          <w:color w:val="000000"/>
          <w:lang w:val="fr-FR"/>
        </w:rPr>
      </w:pPr>
      <w:r w:rsidRPr="00277E7C">
        <w:rPr>
          <w:i/>
          <w:color w:val="000000"/>
          <w:lang w:val="fr-FR"/>
        </w:rPr>
        <w:lastRenderedPageBreak/>
        <w:t>b)</w:t>
      </w:r>
      <w:r w:rsidRPr="00277E7C">
        <w:rPr>
          <w:color w:val="000000"/>
          <w:lang w:val="fr-FR"/>
        </w:rPr>
        <w:tab/>
        <w:t>station spatiale en cours de coordination (la procédure de coordination n'est pas encore achevée et la station spatiale n'est pas encore notifiée aux termes du numéro </w:t>
      </w:r>
      <w:r w:rsidRPr="00277E7C">
        <w:rPr>
          <w:rStyle w:val="Artref0"/>
          <w:b/>
          <w:color w:val="000000"/>
          <w:lang w:val="fr-FR"/>
        </w:rPr>
        <w:t>11.15</w:t>
      </w:r>
      <w:r w:rsidRPr="00277E7C">
        <w:rPr>
          <w:color w:val="000000"/>
          <w:lang w:val="fr-FR"/>
        </w:rPr>
        <w:t>);</w:t>
      </w:r>
    </w:p>
    <w:p w14:paraId="698F6F04" w14:textId="77777777" w:rsidR="00CC1169" w:rsidRPr="00277E7C" w:rsidRDefault="00CC1169" w:rsidP="00CC1169">
      <w:pPr>
        <w:pStyle w:val="enumlev1"/>
        <w:rPr>
          <w:color w:val="000000"/>
          <w:lang w:val="fr-FR"/>
        </w:rPr>
      </w:pPr>
      <w:r w:rsidRPr="00277E7C">
        <w:rPr>
          <w:i/>
          <w:color w:val="000000"/>
          <w:lang w:val="fr-FR"/>
        </w:rPr>
        <w:t>c)</w:t>
      </w:r>
      <w:r w:rsidRPr="00277E7C">
        <w:rPr>
          <w:color w:val="000000"/>
          <w:lang w:val="fr-FR"/>
        </w:rPr>
        <w:tab/>
        <w:t xml:space="preserve">station spatiale ayant réussi la procédure de l'Article </w:t>
      </w:r>
      <w:r w:rsidRPr="00277E7C">
        <w:rPr>
          <w:rStyle w:val="Artref0"/>
          <w:b/>
          <w:color w:val="000000"/>
          <w:lang w:val="fr-FR"/>
        </w:rPr>
        <w:t>9</w:t>
      </w:r>
      <w:r w:rsidRPr="00277E7C">
        <w:rPr>
          <w:color w:val="000000"/>
          <w:lang w:val="fr-FR"/>
        </w:rPr>
        <w:t>, mais pas encore notifiée au Bureau aux termes de numéro </w:t>
      </w:r>
      <w:r w:rsidRPr="00277E7C">
        <w:rPr>
          <w:rStyle w:val="Artref0"/>
          <w:b/>
          <w:color w:val="000000"/>
          <w:lang w:val="fr-FR"/>
        </w:rPr>
        <w:t>11.15</w:t>
      </w:r>
      <w:r w:rsidRPr="00277E7C">
        <w:rPr>
          <w:color w:val="000000"/>
          <w:lang w:val="fr-FR"/>
        </w:rPr>
        <w:t>;</w:t>
      </w:r>
    </w:p>
    <w:p w14:paraId="3EA2E7A3" w14:textId="77777777" w:rsidR="00CC1169" w:rsidRPr="00277E7C" w:rsidRDefault="00CC1169" w:rsidP="00CC1169">
      <w:pPr>
        <w:pStyle w:val="enumlev1"/>
        <w:rPr>
          <w:color w:val="000000"/>
          <w:lang w:val="fr-FR"/>
        </w:rPr>
      </w:pPr>
      <w:r w:rsidRPr="00277E7C">
        <w:rPr>
          <w:i/>
          <w:color w:val="000000"/>
          <w:lang w:val="fr-FR"/>
        </w:rPr>
        <w:t>d)</w:t>
      </w:r>
      <w:r w:rsidRPr="00277E7C">
        <w:rPr>
          <w:color w:val="000000"/>
          <w:lang w:val="fr-FR"/>
        </w:rPr>
        <w:tab/>
        <w:t xml:space="preserve">fiche de notification de la station spatiale reçue (numéro </w:t>
      </w:r>
      <w:r w:rsidRPr="00277E7C">
        <w:rPr>
          <w:rStyle w:val="Artref0"/>
          <w:b/>
          <w:color w:val="000000"/>
          <w:lang w:val="fr-FR"/>
        </w:rPr>
        <w:t>11.15</w:t>
      </w:r>
      <w:r w:rsidRPr="00277E7C">
        <w:rPr>
          <w:color w:val="000000"/>
          <w:lang w:val="fr-FR"/>
        </w:rPr>
        <w:t>), mais retournée à l'admi</w:t>
      </w:r>
      <w:r w:rsidRPr="00277E7C">
        <w:rPr>
          <w:color w:val="000000"/>
          <w:lang w:val="fr-FR"/>
        </w:rPr>
        <w:softHyphen/>
        <w:t xml:space="preserve">nistration assortie d'une conclusion défavorable relativement aux numéros </w:t>
      </w:r>
      <w:r w:rsidRPr="00277E7C">
        <w:rPr>
          <w:rStyle w:val="Artref0"/>
          <w:b/>
          <w:color w:val="000000"/>
          <w:lang w:val="fr-FR"/>
        </w:rPr>
        <w:t>11.31</w:t>
      </w:r>
      <w:r w:rsidRPr="00277E7C">
        <w:rPr>
          <w:color w:val="000000"/>
          <w:lang w:val="fr-FR"/>
        </w:rPr>
        <w:t xml:space="preserve"> ou </w:t>
      </w:r>
      <w:r w:rsidRPr="00277E7C">
        <w:rPr>
          <w:rStyle w:val="Artref0"/>
          <w:b/>
          <w:color w:val="000000"/>
          <w:lang w:val="fr-FR"/>
        </w:rPr>
        <w:t>11.32</w:t>
      </w:r>
      <w:r w:rsidRPr="00277E7C">
        <w:rPr>
          <w:color w:val="000000"/>
          <w:lang w:val="fr-FR"/>
        </w:rPr>
        <w:t xml:space="preserve"> et </w:t>
      </w:r>
      <w:r w:rsidRPr="00277E7C">
        <w:rPr>
          <w:rStyle w:val="Artref0"/>
          <w:b/>
          <w:color w:val="000000"/>
          <w:lang w:val="fr-FR"/>
        </w:rPr>
        <w:t>11.32A</w:t>
      </w:r>
      <w:r w:rsidRPr="00277E7C">
        <w:rPr>
          <w:color w:val="000000"/>
          <w:lang w:val="fr-FR"/>
        </w:rPr>
        <w:t>; et</w:t>
      </w:r>
    </w:p>
    <w:p w14:paraId="0A9D235F" w14:textId="77777777" w:rsidR="00CC1169" w:rsidRPr="00277E7C" w:rsidRDefault="00CC1169" w:rsidP="00CC1169">
      <w:pPr>
        <w:pStyle w:val="enumlev1"/>
        <w:rPr>
          <w:color w:val="000000"/>
          <w:lang w:val="fr-FR"/>
        </w:rPr>
      </w:pPr>
      <w:r w:rsidRPr="00277E7C">
        <w:rPr>
          <w:i/>
          <w:color w:val="000000"/>
          <w:lang w:val="fr-FR"/>
        </w:rPr>
        <w:t>e)</w:t>
      </w:r>
      <w:r w:rsidRPr="00277E7C">
        <w:rPr>
          <w:color w:val="000000"/>
          <w:lang w:val="fr-FR"/>
        </w:rPr>
        <w:tab/>
        <w:t xml:space="preserve">station spatiale déjà notifiée (numéro </w:t>
      </w:r>
      <w:r w:rsidRPr="00277E7C">
        <w:rPr>
          <w:rStyle w:val="Artref0"/>
          <w:b/>
          <w:color w:val="000000"/>
          <w:lang w:val="fr-FR"/>
        </w:rPr>
        <w:t>11.15</w:t>
      </w:r>
      <w:r w:rsidRPr="00277E7C">
        <w:rPr>
          <w:color w:val="000000"/>
          <w:lang w:val="fr-FR"/>
        </w:rPr>
        <w:t>), mais non encore inscrite (traitement par le Bureau en cours).</w:t>
      </w:r>
    </w:p>
    <w:p w14:paraId="4962AE1B" w14:textId="77777777" w:rsidR="00CC1169" w:rsidRPr="00277E7C" w:rsidRDefault="00CC1169" w:rsidP="00AF441F">
      <w:pPr>
        <w:rPr>
          <w:lang w:val="fr-FR"/>
        </w:rPr>
      </w:pPr>
      <w:r w:rsidRPr="00277E7C">
        <w:rPr>
          <w:lang w:val="fr-FR"/>
        </w:rPr>
        <w:t>2.1.2.1</w:t>
      </w:r>
      <w:r w:rsidRPr="00277E7C">
        <w:rPr>
          <w:lang w:val="fr-FR"/>
        </w:rPr>
        <w:tab/>
        <w:t xml:space="preserve">Partant du principe que le principal élément d'un réseau spatial est la station spatiale et qu'il serait erroné d'inscrire dans le Fichier de référence des stations terriennes pour lesquelles aucune station (aucun réseau) spatial(e) n'est inscrit(e), le Comité a décidé qu'une station terrienne ne pouvait être inscrite dans le Fichier de référence avant la station spatiale associée. Par conséquent, les stations terriennes des catégories </w:t>
      </w:r>
      <w:r w:rsidRPr="00277E7C">
        <w:rPr>
          <w:i/>
          <w:lang w:val="fr-FR"/>
        </w:rPr>
        <w:t>a)</w:t>
      </w:r>
      <w:r w:rsidRPr="00277E7C">
        <w:rPr>
          <w:lang w:val="fr-FR"/>
        </w:rPr>
        <w:t xml:space="preserve"> à </w:t>
      </w:r>
      <w:r w:rsidRPr="00277E7C">
        <w:rPr>
          <w:i/>
          <w:lang w:val="fr-FR"/>
        </w:rPr>
        <w:t>d)</w:t>
      </w:r>
      <w:r w:rsidRPr="00277E7C">
        <w:rPr>
          <w:lang w:val="fr-FR"/>
        </w:rPr>
        <w:t xml:space="preserve"> du § 2.1.2 ci-dessus feront l'objet d'une conclusion défavorable relativement au numéro </w:t>
      </w:r>
      <w:r w:rsidRPr="00277E7C">
        <w:rPr>
          <w:rStyle w:val="Artref0"/>
          <w:b/>
          <w:color w:val="000000"/>
          <w:lang w:val="fr-FR"/>
        </w:rPr>
        <w:t>11.32</w:t>
      </w:r>
      <w:r w:rsidRPr="00277E7C">
        <w:rPr>
          <w:lang w:val="fr-FR"/>
        </w:rPr>
        <w:t>.</w:t>
      </w:r>
    </w:p>
    <w:p w14:paraId="69BE1D4B" w14:textId="77777777" w:rsidR="00CC1169" w:rsidRDefault="00CC1169" w:rsidP="00CC1169">
      <w:pPr>
        <w:rPr>
          <w:color w:val="000000"/>
          <w:lang w:val="fr-FR"/>
        </w:rPr>
      </w:pPr>
      <w:r w:rsidRPr="00277E7C">
        <w:rPr>
          <w:color w:val="000000"/>
          <w:lang w:val="fr-FR"/>
        </w:rPr>
        <w:t>2.1.2.2</w:t>
      </w:r>
      <w:r w:rsidRPr="00277E7C">
        <w:rPr>
          <w:color w:val="000000"/>
          <w:lang w:val="fr-FR"/>
        </w:rPr>
        <w:tab/>
        <w:t xml:space="preserve">Les fiches de notification de stations terriennes relevant de la catégorie </w:t>
      </w:r>
      <w:r w:rsidRPr="00277E7C">
        <w:rPr>
          <w:i/>
          <w:color w:val="000000"/>
          <w:lang w:val="fr-FR"/>
        </w:rPr>
        <w:t>e)</w:t>
      </w:r>
      <w:r w:rsidRPr="00277E7C">
        <w:rPr>
          <w:color w:val="000000"/>
          <w:lang w:val="fr-FR"/>
        </w:rPr>
        <w:t xml:space="preserve"> du § 2.1.2 ci</w:t>
      </w:r>
      <w:r w:rsidRPr="00277E7C">
        <w:rPr>
          <w:color w:val="000000"/>
          <w:lang w:val="fr-FR"/>
        </w:rPr>
        <w:noBreakHyphen/>
        <w:t xml:space="preserve">dessus seront traitées par le Bureau en même temps que la station spatiale associée et d'une conclusion relativement au numéro </w:t>
      </w:r>
      <w:r w:rsidRPr="00277E7C">
        <w:rPr>
          <w:rStyle w:val="Artref0"/>
          <w:b/>
          <w:color w:val="000000"/>
          <w:lang w:val="fr-FR"/>
        </w:rPr>
        <w:t>11.32</w:t>
      </w:r>
      <w:r w:rsidRPr="00277E7C">
        <w:rPr>
          <w:color w:val="000000"/>
          <w:lang w:val="fr-FR"/>
        </w:rPr>
        <w:t xml:space="preserve"> en application des numéros </w:t>
      </w:r>
      <w:r w:rsidRPr="00277E7C">
        <w:rPr>
          <w:rStyle w:val="Artref0"/>
          <w:b/>
          <w:color w:val="000000"/>
          <w:lang w:val="fr-FR"/>
        </w:rPr>
        <w:t>9.7</w:t>
      </w:r>
      <w:r w:rsidRPr="00277E7C">
        <w:rPr>
          <w:color w:val="000000"/>
          <w:lang w:val="fr-FR"/>
        </w:rPr>
        <w:t xml:space="preserve">, </w:t>
      </w:r>
      <w:r w:rsidRPr="00277E7C">
        <w:rPr>
          <w:rStyle w:val="Artref0"/>
          <w:b/>
          <w:color w:val="000000"/>
          <w:lang w:val="fr-FR"/>
        </w:rPr>
        <w:t>9.12, 9.12A</w:t>
      </w:r>
      <w:r w:rsidRPr="00277E7C">
        <w:rPr>
          <w:color w:val="000000"/>
          <w:lang w:val="fr-FR"/>
        </w:rPr>
        <w:t xml:space="preserve"> et </w:t>
      </w:r>
      <w:r w:rsidRPr="00277E7C">
        <w:rPr>
          <w:rStyle w:val="Artref0"/>
          <w:b/>
          <w:color w:val="000000"/>
          <w:lang w:val="fr-FR"/>
        </w:rPr>
        <w:t>9.13</w:t>
      </w:r>
      <w:r w:rsidRPr="00277E7C">
        <w:rPr>
          <w:color w:val="000000"/>
          <w:lang w:val="fr-FR"/>
        </w:rPr>
        <w:t>, sera donnée conformément à la conclusion dont fait l'objet la station spatiale, en application des § 2.1.1 </w:t>
      </w:r>
      <w:r w:rsidRPr="00277E7C">
        <w:rPr>
          <w:i/>
          <w:color w:val="000000"/>
          <w:lang w:val="fr-FR"/>
        </w:rPr>
        <w:t>a)</w:t>
      </w:r>
      <w:r w:rsidRPr="00277E7C">
        <w:rPr>
          <w:color w:val="000000"/>
          <w:lang w:val="fr-FR"/>
        </w:rPr>
        <w:t xml:space="preserve"> (conclusion favorable) ou 2.1.2.1 (conclusion défavorable).</w:t>
      </w:r>
    </w:p>
    <w:p w14:paraId="3D76BE22" w14:textId="77777777" w:rsidR="00CC1169" w:rsidRPr="00277E7C" w:rsidRDefault="00CC1169" w:rsidP="00E358BE">
      <w:pPr>
        <w:pStyle w:val="Heading3"/>
        <w:spacing w:before="240"/>
        <w:rPr>
          <w:lang w:val="fr-FR"/>
        </w:rPr>
      </w:pPr>
      <w:r w:rsidRPr="00277E7C">
        <w:rPr>
          <w:lang w:val="fr-FR"/>
        </w:rPr>
        <w:t>2.1.3</w:t>
      </w:r>
      <w:r w:rsidRPr="00277E7C">
        <w:rPr>
          <w:lang w:val="fr-FR"/>
        </w:rPr>
        <w:tab/>
        <w:t>Stations terriennes en dehors de la zone de service de la station spatiale associée</w:t>
      </w:r>
    </w:p>
    <w:p w14:paraId="0F68E9CF" w14:textId="77777777" w:rsidR="00CC1169" w:rsidRPr="00277E7C" w:rsidRDefault="00CC1169" w:rsidP="00CC1169">
      <w:pPr>
        <w:rPr>
          <w:color w:val="000000"/>
          <w:lang w:val="fr-FR"/>
        </w:rPr>
      </w:pPr>
      <w:r w:rsidRPr="00277E7C">
        <w:rPr>
          <w:color w:val="000000"/>
          <w:lang w:val="fr-FR"/>
        </w:rPr>
        <w:t xml:space="preserve">Les stations terriennes situées en dehors de la zone de service de la station spatiale associée feront l'objet d'une conclusion défavorable relativement au numéro </w:t>
      </w:r>
      <w:r w:rsidRPr="00277E7C">
        <w:rPr>
          <w:rStyle w:val="Artref0"/>
          <w:b/>
          <w:color w:val="000000"/>
          <w:lang w:val="fr-FR"/>
        </w:rPr>
        <w:t>11.32</w:t>
      </w:r>
      <w:r w:rsidRPr="00277E7C">
        <w:rPr>
          <w:color w:val="000000"/>
          <w:lang w:val="fr-FR"/>
        </w:rPr>
        <w:t xml:space="preserve"> en application des numéros </w:t>
      </w:r>
      <w:r w:rsidRPr="00277E7C">
        <w:rPr>
          <w:rStyle w:val="Artref0"/>
          <w:b/>
          <w:color w:val="000000"/>
          <w:lang w:val="fr-FR"/>
        </w:rPr>
        <w:t>9.7</w:t>
      </w:r>
      <w:r w:rsidRPr="00277E7C">
        <w:rPr>
          <w:color w:val="000000"/>
          <w:lang w:val="fr-FR"/>
        </w:rPr>
        <w:t xml:space="preserve">, </w:t>
      </w:r>
      <w:r w:rsidRPr="00277E7C">
        <w:rPr>
          <w:rStyle w:val="Artref0"/>
          <w:b/>
          <w:color w:val="000000"/>
          <w:lang w:val="fr-FR"/>
        </w:rPr>
        <w:t>9.12, 9.12A</w:t>
      </w:r>
      <w:r w:rsidRPr="00277E7C">
        <w:rPr>
          <w:color w:val="000000"/>
          <w:lang w:val="fr-FR"/>
        </w:rPr>
        <w:t xml:space="preserve"> et </w:t>
      </w:r>
      <w:r w:rsidRPr="00277E7C">
        <w:rPr>
          <w:rStyle w:val="Artref0"/>
          <w:b/>
          <w:color w:val="000000"/>
          <w:lang w:val="fr-FR"/>
        </w:rPr>
        <w:t>9.13</w:t>
      </w:r>
      <w:r w:rsidRPr="00277E7C">
        <w:rPr>
          <w:color w:val="000000"/>
          <w:lang w:val="fr-FR"/>
        </w:rPr>
        <w:t>, selon le cas. On suppose que la coordination de la station spatiale associée n'a pas pu tenir compte des stations terriennes situées en dehors de la zone de service.</w:t>
      </w:r>
    </w:p>
    <w:p w14:paraId="46DE5A4E" w14:textId="77777777" w:rsidR="00CC1169" w:rsidRPr="00277E7C" w:rsidRDefault="00CC1169" w:rsidP="00CC1169">
      <w:pPr>
        <w:pStyle w:val="Heading2"/>
        <w:rPr>
          <w:color w:val="000000"/>
          <w:lang w:val="fr-FR"/>
        </w:rPr>
      </w:pPr>
      <w:r w:rsidRPr="00277E7C">
        <w:rPr>
          <w:color w:val="000000"/>
          <w:lang w:val="fr-FR"/>
        </w:rPr>
        <w:t>2.2</w:t>
      </w:r>
      <w:r w:rsidRPr="00277E7C">
        <w:rPr>
          <w:color w:val="000000"/>
          <w:lang w:val="fr-FR"/>
        </w:rPr>
        <w:tab/>
        <w:t>Examen de la modification d'une assignation inscrite à une station terrienne</w:t>
      </w:r>
    </w:p>
    <w:p w14:paraId="5B3B2D56" w14:textId="77777777" w:rsidR="00CC1169" w:rsidRPr="00277E7C" w:rsidRDefault="00CC1169" w:rsidP="00CC1169">
      <w:pPr>
        <w:rPr>
          <w:color w:val="000000"/>
          <w:lang w:val="fr-FR"/>
        </w:rPr>
      </w:pPr>
      <w:r w:rsidRPr="00277E7C">
        <w:rPr>
          <w:color w:val="000000"/>
          <w:lang w:val="fr-FR"/>
        </w:rPr>
        <w:t>La modification d'une assignation à une station terrienne peut concerner:</w:t>
      </w:r>
    </w:p>
    <w:p w14:paraId="084735A1" w14:textId="77777777" w:rsidR="00CC1169" w:rsidRPr="00277E7C" w:rsidRDefault="00CC1169" w:rsidP="00CC1169">
      <w:pPr>
        <w:pStyle w:val="enumlev1"/>
        <w:rPr>
          <w:color w:val="000000"/>
          <w:lang w:val="fr-FR"/>
        </w:rPr>
      </w:pPr>
      <w:r w:rsidRPr="00277E7C">
        <w:rPr>
          <w:color w:val="000000"/>
          <w:lang w:val="fr-FR"/>
        </w:rPr>
        <w:t>–</w:t>
      </w:r>
      <w:r w:rsidRPr="00277E7C">
        <w:rPr>
          <w:color w:val="000000"/>
          <w:lang w:val="fr-FR"/>
        </w:rPr>
        <w:tab/>
        <w:t>la position orbitale de la station spatiale associée, ou</w:t>
      </w:r>
    </w:p>
    <w:p w14:paraId="2EE11EDB" w14:textId="77777777" w:rsidR="00CC1169" w:rsidRPr="00277E7C" w:rsidRDefault="00CC1169" w:rsidP="00CC1169">
      <w:pPr>
        <w:pStyle w:val="enumlev1"/>
        <w:rPr>
          <w:color w:val="000000"/>
          <w:lang w:val="fr-FR"/>
        </w:rPr>
      </w:pPr>
      <w:r w:rsidRPr="00277E7C">
        <w:rPr>
          <w:color w:val="000000"/>
          <w:lang w:val="fr-FR"/>
        </w:rPr>
        <w:t>–</w:t>
      </w:r>
      <w:r w:rsidRPr="00277E7C">
        <w:rPr>
          <w:color w:val="000000"/>
          <w:lang w:val="fr-FR"/>
        </w:rPr>
        <w:tab/>
        <w:t>le remplacement de la station spatiale associée par une autre station, ou</w:t>
      </w:r>
    </w:p>
    <w:p w14:paraId="0D698856" w14:textId="77777777" w:rsidR="00CC1169" w:rsidRPr="00277E7C" w:rsidRDefault="00CC1169" w:rsidP="00CC1169">
      <w:pPr>
        <w:pStyle w:val="enumlev1"/>
        <w:rPr>
          <w:color w:val="000000"/>
          <w:lang w:val="fr-FR"/>
        </w:rPr>
      </w:pPr>
      <w:r w:rsidRPr="00277E7C">
        <w:rPr>
          <w:color w:val="000000"/>
          <w:lang w:val="fr-FR"/>
        </w:rPr>
        <w:t>–</w:t>
      </w:r>
      <w:r w:rsidRPr="00277E7C">
        <w:rPr>
          <w:color w:val="000000"/>
          <w:lang w:val="fr-FR"/>
        </w:rPr>
        <w:tab/>
        <w:t>toute autre caractéristique.</w:t>
      </w:r>
    </w:p>
    <w:p w14:paraId="249FF761" w14:textId="77777777" w:rsidR="00F53741" w:rsidRDefault="00F53741">
      <w:pPr>
        <w:tabs>
          <w:tab w:val="clear" w:pos="1134"/>
          <w:tab w:val="clear" w:pos="1871"/>
          <w:tab w:val="clear" w:pos="2268"/>
        </w:tabs>
        <w:overflowPunct/>
        <w:autoSpaceDE/>
        <w:autoSpaceDN/>
        <w:adjustRightInd/>
        <w:spacing w:before="0"/>
        <w:jc w:val="left"/>
        <w:textAlignment w:val="auto"/>
        <w:rPr>
          <w:b/>
          <w:color w:val="000000"/>
          <w:lang w:val="fr-FR"/>
        </w:rPr>
      </w:pPr>
      <w:r>
        <w:rPr>
          <w:color w:val="000000"/>
          <w:lang w:val="fr-FR"/>
        </w:rPr>
        <w:br w:type="page"/>
      </w:r>
    </w:p>
    <w:p w14:paraId="27E1F731" w14:textId="77777777" w:rsidR="00CC1169" w:rsidRPr="00277E7C" w:rsidRDefault="00CC1169" w:rsidP="00CC1169">
      <w:pPr>
        <w:pStyle w:val="Heading3"/>
        <w:rPr>
          <w:color w:val="000000"/>
          <w:lang w:val="fr-FR"/>
        </w:rPr>
      </w:pPr>
      <w:r w:rsidRPr="00277E7C">
        <w:rPr>
          <w:color w:val="000000"/>
          <w:lang w:val="fr-FR"/>
        </w:rPr>
        <w:lastRenderedPageBreak/>
        <w:t>2.2.1</w:t>
      </w:r>
      <w:r w:rsidRPr="00277E7C">
        <w:rPr>
          <w:color w:val="000000"/>
          <w:lang w:val="fr-FR"/>
        </w:rPr>
        <w:tab/>
        <w:t>Modification de la position orbitale de la station spatiale associée</w:t>
      </w:r>
    </w:p>
    <w:p w14:paraId="22D4DA0F" w14:textId="77777777" w:rsidR="00CC1169" w:rsidRPr="00277E7C" w:rsidRDefault="00CC1169" w:rsidP="00CC1169">
      <w:pPr>
        <w:rPr>
          <w:color w:val="000000"/>
          <w:lang w:val="fr-FR"/>
        </w:rPr>
      </w:pPr>
      <w:r w:rsidRPr="00277E7C">
        <w:rPr>
          <w:color w:val="000000"/>
          <w:lang w:val="fr-FR"/>
        </w:rPr>
        <w:t>La modification de la position orbitale de la station spatiale associée peut affecter d'autres réseaux à satellite et peut avoir conduit l'administration responsable de la station spatiale à appliquer une nouvelle fois la procédure de coordination. Le Bureau suppose que les stations terriennes ont été prises en compte dans la coordination de la modification et appliquera par conséquent les règles énoncées plus haut au § 2.1.</w:t>
      </w:r>
    </w:p>
    <w:p w14:paraId="5ABE4152" w14:textId="77777777" w:rsidR="00CC1169" w:rsidRPr="00277E7C" w:rsidRDefault="00CC1169" w:rsidP="00CC1169">
      <w:pPr>
        <w:pStyle w:val="Heading3"/>
        <w:rPr>
          <w:color w:val="000000"/>
          <w:lang w:val="fr-FR"/>
        </w:rPr>
      </w:pPr>
      <w:r w:rsidRPr="00277E7C">
        <w:rPr>
          <w:color w:val="000000"/>
          <w:lang w:val="fr-FR"/>
        </w:rPr>
        <w:t>2.2.2</w:t>
      </w:r>
      <w:r w:rsidRPr="00277E7C">
        <w:rPr>
          <w:color w:val="000000"/>
          <w:lang w:val="fr-FR"/>
        </w:rPr>
        <w:tab/>
        <w:t>Remplacement de la station spatiale associée</w:t>
      </w:r>
    </w:p>
    <w:p w14:paraId="4FDCD8C1" w14:textId="77777777" w:rsidR="00CC1169" w:rsidRPr="00277E7C" w:rsidRDefault="00CC1169" w:rsidP="000E7C11">
      <w:pPr>
        <w:rPr>
          <w:color w:val="000000"/>
          <w:lang w:val="fr-FR"/>
        </w:rPr>
      </w:pPr>
      <w:r w:rsidRPr="00277E7C">
        <w:rPr>
          <w:color w:val="000000"/>
          <w:lang w:val="fr-FR"/>
        </w:rPr>
        <w:t>Le Comité considère que le remplacement de la station spatiale associée entraîne la parti</w:t>
      </w:r>
      <w:r w:rsidRPr="00277E7C">
        <w:rPr>
          <w:color w:val="000000"/>
          <w:lang w:val="fr-FR"/>
        </w:rPr>
        <w:softHyphen/>
        <w:t xml:space="preserve">cipation de la station terrienne à un réseau différent. Par conséquent, la notification de la modification sera considérée comme une première notification, la fiche de notification sera modifiée et l'administration en sera informée. L'examen au titre du numéro </w:t>
      </w:r>
      <w:r w:rsidRPr="00277E7C">
        <w:rPr>
          <w:rStyle w:val="Artref0"/>
          <w:b/>
          <w:color w:val="000000"/>
          <w:lang w:val="fr-FR"/>
        </w:rPr>
        <w:t>11.32</w:t>
      </w:r>
      <w:r w:rsidRPr="00277E7C">
        <w:rPr>
          <w:color w:val="000000"/>
          <w:lang w:val="fr-FR"/>
        </w:rPr>
        <w:t xml:space="preserve"> en appli</w:t>
      </w:r>
      <w:r w:rsidRPr="00277E7C">
        <w:rPr>
          <w:color w:val="000000"/>
          <w:lang w:val="fr-FR"/>
        </w:rPr>
        <w:softHyphen/>
        <w:t>cation des numéros</w:t>
      </w:r>
      <w:r w:rsidR="000E7C11" w:rsidRPr="00277E7C">
        <w:rPr>
          <w:color w:val="000000"/>
          <w:lang w:val="fr-FR"/>
        </w:rPr>
        <w:t xml:space="preserve"> </w:t>
      </w:r>
      <w:r w:rsidRPr="00277E7C">
        <w:rPr>
          <w:rStyle w:val="Artref0"/>
          <w:b/>
          <w:color w:val="000000"/>
          <w:lang w:val="fr-FR"/>
        </w:rPr>
        <w:t>9.7</w:t>
      </w:r>
      <w:r w:rsidRPr="00277E7C">
        <w:rPr>
          <w:color w:val="000000"/>
          <w:lang w:val="fr-FR"/>
        </w:rPr>
        <w:t xml:space="preserve">, </w:t>
      </w:r>
      <w:r w:rsidRPr="00277E7C">
        <w:rPr>
          <w:rStyle w:val="Artref0"/>
          <w:b/>
          <w:color w:val="000000"/>
          <w:lang w:val="fr-FR"/>
        </w:rPr>
        <w:t>9.12, 9.12A</w:t>
      </w:r>
      <w:r w:rsidRPr="00277E7C">
        <w:rPr>
          <w:color w:val="000000"/>
          <w:lang w:val="fr-FR"/>
        </w:rPr>
        <w:t xml:space="preserve"> et </w:t>
      </w:r>
      <w:r w:rsidRPr="00277E7C">
        <w:rPr>
          <w:rStyle w:val="Artref0"/>
          <w:b/>
          <w:color w:val="000000"/>
          <w:lang w:val="fr-FR"/>
        </w:rPr>
        <w:t>9.13</w:t>
      </w:r>
      <w:r w:rsidRPr="00277E7C">
        <w:rPr>
          <w:color w:val="000000"/>
          <w:lang w:val="fr-FR"/>
        </w:rPr>
        <w:t>, selon le cas, sera effectué comme indiqué au § 2.1 ci</w:t>
      </w:r>
      <w:r w:rsidRPr="00277E7C">
        <w:rPr>
          <w:color w:val="000000"/>
          <w:lang w:val="fr-FR"/>
        </w:rPr>
        <w:noBreakHyphen/>
        <w:t>dessus.</w:t>
      </w:r>
    </w:p>
    <w:p w14:paraId="66744884" w14:textId="77777777" w:rsidR="00CC1169" w:rsidRPr="00277E7C" w:rsidRDefault="00CC1169" w:rsidP="00CC1169">
      <w:pPr>
        <w:pStyle w:val="Heading3"/>
        <w:rPr>
          <w:color w:val="000000"/>
          <w:lang w:val="fr-FR"/>
        </w:rPr>
      </w:pPr>
      <w:r w:rsidRPr="00277E7C">
        <w:rPr>
          <w:color w:val="000000"/>
          <w:lang w:val="fr-FR"/>
        </w:rPr>
        <w:t>2.2.3</w:t>
      </w:r>
      <w:r w:rsidRPr="00277E7C">
        <w:rPr>
          <w:color w:val="000000"/>
          <w:lang w:val="fr-FR"/>
        </w:rPr>
        <w:tab/>
        <w:t>Modification d'autres caractéristiques</w:t>
      </w:r>
    </w:p>
    <w:p w14:paraId="160ED915" w14:textId="77777777" w:rsidR="00CC1169" w:rsidRPr="00277E7C" w:rsidRDefault="00CC1169" w:rsidP="00CC1169">
      <w:pPr>
        <w:rPr>
          <w:color w:val="000000"/>
          <w:lang w:val="fr-FR"/>
        </w:rPr>
      </w:pPr>
      <w:r w:rsidRPr="00277E7C">
        <w:rPr>
          <w:color w:val="000000"/>
          <w:lang w:val="fr-FR"/>
        </w:rPr>
        <w:t>Le Comité considère que les caractéristiques modifiées des stations terriennes concernées ont également été prises en compte lors de la coordination de la station spatiale associée et appliquera en conséquence les Règles visées au § 2.1 ci</w:t>
      </w:r>
      <w:r w:rsidRPr="00277E7C">
        <w:rPr>
          <w:color w:val="000000"/>
          <w:lang w:val="fr-FR"/>
        </w:rPr>
        <w:noBreakHyphen/>
        <w:t>dessus.</w:t>
      </w:r>
    </w:p>
    <w:p w14:paraId="52AAA809" w14:textId="77777777" w:rsidR="00CC1169" w:rsidRPr="00277E7C" w:rsidRDefault="00CC1169" w:rsidP="00CC1169">
      <w:pPr>
        <w:pStyle w:val="Heading2"/>
        <w:rPr>
          <w:color w:val="000000"/>
          <w:lang w:val="fr-FR"/>
        </w:rPr>
      </w:pPr>
      <w:r w:rsidRPr="00277E7C">
        <w:rPr>
          <w:color w:val="000000"/>
          <w:lang w:val="fr-FR"/>
        </w:rPr>
        <w:t>2.3</w:t>
      </w:r>
      <w:r w:rsidRPr="00277E7C">
        <w:rPr>
          <w:color w:val="000000"/>
          <w:lang w:val="fr-FR"/>
        </w:rPr>
        <w:tab/>
        <w:t>Annulation de l'assignation à la station spatiale</w:t>
      </w:r>
    </w:p>
    <w:p w14:paraId="77FD3DF4" w14:textId="77777777" w:rsidR="00CC1169" w:rsidRDefault="00CC1169" w:rsidP="00CC1169">
      <w:pPr>
        <w:rPr>
          <w:color w:val="000000"/>
          <w:lang w:val="fr-FR"/>
        </w:rPr>
      </w:pPr>
      <w:r w:rsidRPr="00277E7C">
        <w:rPr>
          <w:color w:val="000000"/>
          <w:lang w:val="fr-FR"/>
        </w:rPr>
        <w:t>Si l'administration notificatrice annule l'assignation à la station spatiale, le Bureau examine la ou les station(s) terrienne(s) associée(s) à cette station et, conformément au numéro </w:t>
      </w:r>
      <w:r w:rsidRPr="00277E7C">
        <w:rPr>
          <w:rStyle w:val="Artref0"/>
          <w:b/>
          <w:color w:val="000000"/>
          <w:lang w:val="fr-FR"/>
        </w:rPr>
        <w:t>13.13</w:t>
      </w:r>
      <w:r w:rsidRPr="00277E7C">
        <w:rPr>
          <w:color w:val="000000"/>
          <w:lang w:val="fr-FR"/>
        </w:rPr>
        <w:t>, suggère à l'administration notificatrice d'annuler ou de modifier convenablement les caracté</w:t>
      </w:r>
      <w:r w:rsidRPr="00277E7C">
        <w:rPr>
          <w:color w:val="000000"/>
          <w:lang w:val="fr-FR"/>
        </w:rPr>
        <w:softHyphen/>
        <w:t>ristiques fondamentales de l'inscription.</w:t>
      </w:r>
    </w:p>
    <w:p w14:paraId="493EADEE" w14:textId="77777777" w:rsidR="00CC1169" w:rsidRPr="00277E7C" w:rsidRDefault="00CC1169" w:rsidP="002641D0">
      <w:pPr>
        <w:pStyle w:val="Heading1"/>
        <w:spacing w:before="520"/>
        <w:rPr>
          <w:lang w:val="fr-FR"/>
        </w:rPr>
      </w:pPr>
      <w:r w:rsidRPr="00277E7C">
        <w:rPr>
          <w:lang w:val="fr-FR"/>
        </w:rPr>
        <w:t>3</w:t>
      </w:r>
      <w:r w:rsidRPr="00277E7C">
        <w:rPr>
          <w:lang w:val="fr-FR"/>
        </w:rPr>
        <w:tab/>
        <w:t>Examen d'une assignation de fréquence à une station terrienne en application des numéros </w:t>
      </w:r>
      <w:r w:rsidRPr="00277E7C">
        <w:rPr>
          <w:rStyle w:val="Artref0"/>
          <w:color w:val="000000"/>
          <w:lang w:val="fr-FR"/>
        </w:rPr>
        <w:t>9.15</w:t>
      </w:r>
      <w:r w:rsidRPr="00277E7C">
        <w:rPr>
          <w:lang w:val="fr-FR"/>
        </w:rPr>
        <w:t xml:space="preserve">, </w:t>
      </w:r>
      <w:r w:rsidRPr="00277E7C">
        <w:rPr>
          <w:rStyle w:val="Artref0"/>
          <w:color w:val="000000"/>
          <w:lang w:val="fr-FR"/>
        </w:rPr>
        <w:t>9.17</w:t>
      </w:r>
      <w:r w:rsidRPr="00277E7C">
        <w:rPr>
          <w:lang w:val="fr-FR"/>
        </w:rPr>
        <w:t xml:space="preserve">, </w:t>
      </w:r>
      <w:r w:rsidRPr="00277E7C">
        <w:rPr>
          <w:rStyle w:val="Artref0"/>
          <w:color w:val="000000"/>
          <w:lang w:val="fr-FR"/>
        </w:rPr>
        <w:t>9.17A</w:t>
      </w:r>
      <w:r w:rsidRPr="00277E7C">
        <w:rPr>
          <w:lang w:val="fr-FR"/>
        </w:rPr>
        <w:t xml:space="preserve"> et </w:t>
      </w:r>
      <w:r w:rsidRPr="00277E7C">
        <w:rPr>
          <w:rStyle w:val="Artref0"/>
          <w:color w:val="000000"/>
          <w:lang w:val="fr-FR"/>
        </w:rPr>
        <w:t>9.19</w:t>
      </w:r>
    </w:p>
    <w:p w14:paraId="04A359B5" w14:textId="77777777" w:rsidR="00CC1169" w:rsidRPr="00277E7C" w:rsidRDefault="00CC1169" w:rsidP="000E7C11">
      <w:pPr>
        <w:rPr>
          <w:u w:val="single"/>
          <w:lang w:val="fr-FR"/>
        </w:rPr>
      </w:pPr>
      <w:r w:rsidRPr="00277E7C">
        <w:rPr>
          <w:lang w:val="fr-FR"/>
        </w:rPr>
        <w:t>Voir les § 3.1 et 3.2 des commentaires concernant les Règles de procédure relatives au numéro </w:t>
      </w:r>
      <w:r w:rsidRPr="00277E7C">
        <w:rPr>
          <w:rStyle w:val="Artref0"/>
          <w:b/>
          <w:color w:val="000000"/>
          <w:lang w:val="fr-FR"/>
        </w:rPr>
        <w:t>9.27</w:t>
      </w:r>
      <w:r w:rsidRPr="00277E7C">
        <w:rPr>
          <w:lang w:val="fr-FR"/>
        </w:rPr>
        <w:t>.</w:t>
      </w:r>
    </w:p>
    <w:p w14:paraId="09B52ADB" w14:textId="77777777" w:rsidR="002641D0" w:rsidRDefault="002641D0">
      <w:pPr>
        <w:tabs>
          <w:tab w:val="clear" w:pos="1134"/>
          <w:tab w:val="clear" w:pos="1871"/>
          <w:tab w:val="clear" w:pos="2268"/>
        </w:tabs>
        <w:overflowPunct/>
        <w:autoSpaceDE/>
        <w:autoSpaceDN/>
        <w:adjustRightInd/>
        <w:spacing w:before="0"/>
        <w:jc w:val="left"/>
        <w:textAlignment w:val="auto"/>
        <w:rPr>
          <w:b/>
          <w:sz w:val="28"/>
          <w:lang w:val="fr-FR"/>
        </w:rPr>
      </w:pPr>
      <w:r>
        <w:rPr>
          <w:lang w:val="fr-FR"/>
        </w:rPr>
        <w:br w:type="page"/>
      </w:r>
    </w:p>
    <w:p w14:paraId="0639CC95" w14:textId="77777777" w:rsidR="00CC1169" w:rsidRPr="00277E7C" w:rsidRDefault="00CC1169" w:rsidP="000E7C11">
      <w:pPr>
        <w:pStyle w:val="Heading1"/>
        <w:spacing w:before="520"/>
        <w:rPr>
          <w:lang w:val="fr-FR"/>
        </w:rPr>
      </w:pPr>
      <w:r w:rsidRPr="00277E7C">
        <w:rPr>
          <w:lang w:val="fr-FR"/>
        </w:rPr>
        <w:lastRenderedPageBreak/>
        <w:t>4</w:t>
      </w:r>
      <w:r w:rsidRPr="00277E7C">
        <w:rPr>
          <w:lang w:val="fr-FR"/>
        </w:rPr>
        <w:tab/>
        <w:t>Examen des fiches de notification d'assignation de fréquence à des stations des services de Terre dans les bandes partagées avec égalité des droits avec des services spatiaux</w:t>
      </w:r>
    </w:p>
    <w:p w14:paraId="726A2C5E" w14:textId="77777777" w:rsidR="00CC1169" w:rsidRPr="00277E7C" w:rsidRDefault="00CC1169" w:rsidP="000E7C11">
      <w:pPr>
        <w:rPr>
          <w:lang w:val="fr-FR"/>
        </w:rPr>
      </w:pPr>
      <w:r w:rsidRPr="00277E7C">
        <w:rPr>
          <w:lang w:val="fr-FR"/>
        </w:rPr>
        <w:t>4.1</w:t>
      </w:r>
      <w:r w:rsidRPr="00277E7C">
        <w:rPr>
          <w:lang w:val="fr-FR"/>
        </w:rPr>
        <w:tab/>
        <w:t>Lorsqu'il examine une fiche de notification d'assignation de fréquence à une station d'un service de Terre dans les bandes partagées avec égalité des droits avec des services spatiaux du point de vue de sa conformité avec les procédures relatives à la coor</w:t>
      </w:r>
      <w:r w:rsidRPr="00277E7C">
        <w:rPr>
          <w:lang w:val="fr-FR"/>
        </w:rPr>
        <w:softHyphen/>
        <w:t>dination vis-à-vis des stations terriennes d'autres administrations, le Bureau tient compte des stations terriennes inscrites dans le Fichier de référence. A cette fin, le Bureau utilise le contour de coordination associé à la station terrienne correspondante et calculé selon la méthode et avec les paramètres en vigueur au moment où la station terrienne a été notifiée.</w:t>
      </w:r>
    </w:p>
    <w:p w14:paraId="6E3513D9" w14:textId="186BDDFD" w:rsidR="00CC1169" w:rsidRPr="00277E7C" w:rsidRDefault="00CC1169" w:rsidP="00D20D54">
      <w:pPr>
        <w:rPr>
          <w:lang w:val="fr-FR"/>
        </w:rPr>
      </w:pPr>
      <w:r w:rsidRPr="00277E7C">
        <w:rPr>
          <w:lang w:val="fr-FR"/>
        </w:rPr>
        <w:t>Si, dans un délai de trois ans à compter de la date de notification</w:t>
      </w:r>
      <w:r w:rsidR="00750D80">
        <w:rPr>
          <w:rStyle w:val="FootnoteReference"/>
          <w:lang w:val="fr-FR"/>
        </w:rPr>
        <w:footnoteReference w:customMarkFollows="1" w:id="10"/>
        <w:t>10</w:t>
      </w:r>
      <w:r w:rsidRPr="00277E7C">
        <w:rPr>
          <w:lang w:val="fr-FR"/>
        </w:rPr>
        <w:t xml:space="preserve"> de la station de Terre, le Bureau reçoit une observation d'une autre administration selon laquelle l'assignation en question a été prise en compte dans la procédure de coordination engagée par cette même administration conformément au numéro </w:t>
      </w:r>
      <w:r w:rsidRPr="00277E7C">
        <w:rPr>
          <w:rStyle w:val="Artref0"/>
          <w:b/>
          <w:color w:val="000000"/>
          <w:lang w:val="fr-FR"/>
        </w:rPr>
        <w:t>9.29</w:t>
      </w:r>
      <w:r w:rsidRPr="00277E7C">
        <w:rPr>
          <w:lang w:val="fr-FR"/>
        </w:rPr>
        <w:t xml:space="preserve"> pour la coordination de sa ou de ses stations terriennes au titre du numéro </w:t>
      </w:r>
      <w:r w:rsidRPr="00277E7C">
        <w:rPr>
          <w:rStyle w:val="Artref0"/>
          <w:b/>
          <w:color w:val="000000"/>
          <w:lang w:val="fr-FR"/>
        </w:rPr>
        <w:t>9.15</w:t>
      </w:r>
      <w:r w:rsidRPr="00277E7C">
        <w:rPr>
          <w:lang w:val="fr-FR"/>
        </w:rPr>
        <w:t xml:space="preserve"> ou </w:t>
      </w:r>
      <w:r w:rsidRPr="00277E7C">
        <w:rPr>
          <w:rStyle w:val="Artref0"/>
          <w:b/>
          <w:color w:val="000000"/>
          <w:lang w:val="fr-FR"/>
        </w:rPr>
        <w:t>9.17</w:t>
      </w:r>
      <w:r w:rsidRPr="00277E7C">
        <w:rPr>
          <w:lang w:val="fr-FR"/>
        </w:rPr>
        <w:t>, mais n'a pas été acceptée ou l'a été avec des caractéristiques techniques différentes, le Bureau examinera la situation conformément aux dispositions pertinentes de l'Article </w:t>
      </w:r>
      <w:r w:rsidRPr="00277E7C">
        <w:rPr>
          <w:rStyle w:val="Artref0"/>
          <w:b/>
          <w:color w:val="000000"/>
          <w:lang w:val="fr-FR"/>
        </w:rPr>
        <w:t>14</w:t>
      </w:r>
      <w:r w:rsidRPr="00277E7C">
        <w:rPr>
          <w:lang w:val="fr-FR"/>
        </w:rPr>
        <w:t xml:space="preserve"> et agira en conséquence.</w:t>
      </w:r>
    </w:p>
    <w:p w14:paraId="054755DC" w14:textId="77777777" w:rsidR="00CC1169" w:rsidRPr="00277E7C" w:rsidRDefault="00CC1169" w:rsidP="000E7C11">
      <w:pPr>
        <w:pStyle w:val="Heading1"/>
        <w:spacing w:before="520"/>
        <w:rPr>
          <w:lang w:val="fr-FR"/>
        </w:rPr>
      </w:pPr>
      <w:r w:rsidRPr="00277E7C">
        <w:rPr>
          <w:lang w:val="fr-FR"/>
        </w:rPr>
        <w:t>5</w:t>
      </w:r>
      <w:r w:rsidRPr="00277E7C">
        <w:rPr>
          <w:lang w:val="fr-FR"/>
        </w:rPr>
        <w:tab/>
        <w:t>Examen des fiches de notification d'assignation de fréquence à des stations terriennes fonctionnant dans le sens de transmission opposé</w:t>
      </w:r>
    </w:p>
    <w:p w14:paraId="1CB58D4D" w14:textId="77777777" w:rsidR="00CC1169" w:rsidRPr="00277E7C" w:rsidRDefault="00CC1169" w:rsidP="000E7C11">
      <w:pPr>
        <w:rPr>
          <w:lang w:val="fr-FR"/>
        </w:rPr>
      </w:pPr>
      <w:r w:rsidRPr="00277E7C">
        <w:rPr>
          <w:lang w:val="fr-FR"/>
        </w:rPr>
        <w:t>5.1</w:t>
      </w:r>
      <w:r w:rsidRPr="00277E7C">
        <w:rPr>
          <w:lang w:val="fr-FR"/>
        </w:rPr>
        <w:tab/>
        <w:t>Lorsqu'il examine une fiche de notification d'assignation de fréquence à une station terrienne fonctionnant dans le sens de transmission opposé du point de vue de sa conformité avec les procédures relatives à la coordination vis-à-vis des stations terriennes d'autres administrations, le Bureau tient compte des stations terriennes inscrites dans le Fichier de référence.</w:t>
      </w:r>
    </w:p>
    <w:p w14:paraId="7BFA752C" w14:textId="5CC07FB4" w:rsidR="000E7C11" w:rsidRPr="00277E7C" w:rsidRDefault="00CC1169" w:rsidP="00E358BE">
      <w:pPr>
        <w:rPr>
          <w:sz w:val="12"/>
          <w:szCs w:val="12"/>
          <w:lang w:val="fr-FR"/>
        </w:rPr>
      </w:pPr>
      <w:r w:rsidRPr="00277E7C">
        <w:rPr>
          <w:lang w:val="fr-FR"/>
        </w:rPr>
        <w:t>Si, dans un délai de trois ans à compter de la date de notification</w:t>
      </w:r>
      <w:r w:rsidR="00CF3D45">
        <w:rPr>
          <w:position w:val="6"/>
          <w:sz w:val="20"/>
          <w:lang w:val="fr-FR"/>
        </w:rPr>
        <w:t>10</w:t>
      </w:r>
      <w:r w:rsidRPr="00277E7C">
        <w:rPr>
          <w:lang w:val="fr-FR"/>
        </w:rPr>
        <w:t xml:space="preserve"> de la station terrienne fonctionnant dans le sens de transmission opposé, le Bureau reçoit une observation d'une autre administration selon laquelle l'assignation en question a été prise en compte dans une procé</w:t>
      </w:r>
      <w:r w:rsidRPr="00277E7C">
        <w:rPr>
          <w:lang w:val="fr-FR"/>
        </w:rPr>
        <w:softHyphen/>
        <w:t>dure de coordination engagée par cette même administration conformément au numéro </w:t>
      </w:r>
      <w:r w:rsidRPr="00277E7C">
        <w:rPr>
          <w:rStyle w:val="Artref0"/>
          <w:b/>
          <w:color w:val="000000"/>
          <w:lang w:val="fr-FR"/>
        </w:rPr>
        <w:t>9.29</w:t>
      </w:r>
      <w:r w:rsidRPr="00277E7C">
        <w:rPr>
          <w:lang w:val="fr-FR"/>
        </w:rPr>
        <w:t xml:space="preserve"> pour que ce qui est de la coordination de sa ou de ses stations terriennes au titre du numéro </w:t>
      </w:r>
      <w:r w:rsidRPr="00277E7C">
        <w:rPr>
          <w:rStyle w:val="Artref0"/>
          <w:b/>
          <w:color w:val="000000"/>
          <w:lang w:val="fr-FR"/>
        </w:rPr>
        <w:t>9.17A</w:t>
      </w:r>
      <w:r w:rsidRPr="00277E7C">
        <w:rPr>
          <w:lang w:val="fr-FR"/>
        </w:rPr>
        <w:t>, mais n'a pas été acceptée ou l'a été avec des caractéristiques techniques différentes, le Bureau examinera la situation conformément aux dispositions pertinentes de l'Article </w:t>
      </w:r>
      <w:r w:rsidRPr="00277E7C">
        <w:rPr>
          <w:rStyle w:val="Artref0"/>
          <w:b/>
          <w:color w:val="000000"/>
          <w:lang w:val="fr-FR"/>
        </w:rPr>
        <w:t>14</w:t>
      </w:r>
      <w:r w:rsidRPr="00277E7C">
        <w:rPr>
          <w:lang w:val="fr-FR"/>
        </w:rPr>
        <w:t xml:space="preserve"> et agira en conséquence.</w:t>
      </w:r>
    </w:p>
    <w:p w14:paraId="526E0DA6" w14:textId="77777777" w:rsidR="002641D0" w:rsidRDefault="002641D0">
      <w:pPr>
        <w:tabs>
          <w:tab w:val="clear" w:pos="1134"/>
          <w:tab w:val="clear" w:pos="1871"/>
          <w:tab w:val="clear" w:pos="2268"/>
        </w:tabs>
        <w:overflowPunct/>
        <w:autoSpaceDE/>
        <w:autoSpaceDN/>
        <w:adjustRightInd/>
        <w:spacing w:before="0"/>
        <w:jc w:val="left"/>
        <w:textAlignment w:val="auto"/>
        <w:rPr>
          <w:b/>
          <w:sz w:val="28"/>
          <w:lang w:val="fr-FR"/>
        </w:rPr>
      </w:pPr>
      <w:r>
        <w:rPr>
          <w:lang w:val="fr-FR"/>
        </w:rPr>
        <w:br w:type="page"/>
      </w:r>
    </w:p>
    <w:p w14:paraId="630E6C19" w14:textId="77777777" w:rsidR="00CC1169" w:rsidRPr="00277E7C" w:rsidRDefault="00CC1169" w:rsidP="00430025">
      <w:pPr>
        <w:pStyle w:val="Heading1"/>
        <w:spacing w:before="0"/>
        <w:rPr>
          <w:lang w:val="fr-FR"/>
        </w:rPr>
      </w:pPr>
      <w:r w:rsidRPr="00277E7C">
        <w:rPr>
          <w:lang w:val="fr-FR"/>
        </w:rPr>
        <w:lastRenderedPageBreak/>
        <w:t>6</w:t>
      </w:r>
      <w:r w:rsidRPr="00277E7C">
        <w:rPr>
          <w:lang w:val="fr-FR"/>
        </w:rPr>
        <w:tab/>
        <w:t>Examen des assignations de fréquence à une liaison inter-satellites entre une station spatiale géostationnaire et une station spatiale non géostationnaire</w:t>
      </w:r>
    </w:p>
    <w:p w14:paraId="3B55F045" w14:textId="77777777" w:rsidR="00CC1169" w:rsidRPr="00277E7C" w:rsidRDefault="00CC1169" w:rsidP="00B17B6F">
      <w:pPr>
        <w:spacing w:before="80"/>
        <w:rPr>
          <w:lang w:val="fr-FR"/>
        </w:rPr>
      </w:pPr>
      <w:r w:rsidRPr="00277E7C">
        <w:rPr>
          <w:lang w:val="fr-FR"/>
        </w:rPr>
        <w:t>6.1</w:t>
      </w:r>
      <w:r w:rsidRPr="00277E7C">
        <w:rPr>
          <w:lang w:val="fr-FR"/>
        </w:rPr>
        <w:tab/>
        <w:t xml:space="preserve">Le Comité a noté la nature spécifique des liaisons inter-satellites dont une extrémité est située sur une station spatiale OSG et l'autre extrémité sur une station spatiale non OSG. Au titre de l'Article </w:t>
      </w:r>
      <w:r w:rsidRPr="00277E7C">
        <w:rPr>
          <w:rStyle w:val="Artref0"/>
          <w:b/>
          <w:bCs/>
          <w:color w:val="000000"/>
          <w:lang w:val="fr-FR"/>
        </w:rPr>
        <w:t>9</w:t>
      </w:r>
      <w:r w:rsidRPr="00277E7C">
        <w:rPr>
          <w:lang w:val="fr-FR"/>
        </w:rPr>
        <w:t xml:space="preserve"> (numéro </w:t>
      </w:r>
      <w:r w:rsidRPr="00277E7C">
        <w:rPr>
          <w:rStyle w:val="Artref0"/>
          <w:b/>
          <w:bCs/>
          <w:color w:val="000000"/>
          <w:lang w:val="fr-FR"/>
        </w:rPr>
        <w:t>9.7</w:t>
      </w:r>
      <w:r w:rsidRPr="00277E7C">
        <w:rPr>
          <w:lang w:val="fr-FR"/>
        </w:rPr>
        <w:t xml:space="preserve">) du Règlement des radiocommunications, il faut effectuer la coordination pour les assignations de fréquence de réseaux OSG, mais cette obligation n'existe pas pour les assignations de réseaux non OSG. On ne sait donc pas si la coordination au titre de la Section II de l'Article </w:t>
      </w:r>
      <w:r w:rsidRPr="00277E7C">
        <w:rPr>
          <w:rStyle w:val="Artref0"/>
          <w:b/>
          <w:bCs/>
          <w:color w:val="000000"/>
          <w:lang w:val="fr-FR"/>
        </w:rPr>
        <w:t>9</w:t>
      </w:r>
      <w:r w:rsidRPr="00277E7C">
        <w:rPr>
          <w:lang w:val="fr-FR"/>
        </w:rPr>
        <w:t xml:space="preserve"> s'applique:</w:t>
      </w:r>
    </w:p>
    <w:p w14:paraId="6AEF6433" w14:textId="77777777" w:rsidR="00CC1169" w:rsidRPr="00277E7C" w:rsidRDefault="00CC1169" w:rsidP="00B17B6F">
      <w:pPr>
        <w:pStyle w:val="enumlev1"/>
        <w:spacing w:before="0"/>
        <w:rPr>
          <w:lang w:val="fr-FR"/>
        </w:rPr>
      </w:pPr>
      <w:r w:rsidRPr="00277E7C">
        <w:rPr>
          <w:i/>
          <w:iCs/>
          <w:lang w:val="fr-FR"/>
        </w:rPr>
        <w:t>a)</w:t>
      </w:r>
      <w:r w:rsidRPr="00277E7C">
        <w:rPr>
          <w:lang w:val="fr-FR"/>
        </w:rPr>
        <w:tab/>
        <w:t>aux deux extrémités de la liaison inter-satellites, c'est</w:t>
      </w:r>
      <w:r w:rsidRPr="00277E7C">
        <w:rPr>
          <w:lang w:val="fr-FR"/>
        </w:rPr>
        <w:noBreakHyphen/>
        <w:t>à</w:t>
      </w:r>
      <w:r w:rsidRPr="00277E7C">
        <w:rPr>
          <w:lang w:val="fr-FR"/>
        </w:rPr>
        <w:noBreakHyphen/>
        <w:t>dire à la station spatiale OSG ainsi qu'à la station spatiale non OSG de la liaison, la coordination portant alors sur l'inté</w:t>
      </w:r>
      <w:r w:rsidR="000E7C11" w:rsidRPr="00277E7C">
        <w:rPr>
          <w:lang w:val="fr-FR"/>
        </w:rPr>
        <w:softHyphen/>
      </w:r>
      <w:r w:rsidRPr="00277E7C">
        <w:rPr>
          <w:lang w:val="fr-FR"/>
        </w:rPr>
        <w:t>gralité de la liaison (comme c'est le cas dans toutes les autres formes de coordination);</w:t>
      </w:r>
      <w:r w:rsidR="000E7C11" w:rsidRPr="00277E7C">
        <w:rPr>
          <w:lang w:val="fr-FR"/>
        </w:rPr>
        <w:t> </w:t>
      </w:r>
      <w:r w:rsidRPr="00277E7C">
        <w:rPr>
          <w:lang w:val="fr-FR"/>
        </w:rPr>
        <w:t>ou</w:t>
      </w:r>
    </w:p>
    <w:p w14:paraId="7CE3F042" w14:textId="77777777" w:rsidR="00CC1169" w:rsidRPr="00277E7C" w:rsidRDefault="00CC1169" w:rsidP="00B17B6F">
      <w:pPr>
        <w:pStyle w:val="enumlev1"/>
        <w:spacing w:before="0"/>
        <w:rPr>
          <w:lang w:val="fr-FR"/>
        </w:rPr>
      </w:pPr>
      <w:r w:rsidRPr="00277E7C">
        <w:rPr>
          <w:i/>
          <w:iCs/>
          <w:lang w:val="fr-FR"/>
        </w:rPr>
        <w:t>b)</w:t>
      </w:r>
      <w:r w:rsidRPr="00277E7C">
        <w:rPr>
          <w:lang w:val="fr-FR"/>
        </w:rPr>
        <w:tab/>
        <w:t>uniquement à la station OSG de la liaison inter-satellites, l'autre extrémité de la liaison n'étant pas coordonnée; ou</w:t>
      </w:r>
    </w:p>
    <w:p w14:paraId="4F851E5E" w14:textId="77777777" w:rsidR="00CC1169" w:rsidRPr="00277E7C" w:rsidRDefault="00CC1169" w:rsidP="00B17B6F">
      <w:pPr>
        <w:pStyle w:val="enumlev1"/>
        <w:spacing w:before="0"/>
        <w:rPr>
          <w:lang w:val="fr-FR"/>
        </w:rPr>
      </w:pPr>
      <w:r w:rsidRPr="00277E7C">
        <w:rPr>
          <w:i/>
          <w:iCs/>
          <w:lang w:val="fr-FR"/>
        </w:rPr>
        <w:t>c)</w:t>
      </w:r>
      <w:r w:rsidRPr="00277E7C">
        <w:rPr>
          <w:lang w:val="fr-FR"/>
        </w:rPr>
        <w:tab/>
        <w:t>à aucune des stations de la liaison inter-satellites, la totalité de la liaison inter-satellites n'étant alors pas coordonnée (comme c'est le cas lorsque la coordination ne s'applique pas, par exemple à des réseaux non</w:t>
      </w:r>
      <w:r w:rsidR="000E7C11" w:rsidRPr="00277E7C">
        <w:rPr>
          <w:lang w:val="fr-FR"/>
        </w:rPr>
        <w:t> </w:t>
      </w:r>
      <w:r w:rsidRPr="00277E7C">
        <w:rPr>
          <w:lang w:val="fr-FR"/>
        </w:rPr>
        <w:t>OSG).</w:t>
      </w:r>
    </w:p>
    <w:p w14:paraId="40EAE8DF" w14:textId="77777777" w:rsidR="00CC1169" w:rsidRPr="00277E7C" w:rsidRDefault="00CC1169" w:rsidP="00B17B6F">
      <w:pPr>
        <w:spacing w:before="80"/>
        <w:rPr>
          <w:lang w:val="fr-FR"/>
        </w:rPr>
      </w:pPr>
      <w:r w:rsidRPr="00277E7C">
        <w:rPr>
          <w:lang w:val="fr-FR"/>
        </w:rPr>
        <w:t>6.2</w:t>
      </w:r>
      <w:r w:rsidRPr="00277E7C">
        <w:rPr>
          <w:lang w:val="fr-FR"/>
        </w:rPr>
        <w:tab/>
        <w:t>Cela étant, le Comité a décidé que jusqu'à ce qu'une CMR apporte des précisions sur cette question, les assignations des liaisons inter-satellites entre stations spatiales OSG et non OSG doivent être traitées de la façon suivante:</w:t>
      </w:r>
    </w:p>
    <w:p w14:paraId="0EF47BFF" w14:textId="77777777" w:rsidR="00CC1169" w:rsidRPr="00277E7C" w:rsidRDefault="00CC1169" w:rsidP="00B17B6F">
      <w:pPr>
        <w:pStyle w:val="enumlev1"/>
        <w:spacing w:before="0"/>
        <w:ind w:left="0" w:firstLine="0"/>
        <w:rPr>
          <w:lang w:val="fr-FR"/>
        </w:rPr>
      </w:pPr>
      <w:r w:rsidRPr="00277E7C">
        <w:rPr>
          <w:lang w:val="fr-FR"/>
        </w:rPr>
        <w:t>6.2.1</w:t>
      </w:r>
      <w:r w:rsidRPr="00277E7C">
        <w:rPr>
          <w:lang w:val="fr-FR"/>
        </w:rPr>
        <w:tab/>
        <w:t>La description générale de la liaison inter-satellites doit être envoyée au Bureau pour publication anticipée conformément aux dispositions de la Sous-section</w:t>
      </w:r>
      <w:r w:rsidR="000E7C11" w:rsidRPr="00277E7C">
        <w:rPr>
          <w:lang w:val="fr-FR"/>
        </w:rPr>
        <w:t> </w:t>
      </w:r>
      <w:r w:rsidRPr="00277E7C">
        <w:rPr>
          <w:lang w:val="fr-FR"/>
        </w:rPr>
        <w:t>IA de l'Article </w:t>
      </w:r>
      <w:r w:rsidRPr="00277E7C">
        <w:rPr>
          <w:rStyle w:val="Artref0"/>
          <w:b/>
          <w:bCs/>
          <w:color w:val="000000"/>
          <w:lang w:val="fr-FR"/>
        </w:rPr>
        <w:t>9</w:t>
      </w:r>
      <w:r w:rsidRPr="00277E7C">
        <w:rPr>
          <w:lang w:val="fr-FR"/>
        </w:rPr>
        <w:t>.</w:t>
      </w:r>
    </w:p>
    <w:p w14:paraId="544595F7" w14:textId="77777777" w:rsidR="00CC1169" w:rsidRPr="00277E7C" w:rsidRDefault="00CC1169" w:rsidP="00B17B6F">
      <w:pPr>
        <w:pStyle w:val="enumlev1"/>
        <w:spacing w:before="0"/>
        <w:ind w:left="0" w:firstLine="0"/>
        <w:rPr>
          <w:lang w:val="fr-FR"/>
        </w:rPr>
      </w:pPr>
      <w:r w:rsidRPr="00277E7C">
        <w:rPr>
          <w:lang w:val="fr-FR"/>
        </w:rPr>
        <w:t>6.2.2</w:t>
      </w:r>
      <w:r w:rsidRPr="00277E7C">
        <w:rPr>
          <w:lang w:val="fr-FR"/>
        </w:rPr>
        <w:tab/>
        <w:t>A titre provisoire, ces assignations ne doivent pas être considérées comme faisant l'objet de la procédure de coordination au titre de la Section II de l'Article </w:t>
      </w:r>
      <w:r w:rsidRPr="00277E7C">
        <w:rPr>
          <w:rStyle w:val="Artref0"/>
          <w:b/>
          <w:bCs/>
          <w:color w:val="000000"/>
          <w:lang w:val="fr-FR"/>
        </w:rPr>
        <w:t>9</w:t>
      </w:r>
      <w:r w:rsidRPr="00277E7C">
        <w:rPr>
          <w:lang w:val="fr-FR"/>
        </w:rPr>
        <w:t>.</w:t>
      </w:r>
    </w:p>
    <w:p w14:paraId="0C9704A4" w14:textId="77777777" w:rsidR="00CC1169" w:rsidRPr="00277E7C" w:rsidRDefault="00CC1169" w:rsidP="00B17B6F">
      <w:pPr>
        <w:pStyle w:val="enumlev1"/>
        <w:spacing w:before="0"/>
        <w:ind w:left="0" w:firstLine="0"/>
        <w:rPr>
          <w:lang w:val="fr-FR"/>
        </w:rPr>
      </w:pPr>
      <w:r w:rsidRPr="00277E7C">
        <w:rPr>
          <w:lang w:val="fr-FR"/>
        </w:rPr>
        <w:t>6.2.3</w:t>
      </w:r>
      <w:r w:rsidRPr="00277E7C">
        <w:rPr>
          <w:lang w:val="fr-FR"/>
        </w:rPr>
        <w:tab/>
        <w:t>Au stade de la notification, aucune conclusion ne doit être formulée au titre du numéro </w:t>
      </w:r>
      <w:r w:rsidRPr="00277E7C">
        <w:rPr>
          <w:rStyle w:val="Artref0"/>
          <w:b/>
          <w:bCs/>
          <w:color w:val="000000"/>
          <w:lang w:val="fr-FR"/>
        </w:rPr>
        <w:t>11.32</w:t>
      </w:r>
      <w:r w:rsidRPr="00277E7C">
        <w:rPr>
          <w:lang w:val="fr-FR"/>
        </w:rPr>
        <w:t xml:space="preserve"> (Colonne 13A2) et le symbole «K» doit être inscrit dans la Colonne 13B2, accompagné du texte suivant:</w:t>
      </w:r>
    </w:p>
    <w:p w14:paraId="1899CE3D" w14:textId="77777777" w:rsidR="00CC1169" w:rsidRPr="00277E7C" w:rsidRDefault="00CC1169" w:rsidP="00B17B6F">
      <w:pPr>
        <w:spacing w:before="0"/>
        <w:rPr>
          <w:color w:val="000000"/>
          <w:lang w:val="fr-FR"/>
        </w:rPr>
      </w:pPr>
      <w:r w:rsidRPr="00277E7C">
        <w:rPr>
          <w:color w:val="000000"/>
          <w:lang w:val="fr-FR"/>
        </w:rPr>
        <w:t>«K»:</w:t>
      </w:r>
      <w:r w:rsidRPr="00277E7C">
        <w:rPr>
          <w:color w:val="000000"/>
          <w:lang w:val="fr-FR"/>
        </w:rPr>
        <w:tab/>
        <w:t>cette assignation de fréquence à une liaison inter-satellites entre une station spatiale géostationnaire et une station spatiale non géostationnaire n'est pas prise en consi</w:t>
      </w:r>
      <w:r w:rsidRPr="00277E7C">
        <w:rPr>
          <w:color w:val="000000"/>
          <w:lang w:val="fr-FR"/>
        </w:rPr>
        <w:softHyphen/>
        <w:t>dération par le Bureau dans l'examen au titre du numéro </w:t>
      </w:r>
      <w:r w:rsidRPr="00277E7C">
        <w:rPr>
          <w:rStyle w:val="Artref0"/>
          <w:b/>
          <w:bCs/>
          <w:color w:val="000000"/>
          <w:lang w:val="fr-FR"/>
        </w:rPr>
        <w:t>11.32</w:t>
      </w:r>
      <w:r w:rsidRPr="00277E7C">
        <w:rPr>
          <w:color w:val="000000"/>
          <w:lang w:val="fr-FR"/>
        </w:rPr>
        <w:t>.</w:t>
      </w:r>
    </w:p>
    <w:p w14:paraId="5F89B8A6" w14:textId="77777777" w:rsidR="00CC1169" w:rsidRPr="00277E7C" w:rsidRDefault="00CC1169" w:rsidP="00B17B6F">
      <w:pPr>
        <w:spacing w:before="80"/>
        <w:rPr>
          <w:lang w:val="fr-FR"/>
        </w:rPr>
      </w:pPr>
      <w:r w:rsidRPr="00277E7C">
        <w:rPr>
          <w:lang w:val="fr-FR"/>
        </w:rPr>
        <w:t>6.</w:t>
      </w:r>
      <w:r w:rsidR="00D86018">
        <w:rPr>
          <w:lang w:val="fr-FR"/>
        </w:rPr>
        <w:t>3</w:t>
      </w:r>
      <w:r w:rsidRPr="00277E7C">
        <w:rPr>
          <w:lang w:val="fr-FR"/>
        </w:rPr>
        <w:tab/>
        <w:t>Les cas déjà inscrits dans le Fichier de référence par le Bureau ne doivent pas être réexaminés au titre de cette Règle.</w:t>
      </w:r>
    </w:p>
    <w:p w14:paraId="417DA4E0" w14:textId="77777777" w:rsidR="00CC1169" w:rsidRPr="00711CFC" w:rsidRDefault="00CC1169" w:rsidP="00B17B6F">
      <w:pPr>
        <w:spacing w:before="80"/>
        <w:rPr>
          <w:rStyle w:val="FootnoteReference"/>
          <w:lang w:val="fr-CH"/>
        </w:rPr>
      </w:pPr>
      <w:r w:rsidRPr="00277E7C">
        <w:rPr>
          <w:color w:val="000000"/>
          <w:lang w:val="fr-FR"/>
        </w:rPr>
        <w:t>6.</w:t>
      </w:r>
      <w:r w:rsidR="00D86018">
        <w:rPr>
          <w:color w:val="000000"/>
          <w:lang w:val="fr-FR"/>
        </w:rPr>
        <w:t>4</w:t>
      </w:r>
      <w:r w:rsidRPr="00277E7C">
        <w:rPr>
          <w:color w:val="000000"/>
          <w:lang w:val="fr-FR"/>
        </w:rPr>
        <w:tab/>
        <w:t>Cette Règle s'applique aux liaisons entre satellites OSG et non OSG dans toutes les bandes de fréquences attribuées au service inter-satellites ainsi qu'à d'autres services spatiaux dans le sens espace-espace, à l'exception des cas où la nécessité d'une coordination est expressément indiquée dans le Règlement des radiocommunications. En particulier, cette</w:t>
      </w:r>
      <w:r w:rsidR="00975364" w:rsidRPr="00277E7C">
        <w:rPr>
          <w:color w:val="000000"/>
          <w:lang w:val="fr-FR"/>
        </w:rPr>
        <w:t xml:space="preserve"> </w:t>
      </w:r>
      <w:r w:rsidRPr="00277E7C">
        <w:rPr>
          <w:color w:val="000000"/>
          <w:lang w:val="fr-FR"/>
        </w:rPr>
        <w:t>Règle ne s'applique pas aux cas dans lesquels la nécessité d'une coordination au titre</w:t>
      </w:r>
      <w:r w:rsidR="00975364" w:rsidRPr="00277E7C">
        <w:rPr>
          <w:color w:val="000000"/>
          <w:lang w:val="fr-FR"/>
        </w:rPr>
        <w:t xml:space="preserve"> </w:t>
      </w:r>
      <w:r w:rsidRPr="00277E7C">
        <w:rPr>
          <w:color w:val="000000"/>
          <w:lang w:val="fr-FR"/>
        </w:rPr>
        <w:t>d</w:t>
      </w:r>
      <w:r w:rsidR="00B04273" w:rsidRPr="00277E7C">
        <w:rPr>
          <w:color w:val="000000"/>
          <w:lang w:val="fr-FR"/>
        </w:rPr>
        <w:t>es </w:t>
      </w:r>
      <w:r w:rsidRPr="00277E7C">
        <w:rPr>
          <w:color w:val="000000"/>
          <w:lang w:val="fr-FR"/>
        </w:rPr>
        <w:t>numéro</w:t>
      </w:r>
      <w:r w:rsidR="00B04273" w:rsidRPr="00277E7C">
        <w:rPr>
          <w:color w:val="000000"/>
          <w:lang w:val="fr-FR"/>
        </w:rPr>
        <w:t>s</w:t>
      </w:r>
      <w:r w:rsidRPr="00277E7C">
        <w:rPr>
          <w:color w:val="000000"/>
          <w:lang w:val="fr-FR"/>
        </w:rPr>
        <w:t xml:space="preserve"> </w:t>
      </w:r>
      <w:r w:rsidRPr="00277E7C">
        <w:rPr>
          <w:rStyle w:val="Artref0"/>
          <w:b/>
          <w:bCs/>
          <w:color w:val="000000"/>
          <w:lang w:val="fr-FR"/>
        </w:rPr>
        <w:t>9.11A</w:t>
      </w:r>
      <w:r w:rsidRPr="00277E7C">
        <w:rPr>
          <w:color w:val="000000"/>
          <w:lang w:val="fr-FR"/>
        </w:rPr>
        <w:t xml:space="preserve">, </w:t>
      </w:r>
      <w:r w:rsidRPr="00277E7C">
        <w:rPr>
          <w:rStyle w:val="Artref0"/>
          <w:b/>
          <w:bCs/>
          <w:color w:val="000000"/>
          <w:lang w:val="fr-FR"/>
        </w:rPr>
        <w:t>9.12A</w:t>
      </w:r>
      <w:r w:rsidRPr="00277E7C">
        <w:rPr>
          <w:color w:val="000000"/>
          <w:lang w:val="fr-FR"/>
        </w:rPr>
        <w:t xml:space="preserve"> ou </w:t>
      </w:r>
      <w:r w:rsidRPr="00277E7C">
        <w:rPr>
          <w:rStyle w:val="Artref0"/>
          <w:b/>
          <w:bCs/>
          <w:color w:val="000000"/>
          <w:lang w:val="fr-FR"/>
        </w:rPr>
        <w:t>9.13</w:t>
      </w:r>
      <w:r w:rsidRPr="00277E7C">
        <w:rPr>
          <w:color w:val="000000"/>
          <w:lang w:val="fr-FR"/>
        </w:rPr>
        <w:t>, selon le cas, est indiquée dans un renvoi du Tableau</w:t>
      </w:r>
      <w:r w:rsidR="00975364" w:rsidRPr="00277E7C">
        <w:rPr>
          <w:color w:val="000000"/>
          <w:lang w:val="fr-FR"/>
        </w:rPr>
        <w:t xml:space="preserve"> </w:t>
      </w:r>
      <w:r w:rsidRPr="00277E7C">
        <w:rPr>
          <w:color w:val="000000"/>
          <w:lang w:val="fr-FR"/>
        </w:rPr>
        <w:t>d'attribution des bandes de fréquences (voir également la Règle de procédure relative au numéro </w:t>
      </w:r>
      <w:r w:rsidRPr="00277E7C">
        <w:rPr>
          <w:rStyle w:val="Artref0"/>
          <w:b/>
          <w:bCs/>
          <w:color w:val="000000"/>
          <w:lang w:val="fr-FR"/>
        </w:rPr>
        <w:t>9.11A</w:t>
      </w:r>
      <w:r w:rsidRPr="00277E7C">
        <w:rPr>
          <w:color w:val="000000"/>
          <w:lang w:val="fr-FR"/>
        </w:rPr>
        <w:t>).</w:t>
      </w:r>
    </w:p>
    <w:p w14:paraId="0C2B06C9" w14:textId="77777777" w:rsidR="002641D0" w:rsidRDefault="002641D0">
      <w:pPr>
        <w:tabs>
          <w:tab w:val="clear" w:pos="1134"/>
          <w:tab w:val="clear" w:pos="1871"/>
          <w:tab w:val="clear" w:pos="2268"/>
        </w:tabs>
        <w:overflowPunct/>
        <w:autoSpaceDE/>
        <w:autoSpaceDN/>
        <w:adjustRightInd/>
        <w:spacing w:before="0"/>
        <w:jc w:val="left"/>
        <w:textAlignment w:val="auto"/>
        <w:rPr>
          <w:b/>
          <w:bCs/>
          <w:color w:val="000000"/>
          <w:lang w:val="fr-FR"/>
        </w:rPr>
      </w:pPr>
      <w:r>
        <w:rPr>
          <w:b/>
          <w:bCs/>
          <w:color w:val="000000"/>
          <w:lang w:val="fr-FR"/>
        </w:rPr>
        <w:br w:type="page"/>
      </w:r>
    </w:p>
    <w:p w14:paraId="69B00597" w14:textId="77777777" w:rsidR="00B17B6F" w:rsidRPr="00B17B6F" w:rsidRDefault="00B17B6F" w:rsidP="00B17B6F">
      <w:pPr>
        <w:spacing w:before="80"/>
        <w:rPr>
          <w:color w:val="000000"/>
          <w:lang w:val="fr-FR"/>
        </w:rPr>
      </w:pPr>
      <w:r w:rsidRPr="00B17B6F">
        <w:rPr>
          <w:b/>
          <w:bCs/>
          <w:color w:val="000000"/>
          <w:lang w:val="fr-FR"/>
        </w:rPr>
        <w:lastRenderedPageBreak/>
        <w:t>Note</w:t>
      </w:r>
      <w:r w:rsidRPr="00B17B6F">
        <w:rPr>
          <w:color w:val="000000"/>
          <w:lang w:val="fr-FR"/>
        </w:rPr>
        <w:t>: La CMR-15 a pris la décision suivante concernant la Règle de procédure relative au numéro </w:t>
      </w:r>
      <w:r w:rsidRPr="00B17B6F">
        <w:rPr>
          <w:b/>
          <w:bCs/>
          <w:color w:val="000000"/>
          <w:lang w:val="fr-FR"/>
        </w:rPr>
        <w:t>11.32</w:t>
      </w:r>
      <w:r w:rsidRPr="00B17B6F">
        <w:rPr>
          <w:color w:val="000000"/>
          <w:lang w:val="fr-FR"/>
        </w:rPr>
        <w:t xml:space="preserve"> lors de la 8ème séance plénière, paragraphes 1.39 à 1.42 du Document CMR15/505, dans le cadre de l'approbation du Document CMR15/416 en ce qui concerne le § 3.2.3.2 du Document 4(Add.2)(Rév.1):</w:t>
      </w:r>
    </w:p>
    <w:p w14:paraId="20D35104" w14:textId="77777777" w:rsidR="00B17B6F" w:rsidRPr="00B17B6F" w:rsidRDefault="00B17B6F" w:rsidP="00B17B6F">
      <w:pPr>
        <w:spacing w:before="80" w:line="260" w:lineRule="exact"/>
        <w:rPr>
          <w:i/>
          <w:iCs/>
          <w:color w:val="000000"/>
          <w:spacing w:val="-4"/>
          <w:lang w:val="fr-FR"/>
        </w:rPr>
      </w:pPr>
      <w:r w:rsidRPr="00B17B6F">
        <w:rPr>
          <w:i/>
          <w:iCs/>
          <w:color w:val="000000"/>
          <w:spacing w:val="-4"/>
          <w:lang w:val="fr-FR"/>
        </w:rPr>
        <w:t xml:space="preserve">«Etant donné que les administrations affectées peuvent soumettre des renseignements sur un statut différent de la coordination à tout moment avant ou après les publications de la Partie II-S, et afin de ne pas retarder inutilement le traitement des soumissions relatives à la notification, le Bureau examine les renseignements de notification au titre du numéro </w:t>
      </w:r>
      <w:r w:rsidRPr="00B17B6F">
        <w:rPr>
          <w:b/>
          <w:bCs/>
          <w:i/>
          <w:iCs/>
          <w:color w:val="000000"/>
          <w:spacing w:val="-4"/>
          <w:lang w:val="fr-FR"/>
        </w:rPr>
        <w:t>11.32</w:t>
      </w:r>
      <w:r w:rsidRPr="00B17B6F">
        <w:rPr>
          <w:i/>
          <w:iCs/>
          <w:color w:val="000000"/>
          <w:spacing w:val="-4"/>
          <w:lang w:val="fr-FR"/>
        </w:rPr>
        <w:t xml:space="preserve"> de la façon suivante:</w:t>
      </w:r>
    </w:p>
    <w:p w14:paraId="65D7D427" w14:textId="77777777" w:rsidR="00B17B6F" w:rsidRPr="00B17B6F" w:rsidRDefault="00B17B6F" w:rsidP="00B17B6F">
      <w:pPr>
        <w:pStyle w:val="enumlev2"/>
        <w:spacing w:before="40"/>
        <w:rPr>
          <w:i/>
          <w:iCs/>
          <w:lang w:val="fr-FR"/>
        </w:rPr>
      </w:pPr>
      <w:r w:rsidRPr="00B17B6F">
        <w:rPr>
          <w:i/>
          <w:iCs/>
          <w:lang w:val="fr-FR"/>
        </w:rPr>
        <w:t>i)</w:t>
      </w:r>
      <w:r w:rsidRPr="00B17B6F">
        <w:rPr>
          <w:i/>
          <w:iCs/>
          <w:lang w:val="fr-FR"/>
        </w:rPr>
        <w:tab/>
        <w:t>si la procédure de demande de renseignements est achevée avant la réunion hebdomadaire du Bureau sur l'approbation, le statut de la coordination établi sur la base des résultats de la demande de renseignements sera pris en compte lors de la formulation des conclusions;</w:t>
      </w:r>
    </w:p>
    <w:p w14:paraId="23F2C3DF" w14:textId="77777777" w:rsidR="00B17B6F" w:rsidRPr="00B17B6F" w:rsidRDefault="00B17B6F" w:rsidP="00732677">
      <w:pPr>
        <w:pStyle w:val="enumlev2"/>
        <w:spacing w:before="40"/>
        <w:rPr>
          <w:lang w:val="fr-FR"/>
        </w:rPr>
      </w:pPr>
      <w:r w:rsidRPr="00B17B6F">
        <w:rPr>
          <w:i/>
          <w:iCs/>
          <w:lang w:val="fr-FR"/>
        </w:rPr>
        <w:t>ii)</w:t>
      </w:r>
      <w:r w:rsidRPr="00B17B6F">
        <w:rPr>
          <w:i/>
          <w:iCs/>
          <w:lang w:val="fr-FR"/>
        </w:rPr>
        <w:tab/>
        <w:t>si la procédure de demande de renseignements n'est pas achevée avant la réunion hebdomadaire du Bureau sur l'approbation, les conclusions relatives à l'administration affectée seront fondées sur le statut de la coordination soumis par l'administration notificatrice au moment de la notification. Le Bureau prendra alors les mesures voulues, afin de déterminer s'il y a lieu de revoir ou non les conclusions, une fois que la procédure de demande de renseignements du Bureau est achevée.»</w:t>
      </w:r>
    </w:p>
    <w:p w14:paraId="33510479" w14:textId="77777777" w:rsidR="00CB0787" w:rsidRPr="00277E7C" w:rsidRDefault="00CB0787" w:rsidP="00B17B6F">
      <w:pPr>
        <w:pStyle w:val="Heading8"/>
        <w:spacing w:before="240"/>
        <w:rPr>
          <w:color w:val="000000"/>
          <w:lang w:val="fr-FR"/>
        </w:rPr>
      </w:pPr>
      <w:r w:rsidRPr="00277E7C">
        <w:rPr>
          <w:color w:val="000000"/>
          <w:lang w:val="fr-FR"/>
        </w:rPr>
        <w:t>11.32A</w:t>
      </w:r>
    </w:p>
    <w:p w14:paraId="46257437" w14:textId="77777777" w:rsidR="00CB0787" w:rsidRPr="00277E7C" w:rsidRDefault="00B17B6F" w:rsidP="00430025">
      <w:pPr>
        <w:spacing w:before="80"/>
        <w:rPr>
          <w:color w:val="000000"/>
          <w:lang w:val="fr-FR"/>
        </w:rPr>
      </w:pPr>
      <w:r w:rsidRPr="00B17B6F">
        <w:rPr>
          <w:color w:val="000000"/>
          <w:lang w:val="fr-FR"/>
        </w:rPr>
        <w:t xml:space="preserve">La méthode de calcul de la probabilité de brouillage préjudiciable et les critères de formulation des conclusions du Bureau pour la coordination aux termes du numéro </w:t>
      </w:r>
      <w:r w:rsidRPr="00B17B6F">
        <w:rPr>
          <w:b/>
          <w:color w:val="000000"/>
          <w:lang w:val="fr-FR"/>
        </w:rPr>
        <w:t>9.7</w:t>
      </w:r>
      <w:r w:rsidRPr="00B17B6F">
        <w:rPr>
          <w:color w:val="000000"/>
          <w:lang w:val="fr-FR"/>
        </w:rPr>
        <w:t xml:space="preserve"> sont décrits dans la Règle de procédure B3, sauf en ce qui concerne les cas mentionnés au numéro </w:t>
      </w:r>
      <w:r w:rsidRPr="00B17B6F">
        <w:rPr>
          <w:b/>
          <w:bCs/>
          <w:color w:val="000000"/>
          <w:lang w:val="fr-FR"/>
        </w:rPr>
        <w:t>11.32A.2</w:t>
      </w:r>
      <w:r w:rsidRPr="00B17B6F">
        <w:rPr>
          <w:color w:val="000000"/>
          <w:lang w:val="fr-FR"/>
        </w:rPr>
        <w:t xml:space="preserve"> et dans la Résolution </w:t>
      </w:r>
      <w:r w:rsidRPr="00B17B6F">
        <w:rPr>
          <w:b/>
          <w:bCs/>
          <w:color w:val="000000"/>
          <w:lang w:val="fr-FR"/>
        </w:rPr>
        <w:t>762 (CMR-15)</w:t>
      </w:r>
      <w:r w:rsidRPr="00B17B6F">
        <w:rPr>
          <w:color w:val="000000"/>
          <w:lang w:val="fr-FR"/>
        </w:rPr>
        <w:t>.</w:t>
      </w:r>
    </w:p>
    <w:p w14:paraId="25E84F27" w14:textId="77777777" w:rsidR="00CB0787" w:rsidRPr="00277E7C" w:rsidRDefault="00CB0787" w:rsidP="00B17B6F">
      <w:pPr>
        <w:pStyle w:val="Heading8"/>
        <w:spacing w:before="240"/>
        <w:rPr>
          <w:color w:val="000000"/>
          <w:lang w:val="fr-FR"/>
        </w:rPr>
      </w:pPr>
      <w:r w:rsidRPr="00277E7C">
        <w:rPr>
          <w:color w:val="000000"/>
          <w:lang w:val="fr-FR"/>
        </w:rPr>
        <w:t>11.34</w:t>
      </w:r>
    </w:p>
    <w:p w14:paraId="5C315798" w14:textId="77777777" w:rsidR="00CB0787" w:rsidRPr="00277E7C" w:rsidRDefault="00CB0787" w:rsidP="00B17B6F">
      <w:pPr>
        <w:pStyle w:val="Heading1"/>
        <w:spacing w:before="120"/>
        <w:rPr>
          <w:color w:val="000000"/>
          <w:lang w:val="fr-FR"/>
        </w:rPr>
      </w:pPr>
      <w:r w:rsidRPr="00277E7C">
        <w:rPr>
          <w:color w:val="000000"/>
          <w:lang w:val="fr-FR"/>
        </w:rPr>
        <w:t>1</w:t>
      </w:r>
      <w:r w:rsidRPr="00277E7C">
        <w:rPr>
          <w:color w:val="000000"/>
          <w:lang w:val="fr-FR"/>
        </w:rPr>
        <w:tab/>
        <w:t>Bandes régies par l'Appendice </w:t>
      </w:r>
      <w:r w:rsidRPr="00277E7C">
        <w:rPr>
          <w:rStyle w:val="Appref"/>
          <w:color w:val="000000"/>
          <w:lang w:val="fr-FR"/>
        </w:rPr>
        <w:t>25</w:t>
      </w:r>
    </w:p>
    <w:p w14:paraId="6BFA468C" w14:textId="77777777" w:rsidR="00CB0787" w:rsidRPr="00277E7C" w:rsidRDefault="00CB0787" w:rsidP="00B17B6F">
      <w:pPr>
        <w:spacing w:before="80"/>
        <w:rPr>
          <w:lang w:val="fr-FR"/>
        </w:rPr>
      </w:pPr>
      <w:r w:rsidRPr="00277E7C">
        <w:rPr>
          <w:lang w:val="fr-FR"/>
        </w:rPr>
        <w:t>1.1</w:t>
      </w:r>
      <w:r w:rsidRPr="00277E7C">
        <w:rPr>
          <w:lang w:val="fr-FR"/>
        </w:rPr>
        <w:tab/>
        <w:t>En ce qui concerne ces examens de conformité avec le Plan d'allotissement de l'Appendice </w:t>
      </w:r>
      <w:r w:rsidRPr="00277E7C">
        <w:rPr>
          <w:rStyle w:val="Appref"/>
          <w:b/>
          <w:color w:val="000000"/>
          <w:lang w:val="fr-FR"/>
        </w:rPr>
        <w:t>25</w:t>
      </w:r>
      <w:r w:rsidRPr="00277E7C">
        <w:rPr>
          <w:lang w:val="fr-FR"/>
        </w:rPr>
        <w:t>, le Comité a pris en considération les éléments suivants:</w:t>
      </w:r>
    </w:p>
    <w:p w14:paraId="7B714B03" w14:textId="77777777" w:rsidR="00CB0787" w:rsidRPr="00277E7C" w:rsidRDefault="00CB0787" w:rsidP="00B17B6F">
      <w:pPr>
        <w:spacing w:before="80"/>
        <w:rPr>
          <w:lang w:val="fr-FR"/>
        </w:rPr>
      </w:pPr>
      <w:r w:rsidRPr="00277E7C">
        <w:rPr>
          <w:lang w:val="fr-FR"/>
        </w:rPr>
        <w:t>1.1.1</w:t>
      </w:r>
      <w:r w:rsidRPr="00277E7C">
        <w:rPr>
          <w:lang w:val="fr-FR"/>
        </w:rPr>
        <w:tab/>
        <w:t>Le Plan «initial», établi lors de la CAMRM-74 ne contient qu'une indication des zones d'allotissement sur la voie donnée. La conformité des assignations pertinentes avec les allotissements à été vérifiée à l'aide de ces renseignements et des autres dispositions générales obligatoires du Règlement des radiocommunications concernant la disposition des voies, la classe d'émission et la puissance d'émission.</w:t>
      </w:r>
    </w:p>
    <w:p w14:paraId="4457B07E" w14:textId="77777777" w:rsidR="002641D0" w:rsidRDefault="002641D0">
      <w:pPr>
        <w:tabs>
          <w:tab w:val="clear" w:pos="1134"/>
          <w:tab w:val="clear" w:pos="1871"/>
          <w:tab w:val="clear" w:pos="2268"/>
        </w:tabs>
        <w:overflowPunct/>
        <w:autoSpaceDE/>
        <w:autoSpaceDN/>
        <w:adjustRightInd/>
        <w:spacing w:before="0"/>
        <w:jc w:val="left"/>
        <w:textAlignment w:val="auto"/>
        <w:rPr>
          <w:lang w:val="fr-FR"/>
        </w:rPr>
      </w:pPr>
      <w:r>
        <w:rPr>
          <w:lang w:val="fr-FR"/>
        </w:rPr>
        <w:br w:type="page"/>
      </w:r>
    </w:p>
    <w:p w14:paraId="731ABC18" w14:textId="77777777" w:rsidR="00CB0787" w:rsidRPr="00277E7C" w:rsidRDefault="00CB0787" w:rsidP="00B17B6F">
      <w:pPr>
        <w:spacing w:before="80"/>
        <w:rPr>
          <w:lang w:val="fr-FR"/>
        </w:rPr>
      </w:pPr>
      <w:r w:rsidRPr="00277E7C">
        <w:rPr>
          <w:lang w:val="fr-FR"/>
        </w:rPr>
        <w:lastRenderedPageBreak/>
        <w:t>1.1.2</w:t>
      </w:r>
      <w:r w:rsidRPr="00277E7C">
        <w:rPr>
          <w:lang w:val="fr-FR"/>
        </w:rPr>
        <w:tab/>
        <w:t xml:space="preserve">Les versions mises à jour du Plan contiennent, par l'application de la procédure de l'ancien Article 16 du Règlement des radiocommunications (édition de 1990, révisée en 1994) et de la Section I de l'Appendice </w:t>
      </w:r>
      <w:r w:rsidRPr="00277E7C">
        <w:rPr>
          <w:rStyle w:val="Appref"/>
          <w:b/>
          <w:color w:val="000000"/>
          <w:lang w:val="fr-FR"/>
        </w:rPr>
        <w:t>25</w:t>
      </w:r>
      <w:r w:rsidRPr="00277E7C">
        <w:rPr>
          <w:lang w:val="fr-FR"/>
        </w:rPr>
        <w:t>, davantage de données, notamment des renseignements sur la puissance d'émission, les caractéristiques d'antenne, les heures de fonctionnement et les zones de service, consécutifs à la coordination avec les administrations concernées. En consé</w:t>
      </w:r>
      <w:r w:rsidRPr="00277E7C">
        <w:rPr>
          <w:lang w:val="fr-FR"/>
        </w:rPr>
        <w:softHyphen/>
        <w:t>quence, les caractéristiques de ces assignations notifiées doivent correspondre aux carac</w:t>
      </w:r>
      <w:r w:rsidRPr="00277E7C">
        <w:rPr>
          <w:lang w:val="fr-FR"/>
        </w:rPr>
        <w:softHyphen/>
        <w:t>téristiques résultant de la coordination.</w:t>
      </w:r>
    </w:p>
    <w:p w14:paraId="63AEDB41" w14:textId="77777777" w:rsidR="00CB0787" w:rsidRPr="00277E7C" w:rsidRDefault="00CB0787" w:rsidP="00EE1889">
      <w:pPr>
        <w:spacing w:before="80"/>
        <w:rPr>
          <w:lang w:val="fr-FR"/>
        </w:rPr>
      </w:pPr>
      <w:r w:rsidRPr="00277E7C">
        <w:rPr>
          <w:lang w:val="fr-FR"/>
        </w:rPr>
        <w:t>1.1.3</w:t>
      </w:r>
      <w:r w:rsidRPr="00277E7C">
        <w:rPr>
          <w:lang w:val="fr-FR"/>
        </w:rPr>
        <w:tab/>
        <w:t xml:space="preserve">L'ex-IFRB a demandé (et obtenu), pour les besoins de la mise en œuvre de la Résolution </w:t>
      </w:r>
      <w:r w:rsidRPr="00277E7C">
        <w:rPr>
          <w:rStyle w:val="Resref"/>
          <w:b/>
          <w:color w:val="000000"/>
          <w:lang w:val="fr-FR"/>
        </w:rPr>
        <w:t>325</w:t>
      </w:r>
      <w:r w:rsidRPr="00277E7C">
        <w:rPr>
          <w:lang w:val="fr-FR"/>
        </w:rPr>
        <w:t xml:space="preserve"> </w:t>
      </w:r>
      <w:r w:rsidRPr="00277E7C">
        <w:rPr>
          <w:b/>
          <w:lang w:val="fr-FR"/>
        </w:rPr>
        <w:t>(Mob-87)</w:t>
      </w:r>
      <w:r w:rsidR="00EE1889" w:rsidRPr="00EE1889">
        <w:rPr>
          <w:bCs/>
          <w:lang w:val="fr-FR"/>
        </w:rPr>
        <w:t>*</w:t>
      </w:r>
      <w:r w:rsidRPr="00277E7C">
        <w:rPr>
          <w:lang w:val="fr-FR"/>
        </w:rPr>
        <w:t xml:space="preserve">, davantage de précisions concernant l'utilisation envisagée des nouvelles voies qui ont été mises à disposition par la CAMR Mob-87. Toutefois, beaucoup d'administrations ont signalé que les informations à ce sujet devaient être considérées comme des hypothèses de travail étant donné que les caractéristiques définitives dépendront des dispositions d'allotissement établies (nombre d'allotissements par voie, caractéristiques des autres allotissements et utilisation réelle des allotissements par d'autres administrations). En conséquence, les caractéristiques des allotissements introduits dans les nouvelles voies du Plan de l'Appendice </w:t>
      </w:r>
      <w:r w:rsidRPr="00277E7C">
        <w:rPr>
          <w:rStyle w:val="Appref"/>
          <w:b/>
          <w:bCs/>
          <w:color w:val="000000"/>
          <w:lang w:val="fr-FR"/>
        </w:rPr>
        <w:t>25</w:t>
      </w:r>
      <w:r w:rsidRPr="00277E7C">
        <w:rPr>
          <w:lang w:val="fr-FR"/>
        </w:rPr>
        <w:t xml:space="preserve"> dont il est question dans la Lettre circulaire de l'ex-IFRB N° 860 datée du 22 mars 1991 sont considérées comme des hypothèses de travail seulement et non comme des conditions obligatoires.</w:t>
      </w:r>
    </w:p>
    <w:p w14:paraId="461E343D" w14:textId="77777777" w:rsidR="00CB0787" w:rsidRPr="00277E7C" w:rsidRDefault="00CB0787" w:rsidP="00E358BE">
      <w:pPr>
        <w:spacing w:before="0"/>
        <w:rPr>
          <w:color w:val="000000"/>
          <w:lang w:val="fr-FR"/>
        </w:rPr>
      </w:pPr>
      <w:r w:rsidRPr="00277E7C">
        <w:rPr>
          <w:color w:val="000000"/>
          <w:lang w:val="fr-FR"/>
        </w:rPr>
        <w:t>1.1.4</w:t>
      </w:r>
      <w:r w:rsidRPr="00277E7C">
        <w:rPr>
          <w:color w:val="000000"/>
          <w:lang w:val="fr-FR"/>
        </w:rPr>
        <w:tab/>
        <w:t xml:space="preserve">Toutefois, l'introduction de nouveaux allotissements dans les anciennes voies du Plan de l'Appendice </w:t>
      </w:r>
      <w:r w:rsidRPr="00277E7C">
        <w:rPr>
          <w:rStyle w:val="Appref"/>
          <w:b/>
          <w:bCs/>
          <w:color w:val="000000"/>
          <w:lang w:val="fr-FR"/>
        </w:rPr>
        <w:t>25</w:t>
      </w:r>
      <w:r w:rsidRPr="00277E7C">
        <w:rPr>
          <w:color w:val="000000"/>
          <w:lang w:val="fr-FR"/>
        </w:rPr>
        <w:t xml:space="preserve"> conformément à la Résolution </w:t>
      </w:r>
      <w:r w:rsidRPr="00277E7C">
        <w:rPr>
          <w:rStyle w:val="Resref"/>
          <w:b/>
          <w:color w:val="000000"/>
          <w:lang w:val="fr-FR"/>
        </w:rPr>
        <w:t>325</w:t>
      </w:r>
      <w:r w:rsidRPr="00277E7C">
        <w:rPr>
          <w:color w:val="000000"/>
          <w:lang w:val="fr-FR"/>
        </w:rPr>
        <w:t xml:space="preserve"> </w:t>
      </w:r>
      <w:r w:rsidRPr="00277E7C">
        <w:rPr>
          <w:b/>
          <w:color w:val="000000"/>
          <w:lang w:val="fr-FR"/>
        </w:rPr>
        <w:t>(Mob-87)</w:t>
      </w:r>
      <w:r w:rsidR="00B866B3" w:rsidRPr="00B866B3">
        <w:rPr>
          <w:rStyle w:val="FootnoteReference"/>
          <w:bCs/>
          <w:color w:val="000000"/>
          <w:lang w:val="fr-FR"/>
        </w:rPr>
        <w:footnoteReference w:customMarkFollows="1" w:id="11"/>
        <w:t>*</w:t>
      </w:r>
      <w:r w:rsidRPr="00277E7C">
        <w:rPr>
          <w:color w:val="000000"/>
          <w:lang w:val="fr-FR"/>
        </w:rPr>
        <w:t xml:space="preserve"> a été effectuée sur la demande expresse des administrations concernées, et la recherche de la voie la moins affectée a été effectuée sur la base de caractéristiques très précises en ce qui concerne les conditions requises (puissance, heures de fonctionnement, heures de pointe du trafic, zone de service, information sur le trafic). Des caractéristiques différentes auraient entraîné un choix différent de la voie la moins affectée.</w:t>
      </w:r>
    </w:p>
    <w:p w14:paraId="0FC6EA05" w14:textId="160568BC" w:rsidR="00CB0787" w:rsidRPr="00277E7C" w:rsidRDefault="00CB0787" w:rsidP="00E51D95">
      <w:pPr>
        <w:spacing w:before="80"/>
        <w:rPr>
          <w:color w:val="000000"/>
          <w:lang w:val="fr-FR"/>
        </w:rPr>
      </w:pPr>
      <w:r w:rsidRPr="00277E7C">
        <w:rPr>
          <w:color w:val="000000"/>
          <w:lang w:val="fr-FR"/>
        </w:rPr>
        <w:t>1.2</w:t>
      </w:r>
      <w:r w:rsidRPr="00277E7C">
        <w:rPr>
          <w:color w:val="000000"/>
          <w:lang w:val="fr-FR"/>
        </w:rPr>
        <w:tab/>
        <w:t>Etant donné ce qui précède, le Comité a décidé d'adopter les règles suivantes en ce qui concerne l'examen des notifications d'assignation de fréquence aux termes du numéro </w:t>
      </w:r>
      <w:r w:rsidRPr="00277E7C">
        <w:rPr>
          <w:rStyle w:val="Artref0"/>
          <w:b/>
          <w:color w:val="000000"/>
          <w:lang w:val="fr-FR"/>
        </w:rPr>
        <w:t>11.34</w:t>
      </w:r>
      <w:r w:rsidRPr="00277E7C">
        <w:rPr>
          <w:color w:val="000000"/>
          <w:lang w:val="fr-FR"/>
        </w:rPr>
        <w:t xml:space="preserve"> du point de vue de leur conformité avec les allotissements correspondants du Plan de l'Appendice </w:t>
      </w:r>
      <w:r w:rsidRPr="00277E7C">
        <w:rPr>
          <w:rStyle w:val="Appref"/>
          <w:b/>
          <w:bCs/>
          <w:color w:val="000000"/>
          <w:lang w:val="fr-FR"/>
        </w:rPr>
        <w:t>25</w:t>
      </w:r>
      <w:r w:rsidRPr="00277E7C">
        <w:rPr>
          <w:color w:val="000000"/>
          <w:lang w:val="fr-FR"/>
        </w:rPr>
        <w:t>:</w:t>
      </w:r>
    </w:p>
    <w:p w14:paraId="5D0C7DD5" w14:textId="77777777" w:rsidR="00CB0787" w:rsidRPr="00277E7C" w:rsidRDefault="00CB0787" w:rsidP="00E51D95">
      <w:pPr>
        <w:spacing w:before="80"/>
        <w:rPr>
          <w:color w:val="000000"/>
          <w:lang w:val="fr-FR"/>
        </w:rPr>
      </w:pPr>
      <w:r w:rsidRPr="00277E7C">
        <w:rPr>
          <w:color w:val="000000"/>
          <w:lang w:val="fr-FR"/>
        </w:rPr>
        <w:t>1.2.1</w:t>
      </w:r>
      <w:r w:rsidRPr="00277E7C">
        <w:rPr>
          <w:color w:val="000000"/>
          <w:lang w:val="fr-FR"/>
        </w:rPr>
        <w:tab/>
        <w:t xml:space="preserve">Les caractéristiques des notifications d'assignation de fréquence correspondant aux allotissements du Plan de l'Appendice </w:t>
      </w:r>
      <w:r w:rsidRPr="00277E7C">
        <w:rPr>
          <w:rStyle w:val="Appref"/>
          <w:b/>
          <w:bCs/>
          <w:color w:val="000000"/>
          <w:lang w:val="fr-FR"/>
        </w:rPr>
        <w:t>25</w:t>
      </w:r>
      <w:r w:rsidRPr="00277E7C">
        <w:rPr>
          <w:color w:val="000000"/>
          <w:lang w:val="fr-FR"/>
        </w:rPr>
        <w:t xml:space="preserve"> «initial» (tel qu'adopté par la CAMRM-74) ou aux allotissements introduits dans les nouvelles voies du Plan de l'Appendice </w:t>
      </w:r>
      <w:r w:rsidRPr="00277E7C">
        <w:rPr>
          <w:rStyle w:val="Appref"/>
          <w:b/>
          <w:bCs/>
          <w:color w:val="000000"/>
          <w:lang w:val="fr-FR"/>
        </w:rPr>
        <w:t>25</w:t>
      </w:r>
      <w:r w:rsidRPr="00277E7C">
        <w:rPr>
          <w:color w:val="000000"/>
          <w:lang w:val="fr-FR"/>
        </w:rPr>
        <w:t xml:space="preserve"> en vertu de la Résolution </w:t>
      </w:r>
      <w:r w:rsidRPr="00277E7C">
        <w:rPr>
          <w:rStyle w:val="Resref"/>
          <w:b/>
          <w:color w:val="000000"/>
          <w:lang w:val="fr-FR"/>
        </w:rPr>
        <w:t>325</w:t>
      </w:r>
      <w:r w:rsidRPr="00277E7C">
        <w:rPr>
          <w:color w:val="000000"/>
          <w:lang w:val="fr-FR"/>
        </w:rPr>
        <w:t xml:space="preserve"> </w:t>
      </w:r>
      <w:r w:rsidRPr="00277E7C">
        <w:rPr>
          <w:b/>
          <w:color w:val="000000"/>
          <w:lang w:val="fr-FR"/>
        </w:rPr>
        <w:t>(Mob-87)</w:t>
      </w:r>
      <w:r w:rsidR="00B866B3" w:rsidRPr="00B866B3">
        <w:rPr>
          <w:bCs/>
          <w:color w:val="000000"/>
          <w:sz w:val="20"/>
          <w:lang w:val="fr-FR"/>
        </w:rPr>
        <w:t>*</w:t>
      </w:r>
      <w:r w:rsidRPr="00277E7C">
        <w:rPr>
          <w:color w:val="000000"/>
          <w:lang w:val="fr-FR"/>
        </w:rPr>
        <w:t xml:space="preserve"> qui ont été mises à disposition par la CAMR Mob-87 seront exa</w:t>
      </w:r>
      <w:r w:rsidRPr="00277E7C">
        <w:rPr>
          <w:color w:val="000000"/>
          <w:lang w:val="fr-FR"/>
        </w:rPr>
        <w:softHyphen/>
        <w:t xml:space="preserve">minées uniquement en ce qui concerne les conditions générales relatives à l'utilisation de ces voies pour la radiotéléphonie duplex (conformité avec la disposition des voies de la Section I, Sous-section A, de la Partie B de l'Appendice </w:t>
      </w:r>
      <w:r w:rsidRPr="00277E7C">
        <w:rPr>
          <w:rStyle w:val="Appref"/>
          <w:b/>
          <w:color w:val="000000"/>
          <w:lang w:val="fr-FR"/>
        </w:rPr>
        <w:t>17</w:t>
      </w:r>
      <w:r w:rsidRPr="00277E7C">
        <w:rPr>
          <w:color w:val="000000"/>
          <w:lang w:val="fr-FR"/>
        </w:rPr>
        <w:t xml:space="preserve">, conformité avec les numéros </w:t>
      </w:r>
      <w:r w:rsidRPr="00277E7C">
        <w:rPr>
          <w:rStyle w:val="Artref0"/>
          <w:b/>
          <w:color w:val="000000"/>
          <w:lang w:val="fr-FR"/>
        </w:rPr>
        <w:t>52.177</w:t>
      </w:r>
      <w:r w:rsidRPr="00277E7C">
        <w:rPr>
          <w:color w:val="000000"/>
          <w:lang w:val="fr-FR"/>
        </w:rPr>
        <w:t xml:space="preserve">, </w:t>
      </w:r>
      <w:r w:rsidRPr="00277E7C">
        <w:rPr>
          <w:rStyle w:val="Artref0"/>
          <w:b/>
          <w:color w:val="000000"/>
          <w:lang w:val="fr-FR"/>
        </w:rPr>
        <w:t>52.217</w:t>
      </w:r>
      <w:r w:rsidRPr="00277E7C">
        <w:rPr>
          <w:color w:val="000000"/>
          <w:lang w:val="fr-FR"/>
        </w:rPr>
        <w:t xml:space="preserve">, </w:t>
      </w:r>
      <w:r w:rsidRPr="00277E7C">
        <w:rPr>
          <w:rStyle w:val="Artref0"/>
          <w:b/>
          <w:color w:val="000000"/>
          <w:lang w:val="fr-FR"/>
        </w:rPr>
        <w:t>52.219</w:t>
      </w:r>
      <w:r w:rsidRPr="00277E7C">
        <w:rPr>
          <w:color w:val="000000"/>
          <w:lang w:val="fr-FR"/>
        </w:rPr>
        <w:t xml:space="preserve"> et </w:t>
      </w:r>
      <w:r w:rsidRPr="00277E7C">
        <w:rPr>
          <w:rStyle w:val="Artref0"/>
          <w:b/>
          <w:color w:val="000000"/>
          <w:lang w:val="fr-FR"/>
        </w:rPr>
        <w:t>52.220</w:t>
      </w:r>
      <w:r w:rsidRPr="00277E7C">
        <w:rPr>
          <w:color w:val="000000"/>
          <w:lang w:val="fr-FR"/>
        </w:rPr>
        <w:t>) et, là où cela s'applique, par rapport aux conditions contenues dans le Plan de l'Appendice </w:t>
      </w:r>
      <w:r w:rsidRPr="00277E7C">
        <w:rPr>
          <w:rStyle w:val="Appref"/>
          <w:b/>
          <w:color w:val="000000"/>
          <w:lang w:val="fr-FR"/>
        </w:rPr>
        <w:t>25</w:t>
      </w:r>
      <w:r w:rsidRPr="00277E7C">
        <w:rPr>
          <w:color w:val="000000"/>
          <w:lang w:val="fr-FR"/>
        </w:rPr>
        <w:t xml:space="preserve"> relatives à l'emplacement des stations côtières d'émission;</w:t>
      </w:r>
    </w:p>
    <w:p w14:paraId="4344412D" w14:textId="77777777" w:rsidR="002641D0" w:rsidRDefault="002641D0">
      <w:pPr>
        <w:tabs>
          <w:tab w:val="clear" w:pos="1134"/>
          <w:tab w:val="clear" w:pos="1871"/>
          <w:tab w:val="clear" w:pos="2268"/>
        </w:tabs>
        <w:overflowPunct/>
        <w:autoSpaceDE/>
        <w:autoSpaceDN/>
        <w:adjustRightInd/>
        <w:spacing w:before="0"/>
        <w:jc w:val="left"/>
        <w:textAlignment w:val="auto"/>
        <w:rPr>
          <w:color w:val="000000"/>
          <w:lang w:val="fr-FR"/>
        </w:rPr>
      </w:pPr>
      <w:r>
        <w:rPr>
          <w:color w:val="000000"/>
          <w:lang w:val="fr-FR"/>
        </w:rPr>
        <w:br w:type="page"/>
      </w:r>
    </w:p>
    <w:p w14:paraId="2C852B4C" w14:textId="71CC700C" w:rsidR="00CB0787" w:rsidRPr="00277E7C" w:rsidRDefault="00CB0787" w:rsidP="00D72F29">
      <w:pPr>
        <w:spacing w:before="80"/>
        <w:rPr>
          <w:color w:val="000000"/>
          <w:lang w:val="fr-FR"/>
        </w:rPr>
      </w:pPr>
      <w:r w:rsidRPr="00277E7C">
        <w:rPr>
          <w:color w:val="000000"/>
          <w:lang w:val="fr-FR"/>
        </w:rPr>
        <w:lastRenderedPageBreak/>
        <w:t>1.2.2</w:t>
      </w:r>
      <w:r w:rsidRPr="00277E7C">
        <w:rPr>
          <w:color w:val="000000"/>
          <w:lang w:val="fr-FR"/>
        </w:rPr>
        <w:tab/>
        <w:t xml:space="preserve">Les caractéristiques des notifications d'assignation de fréquence qui correspondent aux allotissements introduits dans le Plan de l'Appendice </w:t>
      </w:r>
      <w:r w:rsidRPr="00277E7C">
        <w:rPr>
          <w:rStyle w:val="Appref"/>
          <w:b/>
          <w:bCs/>
          <w:color w:val="000000"/>
          <w:lang w:val="fr-FR"/>
        </w:rPr>
        <w:t>25</w:t>
      </w:r>
      <w:r w:rsidRPr="00277E7C">
        <w:rPr>
          <w:color w:val="000000"/>
          <w:lang w:val="fr-FR"/>
        </w:rPr>
        <w:t xml:space="preserve"> en vertu de l'application </w:t>
      </w:r>
      <w:r w:rsidR="002E379E">
        <w:rPr>
          <w:color w:val="000000"/>
          <w:lang w:val="fr-FR"/>
        </w:rPr>
        <w:br/>
      </w:r>
      <w:r w:rsidRPr="00277E7C">
        <w:rPr>
          <w:color w:val="000000"/>
          <w:lang w:val="fr-FR"/>
        </w:rPr>
        <w:t xml:space="preserve">de la procédure de l'ancien Article 16 du Règlement des radiocommunications, ou de la procédure de la Section I de l'Appendice </w:t>
      </w:r>
      <w:r w:rsidRPr="00277E7C">
        <w:rPr>
          <w:rStyle w:val="Appref"/>
          <w:b/>
          <w:color w:val="000000"/>
          <w:lang w:val="fr-FR"/>
        </w:rPr>
        <w:t>25</w:t>
      </w:r>
      <w:r w:rsidRPr="00277E7C">
        <w:rPr>
          <w:color w:val="000000"/>
          <w:lang w:val="fr-FR"/>
        </w:rPr>
        <w:t xml:space="preserve"> de même que les allotissements introduits dans les anciennes voies du Plan de l'Appendice </w:t>
      </w:r>
      <w:r w:rsidRPr="00277E7C">
        <w:rPr>
          <w:rStyle w:val="Appref"/>
          <w:b/>
          <w:bCs/>
          <w:color w:val="000000"/>
          <w:lang w:val="fr-FR"/>
        </w:rPr>
        <w:t>25</w:t>
      </w:r>
      <w:r w:rsidRPr="00277E7C">
        <w:rPr>
          <w:color w:val="000000"/>
          <w:lang w:val="fr-FR"/>
        </w:rPr>
        <w:t xml:space="preserve"> en vertu du § 5 de l'Annexe de la Résolution </w:t>
      </w:r>
      <w:r w:rsidRPr="00277E7C">
        <w:rPr>
          <w:rStyle w:val="Resref"/>
          <w:b/>
          <w:color w:val="000000"/>
          <w:lang w:val="fr-FR"/>
        </w:rPr>
        <w:t>325</w:t>
      </w:r>
      <w:r w:rsidRPr="00277E7C">
        <w:rPr>
          <w:color w:val="000000"/>
          <w:lang w:val="fr-FR"/>
        </w:rPr>
        <w:t xml:space="preserve"> </w:t>
      </w:r>
      <w:r w:rsidRPr="00277E7C">
        <w:rPr>
          <w:b/>
          <w:color w:val="000000"/>
          <w:lang w:val="fr-FR"/>
        </w:rPr>
        <w:t>(Mob-87)</w:t>
      </w:r>
      <w:r w:rsidR="00D72F29">
        <w:rPr>
          <w:rStyle w:val="FootnoteReference"/>
          <w:b/>
          <w:color w:val="000000"/>
          <w:lang w:val="fr-FR"/>
        </w:rPr>
        <w:footnoteReference w:customMarkFollows="1" w:id="12"/>
        <w:t>*</w:t>
      </w:r>
      <w:r w:rsidRPr="00277E7C">
        <w:rPr>
          <w:color w:val="000000"/>
          <w:lang w:val="fr-FR"/>
        </w:rPr>
        <w:t xml:space="preserve"> (détermination de la voie la moins affectée sur la demande expresse de l'adminis</w:t>
      </w:r>
      <w:r w:rsidRPr="00277E7C">
        <w:rPr>
          <w:color w:val="000000"/>
          <w:lang w:val="fr-FR"/>
        </w:rPr>
        <w:softHyphen/>
        <w:t>tration), seront vérifiées en ce qui concerne leur conformité à toutes les conditions stipulées au sujet de l'allotissement pertinent du Plan de l'Appendice</w:t>
      </w:r>
      <w:r w:rsidR="00975364" w:rsidRPr="00277E7C">
        <w:rPr>
          <w:color w:val="000000"/>
          <w:lang w:val="fr-FR"/>
        </w:rPr>
        <w:t xml:space="preserve"> </w:t>
      </w:r>
      <w:r w:rsidRPr="00277E7C">
        <w:rPr>
          <w:rStyle w:val="Appref"/>
          <w:b/>
          <w:bCs/>
          <w:color w:val="000000"/>
          <w:lang w:val="fr-FR"/>
        </w:rPr>
        <w:t>25</w:t>
      </w:r>
      <w:r w:rsidRPr="00277E7C">
        <w:rPr>
          <w:color w:val="000000"/>
          <w:lang w:val="fr-FR"/>
        </w:rPr>
        <w:t xml:space="preserve"> (à savoir l'emplacement de la station côtière d'émission par rapport à la zone d'allotissement, la limite de puissance, les heures de fonctionnement).</w:t>
      </w:r>
    </w:p>
    <w:p w14:paraId="0BDAD52F" w14:textId="77777777" w:rsidR="00CB0787" w:rsidRPr="00277E7C" w:rsidRDefault="00CB0787" w:rsidP="00E51D95">
      <w:pPr>
        <w:spacing w:before="80"/>
        <w:rPr>
          <w:color w:val="000000"/>
          <w:lang w:val="fr-FR"/>
        </w:rPr>
      </w:pPr>
      <w:r w:rsidRPr="00277E7C">
        <w:rPr>
          <w:color w:val="000000"/>
          <w:lang w:val="fr-FR"/>
        </w:rPr>
        <w:t>1.2.3</w:t>
      </w:r>
      <w:r w:rsidRPr="00277E7C">
        <w:rPr>
          <w:color w:val="000000"/>
          <w:lang w:val="fr-FR"/>
        </w:rPr>
        <w:tab/>
        <w:t>La non-conformité avec les caractéristiques pertinentes du Plan de l'Appendice </w:t>
      </w:r>
      <w:r w:rsidRPr="00277E7C">
        <w:rPr>
          <w:rStyle w:val="Appref"/>
          <w:b/>
          <w:color w:val="000000"/>
          <w:lang w:val="fr-FR"/>
        </w:rPr>
        <w:t>25</w:t>
      </w:r>
      <w:r w:rsidRPr="00277E7C">
        <w:rPr>
          <w:color w:val="000000"/>
          <w:lang w:val="fr-FR"/>
        </w:rPr>
        <w:t xml:space="preserve"> se traduira par une conclusion défavorable au titre du numéro </w:t>
      </w:r>
      <w:r w:rsidRPr="00277E7C">
        <w:rPr>
          <w:rStyle w:val="Artref0"/>
          <w:b/>
          <w:color w:val="000000"/>
          <w:lang w:val="fr-FR"/>
        </w:rPr>
        <w:t>11.34</w:t>
      </w:r>
      <w:r w:rsidRPr="00277E7C">
        <w:rPr>
          <w:color w:val="000000"/>
          <w:lang w:val="fr-FR"/>
        </w:rPr>
        <w:t>, et la modification de ces caractéristiques sera soumise à l'application de la procédure de la Section I de l'Appendice </w:t>
      </w:r>
      <w:r w:rsidRPr="00277E7C">
        <w:rPr>
          <w:rStyle w:val="Appref"/>
          <w:b/>
          <w:color w:val="000000"/>
          <w:lang w:val="fr-FR"/>
        </w:rPr>
        <w:t>25</w:t>
      </w:r>
      <w:r w:rsidRPr="00277E7C">
        <w:rPr>
          <w:color w:val="000000"/>
          <w:lang w:val="fr-FR"/>
        </w:rPr>
        <w:t xml:space="preserve"> du Règlement des radiocommunications.</w:t>
      </w:r>
    </w:p>
    <w:p w14:paraId="653125FE" w14:textId="77777777" w:rsidR="00CB0787" w:rsidRPr="00277E7C" w:rsidRDefault="00CB0787" w:rsidP="00E51D95">
      <w:pPr>
        <w:pStyle w:val="Heading1"/>
        <w:spacing w:before="240"/>
        <w:rPr>
          <w:color w:val="000000"/>
          <w:lang w:val="fr-FR"/>
        </w:rPr>
      </w:pPr>
      <w:r w:rsidRPr="00277E7C">
        <w:rPr>
          <w:color w:val="000000"/>
          <w:lang w:val="fr-FR"/>
        </w:rPr>
        <w:t>2</w:t>
      </w:r>
      <w:r w:rsidRPr="00277E7C">
        <w:rPr>
          <w:color w:val="000000"/>
          <w:lang w:val="fr-FR"/>
        </w:rPr>
        <w:tab/>
        <w:t>Bandes régies par des Plans régionaux d'allotissement ou d'assignation</w:t>
      </w:r>
    </w:p>
    <w:p w14:paraId="298B6AC6" w14:textId="77777777" w:rsidR="00CB0787" w:rsidRPr="00277E7C" w:rsidRDefault="00CB0787" w:rsidP="00E51D95">
      <w:pPr>
        <w:spacing w:before="80"/>
        <w:rPr>
          <w:lang w:val="fr-FR"/>
        </w:rPr>
      </w:pPr>
      <w:r w:rsidRPr="00277E7C">
        <w:rPr>
          <w:lang w:val="fr-FR"/>
        </w:rPr>
        <w:t>2.1</w:t>
      </w:r>
      <w:r w:rsidRPr="00277E7C">
        <w:rPr>
          <w:lang w:val="fr-FR"/>
        </w:rPr>
        <w:tab/>
        <w:t>Le Bureau prend les mesures suivantes lorsqu'il ressort de l'examen d'une fiche de notification que celle-ci n'est pas conforme à un Plan annexé à l'Accord régional:</w:t>
      </w:r>
    </w:p>
    <w:p w14:paraId="648BFE2D" w14:textId="77777777" w:rsidR="00CB0787" w:rsidRPr="00277E7C" w:rsidRDefault="00CB0787" w:rsidP="00E51D95">
      <w:pPr>
        <w:spacing w:before="80"/>
        <w:rPr>
          <w:lang w:val="fr-FR"/>
        </w:rPr>
      </w:pPr>
      <w:r w:rsidRPr="00277E7C">
        <w:rPr>
          <w:lang w:val="fr-FR"/>
        </w:rPr>
        <w:t>2.1.1</w:t>
      </w:r>
      <w:r w:rsidRPr="00277E7C">
        <w:rPr>
          <w:lang w:val="fr-FR"/>
        </w:rPr>
        <w:tab/>
        <w:t>Les assignations de fréquence dans les bandes régies par les Accords régionaux cités explicitement dans le Tableau d'attribution des bandes de fréquences sont traitées de la manière suivante:</w:t>
      </w:r>
    </w:p>
    <w:p w14:paraId="69A2F2CA" w14:textId="77777777" w:rsidR="00CB0787" w:rsidRDefault="00CB0787" w:rsidP="00975364">
      <w:pPr>
        <w:rPr>
          <w:lang w:val="fr-FR"/>
        </w:rPr>
      </w:pPr>
      <w:r w:rsidRPr="00277E7C">
        <w:rPr>
          <w:lang w:val="fr-FR"/>
        </w:rPr>
        <w:t>2.1.1.1</w:t>
      </w:r>
      <w:r w:rsidRPr="00277E7C">
        <w:rPr>
          <w:lang w:val="fr-FR"/>
        </w:rPr>
        <w:tab/>
        <w:t>les fiches de notification d'assignation de fréquence soumises sans référence au numéro </w:t>
      </w:r>
      <w:r w:rsidRPr="00277E7C">
        <w:rPr>
          <w:rStyle w:val="Artref0"/>
          <w:b/>
          <w:color w:val="000000"/>
          <w:lang w:val="fr-FR"/>
        </w:rPr>
        <w:t>4.4</w:t>
      </w:r>
      <w:r w:rsidRPr="00277E7C">
        <w:rPr>
          <w:lang w:val="fr-FR"/>
        </w:rPr>
        <w:t xml:space="preserve"> sont renvoyées à l'administration notificatrice;</w:t>
      </w:r>
    </w:p>
    <w:p w14:paraId="2B49258C" w14:textId="77777777" w:rsidR="00CB0787" w:rsidRPr="00277E7C" w:rsidRDefault="00CB0787" w:rsidP="008C6AA9">
      <w:pPr>
        <w:spacing w:before="160"/>
        <w:rPr>
          <w:lang w:val="fr-FR"/>
        </w:rPr>
      </w:pPr>
      <w:r w:rsidRPr="00277E7C">
        <w:rPr>
          <w:lang w:val="fr-FR"/>
        </w:rPr>
        <w:t>2.1.1.2</w:t>
      </w:r>
      <w:r w:rsidRPr="00277E7C">
        <w:rPr>
          <w:lang w:val="fr-FR"/>
        </w:rPr>
        <w:tab/>
        <w:t xml:space="preserve">les fiches de notification d'assignation de fréquence soumises au titre des dispositions du numéro </w:t>
      </w:r>
      <w:r w:rsidRPr="00277E7C">
        <w:rPr>
          <w:rStyle w:val="Artref0"/>
          <w:b/>
          <w:color w:val="000000"/>
          <w:lang w:val="fr-FR"/>
        </w:rPr>
        <w:t>4.4</w:t>
      </w:r>
      <w:r w:rsidRPr="00277E7C">
        <w:rPr>
          <w:lang w:val="fr-FR"/>
        </w:rPr>
        <w:t xml:space="preserve"> sont inscrites avec une conclusion défavorable relativement au numéro </w:t>
      </w:r>
      <w:r w:rsidRPr="00277E7C">
        <w:rPr>
          <w:rStyle w:val="Artref0"/>
          <w:b/>
          <w:color w:val="000000"/>
          <w:lang w:val="fr-FR"/>
        </w:rPr>
        <w:t>11.31</w:t>
      </w:r>
      <w:r w:rsidRPr="00277E7C">
        <w:rPr>
          <w:lang w:val="fr-FR"/>
        </w:rPr>
        <w:t xml:space="preserve"> et aux conditions définies dans le numéro </w:t>
      </w:r>
      <w:r w:rsidRPr="00277E7C">
        <w:rPr>
          <w:rStyle w:val="Artref0"/>
          <w:b/>
          <w:color w:val="000000"/>
          <w:lang w:val="fr-FR"/>
        </w:rPr>
        <w:t>4.4</w:t>
      </w:r>
      <w:r w:rsidRPr="00277E7C">
        <w:rPr>
          <w:lang w:val="fr-FR"/>
        </w:rPr>
        <w:t>.</w:t>
      </w:r>
    </w:p>
    <w:p w14:paraId="3032307F" w14:textId="77777777" w:rsidR="00CB0787" w:rsidRPr="00277E7C" w:rsidRDefault="00CB0787" w:rsidP="008C6AA9">
      <w:pPr>
        <w:spacing w:before="160"/>
        <w:rPr>
          <w:lang w:val="fr-FR"/>
        </w:rPr>
      </w:pPr>
      <w:r w:rsidRPr="00277E7C">
        <w:rPr>
          <w:lang w:val="fr-FR"/>
        </w:rPr>
        <w:t>2.2</w:t>
      </w:r>
      <w:r w:rsidRPr="00277E7C">
        <w:rPr>
          <w:lang w:val="fr-FR"/>
        </w:rPr>
        <w:tab/>
        <w:t>Les assignations de fréquence dans les bandes régies par les Accords régionaux qui ne sont pas cités explicitement dans le Tableau d'attribution des bandes de fréquences sont traitées de la manière suivante:</w:t>
      </w:r>
    </w:p>
    <w:p w14:paraId="107B3A4D" w14:textId="77777777" w:rsidR="00CB0787" w:rsidRPr="00277E7C" w:rsidRDefault="00003A85" w:rsidP="008C6AA9">
      <w:pPr>
        <w:spacing w:before="160"/>
        <w:rPr>
          <w:lang w:val="fr-FR"/>
        </w:rPr>
      </w:pPr>
      <w:r w:rsidRPr="00277E7C">
        <w:rPr>
          <w:lang w:val="fr-FR"/>
        </w:rPr>
        <w:t>2.2.1</w:t>
      </w:r>
      <w:r w:rsidRPr="00277E7C">
        <w:rPr>
          <w:lang w:val="fr-FR"/>
        </w:rPr>
        <w:tab/>
        <w:t>En ce qui concerne les Accords qui prévoient la possibilité de mettre en service les assignations qui ne sont pas conformes au Plan correspondant (par exemple, GE75, RJ81, GE85</w:t>
      </w:r>
      <w:r w:rsidRPr="00277E7C">
        <w:rPr>
          <w:lang w:val="fr-FR"/>
        </w:rPr>
        <w:noBreakHyphen/>
        <w:t>MM</w:t>
      </w:r>
      <w:r w:rsidR="00975364" w:rsidRPr="00277E7C">
        <w:rPr>
          <w:lang w:val="fr-FR"/>
        </w:rPr>
        <w:noBreakHyphen/>
      </w:r>
      <w:r w:rsidRPr="00277E7C">
        <w:rPr>
          <w:lang w:val="fr-FR"/>
        </w:rPr>
        <w:t>R1, GE85-EMA et GE06), les assignations seront examinées compte tenu des conditions spécifiées dans les Accords et si ces conditions sont remplies, les assignations seront inscrites. Si les conditions ne sont pas remplies, les assignations seront traitées confor</w:t>
      </w:r>
      <w:r w:rsidR="00975364" w:rsidRPr="00277E7C">
        <w:rPr>
          <w:lang w:val="fr-FR"/>
        </w:rPr>
        <w:softHyphen/>
      </w:r>
      <w:r w:rsidRPr="00277E7C">
        <w:rPr>
          <w:lang w:val="fr-FR"/>
        </w:rPr>
        <w:t>mément au</w:t>
      </w:r>
      <w:r w:rsidR="00975364" w:rsidRPr="00277E7C">
        <w:rPr>
          <w:lang w:val="fr-FR"/>
        </w:rPr>
        <w:t xml:space="preserve"> </w:t>
      </w:r>
      <w:r w:rsidRPr="00277E7C">
        <w:rPr>
          <w:lang w:val="fr-FR"/>
        </w:rPr>
        <w:t>§ 2.2.2 ci-dessous, à l'exception des soumissions régies par l'Accord</w:t>
      </w:r>
      <w:r w:rsidR="00975364" w:rsidRPr="00277E7C">
        <w:rPr>
          <w:lang w:val="fr-FR"/>
        </w:rPr>
        <w:t> </w:t>
      </w:r>
      <w:r w:rsidRPr="00277E7C">
        <w:rPr>
          <w:lang w:val="fr-FR"/>
        </w:rPr>
        <w:t>GE06</w:t>
      </w:r>
      <w:r w:rsidR="007F55C2" w:rsidRPr="00277E7C">
        <w:rPr>
          <w:lang w:val="fr-FR"/>
        </w:rPr>
        <w:t>.</w:t>
      </w:r>
    </w:p>
    <w:p w14:paraId="62785E5B" w14:textId="77777777" w:rsidR="002641D0" w:rsidRDefault="002641D0">
      <w:pPr>
        <w:tabs>
          <w:tab w:val="clear" w:pos="1134"/>
          <w:tab w:val="clear" w:pos="1871"/>
          <w:tab w:val="clear" w:pos="2268"/>
        </w:tabs>
        <w:overflowPunct/>
        <w:autoSpaceDE/>
        <w:autoSpaceDN/>
        <w:adjustRightInd/>
        <w:spacing w:before="0"/>
        <w:jc w:val="left"/>
        <w:textAlignment w:val="auto"/>
        <w:rPr>
          <w:lang w:val="fr-FR"/>
        </w:rPr>
      </w:pPr>
      <w:r>
        <w:rPr>
          <w:lang w:val="fr-FR"/>
        </w:rPr>
        <w:br w:type="page"/>
      </w:r>
    </w:p>
    <w:p w14:paraId="3EC8C6B7" w14:textId="77777777" w:rsidR="00CB0787" w:rsidRPr="00277E7C" w:rsidRDefault="00CB0787" w:rsidP="008C6AA9">
      <w:pPr>
        <w:spacing w:before="160"/>
        <w:rPr>
          <w:lang w:val="fr-FR"/>
        </w:rPr>
      </w:pPr>
      <w:r w:rsidRPr="00277E7C">
        <w:rPr>
          <w:lang w:val="fr-FR"/>
        </w:rPr>
        <w:lastRenderedPageBreak/>
        <w:t>2.2.2</w:t>
      </w:r>
      <w:r w:rsidRPr="00277E7C">
        <w:rPr>
          <w:lang w:val="fr-FR"/>
        </w:rPr>
        <w:tab/>
        <w:t>En ce qui concerne les Accords qui ne contiennent aucune indication sur la mise en service des assignations non conformes au Plan correspondant (c'est-à-dire dans les bandes régies par les Accords régionaux ST61, GE84 et GE89), le Bureau renvoie la fiche de notifi</w:t>
      </w:r>
      <w:r w:rsidRPr="00277E7C">
        <w:rPr>
          <w:lang w:val="fr-FR"/>
        </w:rPr>
        <w:softHyphen/>
        <w:t xml:space="preserve">cation à l'administration en lui suggérant d'appliquer la procédure requise ou d'apporter les modifications voulues à la fiche de notification pour que l'assignation soit conforme au Plan. Toutefois, si l'administration insiste pour que la fiche de notification soit examinée à nouveau, l'assignation est inscrite avec une conclusion favorable relativement au numéro </w:t>
      </w:r>
      <w:r w:rsidR="00975364" w:rsidRPr="00277E7C">
        <w:rPr>
          <w:rStyle w:val="Artref0"/>
          <w:b/>
          <w:color w:val="000000"/>
          <w:lang w:val="fr-FR"/>
        </w:rPr>
        <w:t>11.31</w:t>
      </w:r>
      <w:r w:rsidRPr="00277E7C">
        <w:rPr>
          <w:lang w:val="fr-FR"/>
        </w:rPr>
        <w:t xml:space="preserve"> avec le ou les nom(s) de l'administration (des administrations) dont les assignations inscrites dans le Plan sont susceptibles d'être défavorablement affectées, et avec l'indication que par rapport à cette ou ces administration(s), l'assignation inscrite fonctionnera aux conditions de ne pas causer de brouillage préjudiciable à, de ne pas demander de protection contre le brouillage préjudiciable causé par une station fonctionnant conformément au Plan.</w:t>
      </w:r>
    </w:p>
    <w:p w14:paraId="377C2569" w14:textId="77777777" w:rsidR="00003A85" w:rsidRPr="00277E7C" w:rsidRDefault="00003A85" w:rsidP="0031780E">
      <w:pPr>
        <w:spacing w:before="160"/>
        <w:rPr>
          <w:lang w:val="fr-FR"/>
        </w:rPr>
      </w:pPr>
      <w:r w:rsidRPr="00277E7C">
        <w:rPr>
          <w:iCs/>
          <w:lang w:val="fr-FR"/>
        </w:rPr>
        <w:t>2.2.3</w:t>
      </w:r>
      <w:r w:rsidRPr="00277E7C">
        <w:rPr>
          <w:iCs/>
          <w:lang w:val="fr-FR"/>
        </w:rPr>
        <w:tab/>
        <w:t>Les soumissions régies par l'Accord GE06, qui ne sont pas conformes aux Plans de radiodiffusion ou à la Liste des assignations à d'autres services primaires de Terre, sont</w:t>
      </w:r>
      <w:r w:rsidR="0031780E">
        <w:rPr>
          <w:iCs/>
          <w:lang w:val="fr-FR"/>
        </w:rPr>
        <w:t xml:space="preserve"> </w:t>
      </w:r>
      <w:r w:rsidRPr="00277E7C">
        <w:rPr>
          <w:iCs/>
          <w:lang w:val="fr-FR"/>
        </w:rPr>
        <w:t>traitées conformément aux procédures applicables, comme indiqué dans l'Article</w:t>
      </w:r>
      <w:r w:rsidR="00975364" w:rsidRPr="00277E7C">
        <w:rPr>
          <w:iCs/>
          <w:lang w:val="fr-FR"/>
        </w:rPr>
        <w:t xml:space="preserve"> </w:t>
      </w:r>
      <w:r w:rsidRPr="00277E7C">
        <w:rPr>
          <w:iCs/>
          <w:lang w:val="fr-FR"/>
        </w:rPr>
        <w:t>5 de l'Accord</w:t>
      </w:r>
      <w:r w:rsidR="00975364" w:rsidRPr="00277E7C">
        <w:rPr>
          <w:iCs/>
          <w:lang w:val="fr-FR"/>
        </w:rPr>
        <w:t> </w:t>
      </w:r>
      <w:r w:rsidRPr="00277E7C">
        <w:rPr>
          <w:iCs/>
          <w:lang w:val="fr-FR"/>
        </w:rPr>
        <w:t>GE06.</w:t>
      </w:r>
    </w:p>
    <w:p w14:paraId="30B3F933" w14:textId="77777777" w:rsidR="00CB0787" w:rsidRPr="00277E7C" w:rsidRDefault="00CB0787" w:rsidP="00975364">
      <w:pPr>
        <w:pStyle w:val="Heading8"/>
        <w:rPr>
          <w:color w:val="000000"/>
          <w:lang w:val="fr-FR"/>
        </w:rPr>
      </w:pPr>
      <w:r w:rsidRPr="00277E7C">
        <w:rPr>
          <w:color w:val="000000"/>
          <w:lang w:val="fr-FR"/>
        </w:rPr>
        <w:t>11.36</w:t>
      </w:r>
    </w:p>
    <w:p w14:paraId="036BDB05" w14:textId="77777777" w:rsidR="00CB0787" w:rsidRPr="00277E7C" w:rsidRDefault="00CB0787" w:rsidP="008C6AA9">
      <w:pPr>
        <w:spacing w:before="160"/>
        <w:rPr>
          <w:color w:val="000000"/>
          <w:lang w:val="fr-FR"/>
        </w:rPr>
      </w:pPr>
      <w:r w:rsidRPr="00277E7C">
        <w:rPr>
          <w:color w:val="000000"/>
          <w:lang w:val="fr-FR"/>
        </w:rPr>
        <w:t>Voir les commentaires concernant les Règles de procédure relatives au numéro </w:t>
      </w:r>
      <w:r w:rsidRPr="00277E7C">
        <w:rPr>
          <w:rStyle w:val="Artref0"/>
          <w:b/>
          <w:color w:val="000000"/>
          <w:lang w:val="fr-FR"/>
        </w:rPr>
        <w:t>4.4</w:t>
      </w:r>
      <w:r w:rsidRPr="00277E7C">
        <w:rPr>
          <w:color w:val="000000"/>
          <w:lang w:val="fr-FR"/>
        </w:rPr>
        <w:t>, au sujet des bandes de fréquences dont toute utilisation autre que celle indiquée dans le Règlement des radiocommunications est interdite.</w:t>
      </w:r>
    </w:p>
    <w:p w14:paraId="5BBDF8DA" w14:textId="77777777" w:rsidR="00CB0787" w:rsidRPr="00277E7C" w:rsidRDefault="00CB0787" w:rsidP="00975364">
      <w:pPr>
        <w:pStyle w:val="Heading8"/>
        <w:rPr>
          <w:color w:val="000000"/>
          <w:lang w:val="fr-FR"/>
        </w:rPr>
      </w:pPr>
      <w:r w:rsidRPr="00277E7C">
        <w:rPr>
          <w:color w:val="000000"/>
          <w:lang w:val="fr-FR"/>
        </w:rPr>
        <w:t>11.37</w:t>
      </w:r>
    </w:p>
    <w:p w14:paraId="22009937" w14:textId="77777777" w:rsidR="00CB0787" w:rsidRPr="008C6AA9" w:rsidRDefault="00CB0787" w:rsidP="00106B7C">
      <w:pPr>
        <w:spacing w:before="160"/>
        <w:rPr>
          <w:color w:val="000000"/>
          <w:spacing w:val="-4"/>
          <w:lang w:val="fr-FR"/>
        </w:rPr>
      </w:pPr>
      <w:r w:rsidRPr="008C6AA9">
        <w:rPr>
          <w:color w:val="000000"/>
          <w:spacing w:val="-4"/>
          <w:lang w:val="fr-FR"/>
        </w:rPr>
        <w:t>Une assignation ne peut être inscrite dans le Fichier de référence en application du numéro </w:t>
      </w:r>
      <w:r w:rsidRPr="008C6AA9">
        <w:rPr>
          <w:rStyle w:val="Artref0"/>
          <w:b/>
          <w:color w:val="000000"/>
          <w:spacing w:val="-4"/>
          <w:lang w:val="fr-FR"/>
        </w:rPr>
        <w:t>4.4</w:t>
      </w:r>
      <w:r w:rsidRPr="008C6AA9">
        <w:rPr>
          <w:color w:val="000000"/>
          <w:spacing w:val="-4"/>
          <w:lang w:val="fr-FR"/>
        </w:rPr>
        <w:t xml:space="preserve"> qu'en cas de conclusion défavorable relativement au numéro </w:t>
      </w:r>
      <w:r w:rsidRPr="008C6AA9">
        <w:rPr>
          <w:rStyle w:val="Artref0"/>
          <w:b/>
          <w:color w:val="000000"/>
          <w:spacing w:val="-4"/>
          <w:lang w:val="fr-FR"/>
        </w:rPr>
        <w:t>11.31</w:t>
      </w:r>
      <w:r w:rsidRPr="008C6AA9">
        <w:rPr>
          <w:color w:val="000000"/>
          <w:spacing w:val="-4"/>
          <w:lang w:val="fr-FR"/>
        </w:rPr>
        <w:t>, par exemple en cas de non-conformité avec le Tableau d'attribution des bandes de fréquences (voir le numéro </w:t>
      </w:r>
      <w:r w:rsidRPr="008C6AA9">
        <w:rPr>
          <w:rStyle w:val="Artref0"/>
          <w:b/>
          <w:color w:val="000000"/>
          <w:spacing w:val="-4"/>
          <w:lang w:val="fr-FR"/>
        </w:rPr>
        <w:t>11.36</w:t>
      </w:r>
      <w:r w:rsidRPr="008C6AA9">
        <w:rPr>
          <w:color w:val="000000"/>
          <w:spacing w:val="-4"/>
          <w:lang w:val="fr-FR"/>
        </w:rPr>
        <w:t xml:space="preserve">). Cela signifie que le numéro </w:t>
      </w:r>
      <w:r w:rsidRPr="008C6AA9">
        <w:rPr>
          <w:rStyle w:val="Artref0"/>
          <w:b/>
          <w:color w:val="000000"/>
          <w:spacing w:val="-4"/>
          <w:lang w:val="fr-FR"/>
        </w:rPr>
        <w:t>4.4</w:t>
      </w:r>
      <w:r w:rsidRPr="008C6AA9">
        <w:rPr>
          <w:color w:val="000000"/>
          <w:spacing w:val="-4"/>
          <w:lang w:val="fr-FR"/>
        </w:rPr>
        <w:t xml:space="preserve"> est aussi applicable en cas de non-conformité aux conditions régissant la coordination prescrites au numéro </w:t>
      </w:r>
      <w:r w:rsidRPr="008C6AA9">
        <w:rPr>
          <w:rStyle w:val="Artref0"/>
          <w:b/>
          <w:color w:val="000000"/>
          <w:spacing w:val="-4"/>
          <w:lang w:val="fr-FR"/>
        </w:rPr>
        <w:t>9.21</w:t>
      </w:r>
      <w:r w:rsidRPr="008C6AA9">
        <w:rPr>
          <w:color w:val="000000"/>
          <w:spacing w:val="-4"/>
          <w:lang w:val="fr-FR"/>
        </w:rPr>
        <w:t xml:space="preserve">, lorsque ce numéro est cité dans un renvoi du Tableau (voir le numéro </w:t>
      </w:r>
      <w:r w:rsidRPr="008C6AA9">
        <w:rPr>
          <w:rStyle w:val="Artref0"/>
          <w:b/>
          <w:color w:val="000000"/>
          <w:spacing w:val="-4"/>
          <w:lang w:val="fr-FR"/>
        </w:rPr>
        <w:t>11.31.1</w:t>
      </w:r>
      <w:r w:rsidRPr="008C6AA9">
        <w:rPr>
          <w:color w:val="000000"/>
          <w:spacing w:val="-4"/>
          <w:lang w:val="fr-FR"/>
        </w:rPr>
        <w:t>). En conséquence, une assignation qui est conforme au Tableau d'attribution des bandes de fréquences, mais pour laquelle la procédure de coordi</w:t>
      </w:r>
      <w:r w:rsidRPr="008C6AA9">
        <w:rPr>
          <w:color w:val="000000"/>
          <w:spacing w:val="-4"/>
          <w:lang w:val="fr-FR"/>
        </w:rPr>
        <w:softHyphen/>
        <w:t xml:space="preserve">nation pertinente (numéros </w:t>
      </w:r>
      <w:r w:rsidRPr="008C6AA9">
        <w:rPr>
          <w:rStyle w:val="Artref0"/>
          <w:b/>
          <w:color w:val="000000"/>
          <w:spacing w:val="-4"/>
          <w:lang w:val="fr-FR"/>
        </w:rPr>
        <w:t>9.7</w:t>
      </w:r>
      <w:r w:rsidRPr="008C6AA9">
        <w:rPr>
          <w:color w:val="000000"/>
          <w:spacing w:val="-4"/>
          <w:lang w:val="fr-FR"/>
        </w:rPr>
        <w:t xml:space="preserve"> à </w:t>
      </w:r>
      <w:r w:rsidRPr="008C6AA9">
        <w:rPr>
          <w:rStyle w:val="Artref0"/>
          <w:b/>
          <w:color w:val="000000"/>
          <w:spacing w:val="-4"/>
          <w:lang w:val="fr-FR"/>
        </w:rPr>
        <w:t>9.19</w:t>
      </w:r>
      <w:r w:rsidRPr="008C6AA9">
        <w:rPr>
          <w:color w:val="000000"/>
          <w:spacing w:val="-4"/>
          <w:lang w:val="fr-FR"/>
        </w:rPr>
        <w:t xml:space="preserve"> par exemple) n'a pas été menée à bonne fin, ne peut être</w:t>
      </w:r>
      <w:r w:rsidR="00106B7C">
        <w:rPr>
          <w:color w:val="000000"/>
          <w:spacing w:val="-4"/>
          <w:lang w:val="fr-FR"/>
        </w:rPr>
        <w:t xml:space="preserve"> </w:t>
      </w:r>
      <w:r w:rsidRPr="008C6AA9">
        <w:rPr>
          <w:color w:val="000000"/>
          <w:spacing w:val="-4"/>
          <w:lang w:val="fr-FR"/>
        </w:rPr>
        <w:t xml:space="preserve">inscrite au titre du numéro </w:t>
      </w:r>
      <w:r w:rsidRPr="008C6AA9">
        <w:rPr>
          <w:rStyle w:val="Artref0"/>
          <w:b/>
          <w:color w:val="000000"/>
          <w:spacing w:val="-4"/>
          <w:lang w:val="fr-FR"/>
        </w:rPr>
        <w:t>4.4</w:t>
      </w:r>
      <w:r w:rsidRPr="008C6AA9">
        <w:rPr>
          <w:color w:val="000000"/>
          <w:spacing w:val="-4"/>
          <w:lang w:val="fr-FR"/>
        </w:rPr>
        <w:t xml:space="preserve">. D'autres dispositions (par exemple les numéros </w:t>
      </w:r>
      <w:r w:rsidRPr="008C6AA9">
        <w:rPr>
          <w:rStyle w:val="Artref0"/>
          <w:b/>
          <w:color w:val="000000"/>
          <w:spacing w:val="-4"/>
          <w:lang w:val="fr-FR"/>
        </w:rPr>
        <w:t>11.32A</w:t>
      </w:r>
      <w:r w:rsidRPr="008C6AA9">
        <w:rPr>
          <w:color w:val="000000"/>
          <w:spacing w:val="-4"/>
          <w:lang w:val="fr-FR"/>
        </w:rPr>
        <w:t xml:space="preserve">, </w:t>
      </w:r>
      <w:r w:rsidRPr="008C6AA9">
        <w:rPr>
          <w:rStyle w:val="Artref0"/>
          <w:b/>
          <w:color w:val="000000"/>
          <w:spacing w:val="-4"/>
          <w:lang w:val="fr-FR"/>
        </w:rPr>
        <w:t>11.33</w:t>
      </w:r>
      <w:r w:rsidRPr="008C6AA9">
        <w:rPr>
          <w:color w:val="000000"/>
          <w:spacing w:val="-4"/>
          <w:lang w:val="fr-FR"/>
        </w:rPr>
        <w:t xml:space="preserve"> et </w:t>
      </w:r>
      <w:r w:rsidRPr="008C6AA9">
        <w:rPr>
          <w:rStyle w:val="Artref0"/>
          <w:b/>
          <w:color w:val="000000"/>
          <w:spacing w:val="-4"/>
          <w:lang w:val="fr-FR"/>
        </w:rPr>
        <w:t>11.41</w:t>
      </w:r>
      <w:r w:rsidRPr="008C6AA9">
        <w:rPr>
          <w:color w:val="000000"/>
          <w:spacing w:val="-4"/>
          <w:lang w:val="fr-FR"/>
        </w:rPr>
        <w:t>) peuvent permettre, dans certaines circonstances, de procéder à l'inscription d'une assignation lorsque la coordination n'a pas été menée à bonne fin.</w:t>
      </w:r>
    </w:p>
    <w:p w14:paraId="1058D80E" w14:textId="77777777" w:rsidR="00BA12C0" w:rsidRDefault="00BA12C0">
      <w:pPr>
        <w:tabs>
          <w:tab w:val="clear" w:pos="1134"/>
          <w:tab w:val="clear" w:pos="1871"/>
          <w:tab w:val="clear" w:pos="2268"/>
        </w:tabs>
        <w:overflowPunct/>
        <w:autoSpaceDE/>
        <w:autoSpaceDN/>
        <w:adjustRightInd/>
        <w:spacing w:before="0"/>
        <w:jc w:val="left"/>
        <w:textAlignment w:val="auto"/>
        <w:rPr>
          <w:b/>
          <w:color w:val="000000"/>
          <w:lang w:val="fr-FR"/>
        </w:rPr>
        <w:sectPr w:rsidR="00BA12C0" w:rsidSect="003068AD">
          <w:footnotePr>
            <w:pos w:val="beneathText"/>
          </w:footnotePr>
          <w:pgSz w:w="11907" w:h="16840" w:code="9"/>
          <w:pgMar w:top="1701" w:right="851" w:bottom="1134" w:left="1985" w:header="720" w:footer="482" w:gutter="0"/>
          <w:cols w:space="720"/>
          <w:vAlign w:val="both"/>
          <w:docGrid w:linePitch="326"/>
        </w:sectPr>
      </w:pPr>
    </w:p>
    <w:p w14:paraId="5AEF6584" w14:textId="77777777" w:rsidR="006034D4" w:rsidRPr="006034D4" w:rsidRDefault="006034D4" w:rsidP="00732677">
      <w:pPr>
        <w:keepNext/>
        <w:keepLines/>
        <w:pBdr>
          <w:top w:val="double" w:sz="6" w:space="1" w:color="auto"/>
          <w:left w:val="double" w:sz="6" w:space="1" w:color="auto"/>
          <w:bottom w:val="double" w:sz="6" w:space="1" w:color="auto"/>
          <w:right w:val="double" w:sz="6" w:space="21" w:color="auto"/>
        </w:pBdr>
        <w:tabs>
          <w:tab w:val="clear" w:pos="1134"/>
          <w:tab w:val="clear" w:pos="1871"/>
          <w:tab w:val="left" w:pos="1985"/>
        </w:tabs>
        <w:spacing w:before="80" w:line="260" w:lineRule="exact"/>
        <w:ind w:left="85" w:right="7938"/>
        <w:jc w:val="left"/>
        <w:outlineLvl w:val="7"/>
        <w:rPr>
          <w:b/>
          <w:color w:val="000000"/>
          <w:lang w:val="fr-CH"/>
        </w:rPr>
      </w:pPr>
      <w:r w:rsidRPr="006034D4">
        <w:rPr>
          <w:b/>
          <w:color w:val="000000"/>
          <w:lang w:val="fr-CH"/>
        </w:rPr>
        <w:lastRenderedPageBreak/>
        <w:t xml:space="preserve">11.41 </w:t>
      </w:r>
      <w:r w:rsidR="006E085F">
        <w:rPr>
          <w:b/>
          <w:lang w:val="fr-CH"/>
        </w:rPr>
        <w:t>et</w:t>
      </w:r>
      <w:r w:rsidRPr="006034D4">
        <w:rPr>
          <w:b/>
          <w:lang w:val="fr-CH"/>
        </w:rPr>
        <w:t xml:space="preserve"> 11.41.2</w:t>
      </w:r>
    </w:p>
    <w:p w14:paraId="2D165A70" w14:textId="77777777" w:rsidR="006034D4" w:rsidRPr="006034D4" w:rsidRDefault="006034D4" w:rsidP="00804A35">
      <w:pPr>
        <w:spacing w:before="40" w:line="260" w:lineRule="exact"/>
        <w:rPr>
          <w:rFonts w:asciiTheme="majorBidi" w:hAnsiTheme="majorBidi" w:cstheme="majorBidi"/>
          <w:szCs w:val="24"/>
          <w:lang w:val="fr-CH" w:eastAsia="zh-CN"/>
        </w:rPr>
      </w:pPr>
      <w:r w:rsidRPr="006034D4">
        <w:rPr>
          <w:rFonts w:asciiTheme="majorBidi" w:hAnsiTheme="majorBidi" w:cstheme="majorBidi"/>
          <w:lang w:val="fr-CH"/>
        </w:rPr>
        <w:t xml:space="preserve">Aux termes des dispositions du numéro </w:t>
      </w:r>
      <w:r w:rsidRPr="006034D4">
        <w:rPr>
          <w:rFonts w:asciiTheme="majorBidi" w:hAnsiTheme="majorBidi" w:cstheme="majorBidi"/>
          <w:b/>
          <w:bCs/>
          <w:lang w:val="fr-CH"/>
        </w:rPr>
        <w:t>11.41.2</w:t>
      </w:r>
      <w:r w:rsidRPr="006034D4">
        <w:rPr>
          <w:rFonts w:asciiTheme="majorBidi" w:hAnsiTheme="majorBidi" w:cstheme="majorBidi"/>
          <w:lang w:val="fr-CH"/>
        </w:rPr>
        <w:t xml:space="preserve"> l'administration notificatrice, lorsqu'elle soumet des fiches de notification conformément au numéro</w:t>
      </w:r>
      <w:r w:rsidRPr="006034D4">
        <w:rPr>
          <w:rFonts w:asciiTheme="majorBidi" w:hAnsiTheme="majorBidi" w:cstheme="majorBidi"/>
          <w:szCs w:val="24"/>
          <w:lang w:val="fr-CH" w:eastAsia="zh-CN"/>
        </w:rPr>
        <w:t xml:space="preserve"> </w:t>
      </w:r>
      <w:r w:rsidRPr="006034D4">
        <w:rPr>
          <w:rFonts w:asciiTheme="majorBidi" w:hAnsiTheme="majorBidi" w:cstheme="majorBidi"/>
          <w:b/>
          <w:bCs/>
          <w:szCs w:val="24"/>
          <w:lang w:val="fr-CH" w:eastAsia="zh-CN"/>
        </w:rPr>
        <w:t>11.41</w:t>
      </w:r>
      <w:r w:rsidRPr="006034D4">
        <w:rPr>
          <w:rFonts w:asciiTheme="majorBidi" w:hAnsiTheme="majorBidi" w:cstheme="majorBidi"/>
          <w:szCs w:val="24"/>
          <w:lang w:val="fr-CH" w:eastAsia="zh-CN"/>
        </w:rPr>
        <w:t>, doit indiquer au Bureau que des efforts ont été déployés, sans succès, en vue d'effectuer la coordination avec les administrations dont les assignations ont constitué la base des conclusions défavorables relativement au numéro </w:t>
      </w:r>
      <w:r w:rsidRPr="006034D4">
        <w:rPr>
          <w:rFonts w:asciiTheme="majorBidi" w:hAnsiTheme="majorBidi" w:cstheme="majorBidi"/>
          <w:b/>
          <w:bCs/>
          <w:szCs w:val="24"/>
          <w:lang w:val="fr-CH" w:eastAsia="zh-CN"/>
        </w:rPr>
        <w:t>11.38</w:t>
      </w:r>
      <w:r w:rsidRPr="006034D4">
        <w:rPr>
          <w:rFonts w:asciiTheme="majorBidi" w:hAnsiTheme="majorBidi" w:cstheme="majorBidi"/>
          <w:szCs w:val="24"/>
          <w:lang w:val="fr-CH" w:eastAsia="zh-CN"/>
        </w:rPr>
        <w:t>. En l'absence d'une telle indication, une nouvelle soumission au titre du numéro </w:t>
      </w:r>
      <w:r w:rsidRPr="006034D4">
        <w:rPr>
          <w:rFonts w:asciiTheme="majorBidi" w:hAnsiTheme="majorBidi" w:cstheme="majorBidi"/>
          <w:b/>
          <w:bCs/>
          <w:szCs w:val="24"/>
          <w:lang w:val="fr-CH" w:eastAsia="zh-CN"/>
        </w:rPr>
        <w:t>11.41</w:t>
      </w:r>
      <w:r w:rsidRPr="006034D4">
        <w:rPr>
          <w:rFonts w:asciiTheme="majorBidi" w:hAnsiTheme="majorBidi" w:cstheme="majorBidi"/>
          <w:szCs w:val="24"/>
          <w:lang w:val="fr-CH" w:eastAsia="zh-CN"/>
        </w:rPr>
        <w:t xml:space="preserve">, après qu'une fiche de notification a été retournée en application du numéro </w:t>
      </w:r>
      <w:r w:rsidRPr="006034D4">
        <w:rPr>
          <w:rFonts w:asciiTheme="majorBidi" w:hAnsiTheme="majorBidi" w:cstheme="majorBidi"/>
          <w:b/>
          <w:bCs/>
          <w:szCs w:val="24"/>
          <w:lang w:val="fr-CH" w:eastAsia="zh-CN"/>
        </w:rPr>
        <w:t>11.38</w:t>
      </w:r>
      <w:r w:rsidRPr="006034D4">
        <w:rPr>
          <w:rFonts w:asciiTheme="majorBidi" w:hAnsiTheme="majorBidi" w:cstheme="majorBidi"/>
          <w:szCs w:val="24"/>
          <w:lang w:val="fr-CH" w:eastAsia="zh-CN"/>
        </w:rPr>
        <w:t>, sera considérée comme non recevable et retournée à l'administration.</w:t>
      </w:r>
    </w:p>
    <w:p w14:paraId="4D983A3A" w14:textId="77777777" w:rsidR="00CB0787" w:rsidRPr="00277E7C" w:rsidRDefault="00CB0787" w:rsidP="00804A35">
      <w:pPr>
        <w:pStyle w:val="Heading8"/>
        <w:spacing w:before="80" w:line="260" w:lineRule="exact"/>
        <w:rPr>
          <w:color w:val="000000"/>
          <w:lang w:val="fr-FR"/>
        </w:rPr>
      </w:pPr>
      <w:r w:rsidRPr="00277E7C">
        <w:rPr>
          <w:color w:val="000000"/>
          <w:lang w:val="fr-FR"/>
        </w:rPr>
        <w:t>11.43A</w:t>
      </w:r>
    </w:p>
    <w:p w14:paraId="63FE9E1B" w14:textId="6D48FE8F" w:rsidR="00CB0787" w:rsidRPr="00277E7C" w:rsidRDefault="00CB0787" w:rsidP="00804A35">
      <w:pPr>
        <w:spacing w:before="40" w:line="260" w:lineRule="exact"/>
        <w:rPr>
          <w:color w:val="000000"/>
          <w:lang w:val="fr-FR"/>
        </w:rPr>
      </w:pPr>
      <w:r w:rsidRPr="00277E7C">
        <w:rPr>
          <w:color w:val="000000"/>
          <w:lang w:val="fr-FR"/>
        </w:rPr>
        <w:t>1</w:t>
      </w:r>
      <w:r w:rsidRPr="00277E7C">
        <w:rPr>
          <w:color w:val="000000"/>
          <w:lang w:val="fr-FR"/>
        </w:rPr>
        <w:tab/>
        <w:t>Les caractéristiques d'un réseau spatial peuvent être modifiées au cours de la procédure de coordination; voir à ce sujet les commentaires formulés au titre des Règles de procédure relatives aux numéros </w:t>
      </w:r>
      <w:r w:rsidRPr="00277E7C">
        <w:rPr>
          <w:rStyle w:val="Artref0"/>
          <w:b/>
          <w:color w:val="000000"/>
          <w:lang w:val="fr-FR"/>
        </w:rPr>
        <w:t>9.27</w:t>
      </w:r>
      <w:r w:rsidRPr="00277E7C">
        <w:rPr>
          <w:color w:val="000000"/>
          <w:lang w:val="fr-FR"/>
        </w:rPr>
        <w:t xml:space="preserve"> (§ </w:t>
      </w:r>
      <w:r w:rsidR="00BA12C0">
        <w:rPr>
          <w:color w:val="000000"/>
          <w:lang w:val="fr-FR"/>
        </w:rPr>
        <w:t>2</w:t>
      </w:r>
      <w:r w:rsidRPr="00277E7C">
        <w:rPr>
          <w:color w:val="000000"/>
          <w:lang w:val="fr-FR"/>
        </w:rPr>
        <w:t xml:space="preserve">), </w:t>
      </w:r>
      <w:r w:rsidRPr="00277E7C">
        <w:rPr>
          <w:rStyle w:val="Artref0"/>
          <w:b/>
          <w:color w:val="000000"/>
          <w:lang w:val="fr-FR"/>
        </w:rPr>
        <w:t>9.58</w:t>
      </w:r>
      <w:r w:rsidRPr="00277E7C">
        <w:rPr>
          <w:color w:val="000000"/>
          <w:lang w:val="fr-FR"/>
        </w:rPr>
        <w:t xml:space="preserve">, </w:t>
      </w:r>
      <w:r w:rsidRPr="00277E7C">
        <w:rPr>
          <w:rStyle w:val="Artref0"/>
          <w:b/>
          <w:color w:val="000000"/>
          <w:lang w:val="fr-FR"/>
        </w:rPr>
        <w:t>11.28</w:t>
      </w:r>
      <w:r w:rsidRPr="00277E7C">
        <w:rPr>
          <w:color w:val="000000"/>
          <w:lang w:val="fr-FR"/>
        </w:rPr>
        <w:t xml:space="preserve"> et </w:t>
      </w:r>
      <w:r w:rsidRPr="00277E7C">
        <w:rPr>
          <w:rStyle w:val="Artref0"/>
          <w:b/>
          <w:color w:val="000000"/>
          <w:lang w:val="fr-FR"/>
        </w:rPr>
        <w:t>11.32</w:t>
      </w:r>
      <w:r w:rsidRPr="00277E7C">
        <w:rPr>
          <w:color w:val="000000"/>
          <w:lang w:val="fr-FR"/>
        </w:rPr>
        <w:t>.</w:t>
      </w:r>
    </w:p>
    <w:p w14:paraId="3A04663F" w14:textId="3677B270" w:rsidR="00CB0787" w:rsidRPr="008C6AA9" w:rsidRDefault="00CB0787" w:rsidP="00430025">
      <w:pPr>
        <w:spacing w:before="40" w:line="260" w:lineRule="exact"/>
        <w:rPr>
          <w:color w:val="000000"/>
          <w:spacing w:val="-4"/>
          <w:lang w:val="fr-FR"/>
        </w:rPr>
      </w:pPr>
      <w:r w:rsidRPr="00277E7C">
        <w:rPr>
          <w:color w:val="000000"/>
          <w:lang w:val="fr-FR"/>
        </w:rPr>
        <w:t>2</w:t>
      </w:r>
      <w:r w:rsidRPr="00277E7C">
        <w:rPr>
          <w:color w:val="000000"/>
          <w:lang w:val="fr-FR"/>
        </w:rPr>
        <w:tab/>
      </w:r>
      <w:r w:rsidRPr="008C6AA9">
        <w:rPr>
          <w:color w:val="000000"/>
          <w:spacing w:val="-4"/>
          <w:lang w:val="fr-FR"/>
        </w:rPr>
        <w:t xml:space="preserve">Si la modification porte sur la notification d'une ou d'assignations de fréquence dans une ou des bandes de fréquences non couvertes par une autre ou d'autres assignations déjà inscrites dans le Fichier de référence, le numéro </w:t>
      </w:r>
      <w:r w:rsidRPr="008C6AA9">
        <w:rPr>
          <w:rStyle w:val="Artref0"/>
          <w:b/>
          <w:color w:val="000000"/>
          <w:spacing w:val="-4"/>
          <w:lang w:val="fr-FR"/>
        </w:rPr>
        <w:t>11.43A</w:t>
      </w:r>
      <w:r w:rsidRPr="008C6AA9">
        <w:rPr>
          <w:color w:val="000000"/>
          <w:spacing w:val="-4"/>
          <w:lang w:val="fr-FR"/>
        </w:rPr>
        <w:t xml:space="preserve"> ne s'applique pas et la modifi</w:t>
      </w:r>
      <w:r w:rsidRPr="008C6AA9">
        <w:rPr>
          <w:color w:val="000000"/>
          <w:spacing w:val="-4"/>
          <w:lang w:val="fr-FR"/>
        </w:rPr>
        <w:softHyphen/>
        <w:t>cation sera traitée au titre du numéro </w:t>
      </w:r>
      <w:r w:rsidRPr="008C6AA9">
        <w:rPr>
          <w:rStyle w:val="Artref0"/>
          <w:b/>
          <w:color w:val="000000"/>
          <w:spacing w:val="-4"/>
          <w:lang w:val="fr-FR"/>
        </w:rPr>
        <w:t>11.2</w:t>
      </w:r>
      <w:r w:rsidRPr="008C6AA9">
        <w:rPr>
          <w:color w:val="000000"/>
          <w:spacing w:val="-4"/>
          <w:lang w:val="fr-FR"/>
        </w:rPr>
        <w:t xml:space="preserve"> ou du numéro </w:t>
      </w:r>
      <w:r w:rsidRPr="008C6AA9">
        <w:rPr>
          <w:rStyle w:val="Artref0"/>
          <w:b/>
          <w:color w:val="000000"/>
          <w:spacing w:val="-4"/>
          <w:lang w:val="fr-FR"/>
        </w:rPr>
        <w:t>11.9</w:t>
      </w:r>
      <w:r w:rsidRPr="008C6AA9">
        <w:rPr>
          <w:color w:val="000000"/>
          <w:spacing w:val="-4"/>
          <w:lang w:val="fr-FR"/>
        </w:rPr>
        <w:t>, selon le cas.</w:t>
      </w:r>
    </w:p>
    <w:p w14:paraId="29EB8939" w14:textId="09F63923" w:rsidR="000F5A20" w:rsidRPr="007C23E7" w:rsidRDefault="000F5A20" w:rsidP="000F5A20">
      <w:pPr>
        <w:rPr>
          <w:sz w:val="16"/>
          <w:szCs w:val="16"/>
          <w:lang w:val="fr-CH"/>
        </w:rPr>
      </w:pPr>
      <w:r w:rsidRPr="000F5A20">
        <w:rPr>
          <w:lang w:val="fr-FR"/>
        </w:rPr>
        <w:t xml:space="preserve">L'examen prévu au numéro </w:t>
      </w:r>
      <w:r w:rsidRPr="000F5A20">
        <w:rPr>
          <w:b/>
          <w:bCs/>
          <w:lang w:val="fr-FR"/>
        </w:rPr>
        <w:t>11.43A</w:t>
      </w:r>
      <w:r w:rsidRPr="000F5A20">
        <w:rPr>
          <w:lang w:val="fr-FR"/>
        </w:rPr>
        <w:t xml:space="preserve"> vise à déterminer si l'obligation de coordination reste inchangée ou, le cas échéant, si la probabilité de brouillage préjudiciable n'a pas été augmentée (voir également les Règles de procédure relatives aux numéros </w:t>
      </w:r>
      <w:r w:rsidRPr="000F5A20">
        <w:rPr>
          <w:b/>
          <w:bCs/>
          <w:lang w:val="fr-FR"/>
        </w:rPr>
        <w:t>11.28</w:t>
      </w:r>
      <w:r w:rsidRPr="000F5A20">
        <w:rPr>
          <w:lang w:val="fr-FR"/>
        </w:rPr>
        <w:t xml:space="preserve"> et </w:t>
      </w:r>
      <w:r w:rsidRPr="000F5A20">
        <w:rPr>
          <w:b/>
          <w:bCs/>
          <w:lang w:val="fr-FR"/>
        </w:rPr>
        <w:t>11.32</w:t>
      </w:r>
      <w:r w:rsidRPr="000F5A20">
        <w:rPr>
          <w:lang w:val="fr-FR"/>
        </w:rPr>
        <w:t xml:space="preserve">). En pareils cas, on applique les dispositions du numéro </w:t>
      </w:r>
      <w:r w:rsidRPr="000F5A20">
        <w:rPr>
          <w:b/>
          <w:bCs/>
          <w:lang w:val="fr-FR"/>
        </w:rPr>
        <w:t>11.43B</w:t>
      </w:r>
      <w:r w:rsidRPr="000F5A20">
        <w:rPr>
          <w:lang w:val="fr-FR"/>
        </w:rPr>
        <w:t xml:space="preserve">, afin que le statut (Conclusions) et la date de protection de l'assignation restent inchangés. Si, en raison des modifications, la comparaison entre les niveaux de brouillage (par exemple </w:t>
      </w:r>
      <w:r w:rsidRPr="000F5A20">
        <w:rPr>
          <w:color w:val="000000"/>
          <w:spacing w:val="-4"/>
          <w:lang w:val="fr-FR"/>
        </w:rPr>
        <w:sym w:font="Symbol" w:char="F044"/>
      </w:r>
      <w:r w:rsidRPr="000F5A20">
        <w:rPr>
          <w:i/>
          <w:color w:val="000000"/>
          <w:spacing w:val="-4"/>
          <w:lang w:val="fr-FR"/>
        </w:rPr>
        <w:t>T</w:t>
      </w:r>
      <w:r w:rsidRPr="000F5A20">
        <w:rPr>
          <w:color w:val="000000"/>
          <w:spacing w:val="-4"/>
          <w:lang w:val="fr-FR"/>
        </w:rPr>
        <w:t>/</w:t>
      </w:r>
      <w:r w:rsidRPr="000F5A20">
        <w:rPr>
          <w:i/>
          <w:color w:val="000000"/>
          <w:spacing w:val="-4"/>
          <w:lang w:val="fr-FR"/>
        </w:rPr>
        <w:t>T</w:t>
      </w:r>
      <w:r w:rsidRPr="000F5A20">
        <w:rPr>
          <w:lang w:val="fr-FR"/>
        </w:rPr>
        <w:t xml:space="preserve">) (voir aussi les § 2.3 et 2.4 des Règles de procédures relatives au numéro </w:t>
      </w:r>
      <w:r w:rsidRPr="000F5A20">
        <w:rPr>
          <w:b/>
          <w:bCs/>
          <w:lang w:val="fr-FR"/>
        </w:rPr>
        <w:t>9.27</w:t>
      </w:r>
      <w:r w:rsidRPr="000F5A20">
        <w:rPr>
          <w:lang w:val="fr-FR"/>
        </w:rPr>
        <w:t>) résultant de l'examen des caractéristiques initiales et de celui des caractéristiques modifiées fait apparaître la nécessité d'une nouvelle coordination, une conclusion défavorable est formulée et la fiche de notification est retournée à l'administration notificatrice. Celle-ci sera alors invitée à appliquer la Section</w:t>
      </w:r>
      <w:r>
        <w:rPr>
          <w:lang w:val="fr-FR"/>
        </w:rPr>
        <w:t> </w:t>
      </w:r>
      <w:r w:rsidRPr="000F5A20">
        <w:rPr>
          <w:lang w:val="fr-FR"/>
        </w:rPr>
        <w:t>II de l'Article</w:t>
      </w:r>
      <w:r>
        <w:rPr>
          <w:lang w:val="fr-FR"/>
        </w:rPr>
        <w:t> </w:t>
      </w:r>
      <w:r w:rsidRPr="000F5A20">
        <w:rPr>
          <w:b/>
          <w:bCs/>
          <w:lang w:val="fr-FR"/>
        </w:rPr>
        <w:t>9</w:t>
      </w:r>
      <w:r w:rsidRPr="000F5A20">
        <w:rPr>
          <w:lang w:val="fr-FR"/>
        </w:rPr>
        <w:t xml:space="preserve">. Les conclusions relativement au numéro </w:t>
      </w:r>
      <w:r w:rsidRPr="000F5A20">
        <w:rPr>
          <w:b/>
          <w:bCs/>
          <w:lang w:val="fr-FR"/>
        </w:rPr>
        <w:t>11.32</w:t>
      </w:r>
      <w:r w:rsidRPr="000F5A20">
        <w:rPr>
          <w:lang w:val="fr-FR"/>
        </w:rPr>
        <w:t xml:space="preserve"> sont formulées sur la base des accords de coordination conclus pour satisfaire les nouvelles conditions régissant la coordination. En l'occurrence, lorsque les dispositions des numéros </w:t>
      </w:r>
      <w:r w:rsidRPr="000F5A20">
        <w:rPr>
          <w:b/>
          <w:bCs/>
          <w:lang w:val="fr-FR"/>
        </w:rPr>
        <w:t xml:space="preserve">11.32A </w:t>
      </w:r>
      <w:r w:rsidRPr="000F5A20">
        <w:rPr>
          <w:lang w:val="fr-FR"/>
        </w:rPr>
        <w:t xml:space="preserve">et </w:t>
      </w:r>
      <w:r w:rsidRPr="000F5A20">
        <w:rPr>
          <w:b/>
          <w:bCs/>
          <w:lang w:val="fr-FR"/>
        </w:rPr>
        <w:t>11.33</w:t>
      </w:r>
      <w:r w:rsidRPr="000F5A20">
        <w:rPr>
          <w:lang w:val="fr-FR"/>
        </w:rPr>
        <w:t xml:space="preserve"> sont applicables et que les examens font apparaître une augmentation de la probabilité de brouillage préjudiciable par rapport à celle résultant de l'examen initial, la conclusion est défavorable et la fiche de notification est retournée conformément au numéro </w:t>
      </w:r>
      <w:r w:rsidRPr="000F5A20">
        <w:rPr>
          <w:b/>
          <w:bCs/>
          <w:lang w:val="fr-FR"/>
        </w:rPr>
        <w:t>11.38</w:t>
      </w:r>
      <w:r w:rsidRPr="000F5A20">
        <w:rPr>
          <w:lang w:val="fr-FR"/>
        </w:rPr>
        <w:t>. Voir également les Règles de procédure relatives au numéro </w:t>
      </w:r>
      <w:r w:rsidRPr="000F5A20">
        <w:rPr>
          <w:b/>
          <w:bCs/>
          <w:lang w:val="fr-FR"/>
        </w:rPr>
        <w:t>11.43B</w:t>
      </w:r>
      <w:r w:rsidRPr="000F5A20">
        <w:rPr>
          <w:lang w:val="fr-FR"/>
        </w:rPr>
        <w:t>.</w:t>
      </w:r>
    </w:p>
    <w:p w14:paraId="52C49820" w14:textId="77777777" w:rsidR="000F5A20" w:rsidRPr="000F5A20" w:rsidRDefault="000F5A20" w:rsidP="000F5A20">
      <w:pPr>
        <w:rPr>
          <w:lang w:val="fr-FR"/>
        </w:rPr>
      </w:pPr>
    </w:p>
    <w:p w14:paraId="059E26AF" w14:textId="77777777" w:rsidR="000F5A20" w:rsidRDefault="000F5A20">
      <w:pPr>
        <w:tabs>
          <w:tab w:val="clear" w:pos="1134"/>
          <w:tab w:val="clear" w:pos="1871"/>
          <w:tab w:val="clear" w:pos="2268"/>
        </w:tabs>
        <w:overflowPunct/>
        <w:autoSpaceDE/>
        <w:autoSpaceDN/>
        <w:adjustRightInd/>
        <w:spacing w:before="0"/>
        <w:jc w:val="left"/>
        <w:textAlignment w:val="auto"/>
        <w:rPr>
          <w:lang w:val="fr-FR"/>
        </w:rPr>
        <w:sectPr w:rsidR="000F5A20" w:rsidSect="00526050">
          <w:headerReference w:type="even" r:id="rId12"/>
          <w:footnotePr>
            <w:pos w:val="beneathText"/>
          </w:footnotePr>
          <w:pgSz w:w="11907" w:h="16840" w:code="9"/>
          <w:pgMar w:top="1701" w:right="851" w:bottom="1134" w:left="1985" w:header="720" w:footer="482" w:gutter="0"/>
          <w:cols w:space="720"/>
          <w:vAlign w:val="both"/>
          <w:docGrid w:linePitch="326"/>
        </w:sectPr>
      </w:pPr>
    </w:p>
    <w:p w14:paraId="08019DD4" w14:textId="77777777" w:rsidR="009D59F0" w:rsidRPr="009D59F0" w:rsidRDefault="009D59F0" w:rsidP="00430025">
      <w:pPr>
        <w:spacing w:before="40" w:line="260" w:lineRule="exact"/>
        <w:rPr>
          <w:color w:val="000000"/>
          <w:lang w:val="fr-FR"/>
        </w:rPr>
      </w:pPr>
      <w:r>
        <w:rPr>
          <w:lang w:val="fr-FR"/>
        </w:rPr>
        <w:lastRenderedPageBreak/>
        <w:t>3</w:t>
      </w:r>
      <w:r>
        <w:rPr>
          <w:lang w:val="fr-FR"/>
        </w:rPr>
        <w:tab/>
      </w:r>
      <w:r w:rsidRPr="009D59F0">
        <w:rPr>
          <w:lang w:val="fr-FR"/>
        </w:rPr>
        <w:t xml:space="preserve">Aux numéros </w:t>
      </w:r>
      <w:r w:rsidRPr="00434ACA">
        <w:rPr>
          <w:rStyle w:val="Artref0"/>
          <w:b/>
          <w:bCs/>
          <w:color w:val="000000"/>
          <w:lang w:val="fr-CH"/>
        </w:rPr>
        <w:t>11.44, 11.44.1, 11.47</w:t>
      </w:r>
      <w:r w:rsidRPr="00434ACA">
        <w:rPr>
          <w:color w:val="000000"/>
          <w:lang w:val="fr-CH"/>
        </w:rPr>
        <w:t xml:space="preserve"> et </w:t>
      </w:r>
      <w:r w:rsidRPr="00434ACA">
        <w:rPr>
          <w:b/>
          <w:bCs/>
          <w:color w:val="000000"/>
          <w:lang w:val="fr-CH"/>
        </w:rPr>
        <w:t>11.48</w:t>
      </w:r>
      <w:r w:rsidRPr="009D59F0">
        <w:rPr>
          <w:lang w:val="fr-FR"/>
        </w:rPr>
        <w:t>, la référence au délai réglementaire</w:t>
      </w:r>
      <w:r w:rsidRPr="007B022D">
        <w:rPr>
          <w:color w:val="000000"/>
          <w:lang w:val="fr-CH"/>
        </w:rPr>
        <w:t xml:space="preserve"> </w:t>
      </w:r>
      <w:r w:rsidRPr="00434ACA">
        <w:rPr>
          <w:color w:val="000000"/>
          <w:lang w:val="fr-CH"/>
        </w:rPr>
        <w:t>de sept ans</w:t>
      </w:r>
      <w:r w:rsidRPr="009D59F0">
        <w:rPr>
          <w:lang w:val="fr-FR"/>
        </w:rPr>
        <w:t xml:space="preserve"> devrait être considérée comme une référence à cinq ans à compter de la date de réception </w:t>
      </w:r>
      <w:r w:rsidRPr="00434ACA">
        <w:rPr>
          <w:color w:val="000000"/>
          <w:lang w:val="fr-CH"/>
        </w:rPr>
        <w:t xml:space="preserve">par le Bureau </w:t>
      </w:r>
      <w:r w:rsidRPr="009D59F0">
        <w:rPr>
          <w:lang w:val="fr-FR"/>
        </w:rPr>
        <w:t xml:space="preserve">de la notification d'une modification mentionnée au numéro </w:t>
      </w:r>
      <w:r w:rsidRPr="007B022D">
        <w:rPr>
          <w:b/>
          <w:bCs/>
          <w:szCs w:val="24"/>
          <w:lang w:val="fr-CH" w:eastAsia="zh-CN"/>
        </w:rPr>
        <w:t>11.43A</w:t>
      </w:r>
      <w:r w:rsidRPr="009D59F0">
        <w:rPr>
          <w:lang w:val="fr-FR"/>
        </w:rPr>
        <w:t xml:space="preserve"> (voir également les observations concernant les Règles de procédure relatives au numéro</w:t>
      </w:r>
      <w:r>
        <w:rPr>
          <w:lang w:val="fr-FR"/>
        </w:rPr>
        <w:t> </w:t>
      </w:r>
      <w:r w:rsidRPr="00434ACA">
        <w:rPr>
          <w:rStyle w:val="Artref0"/>
          <w:b/>
          <w:color w:val="000000"/>
          <w:lang w:val="fr-CH"/>
        </w:rPr>
        <w:t>11.44B</w:t>
      </w:r>
      <w:r w:rsidRPr="009D59F0">
        <w:rPr>
          <w:lang w:val="fr-FR"/>
        </w:rPr>
        <w:t>)</w:t>
      </w:r>
      <w:r w:rsidRPr="009D59F0">
        <w:rPr>
          <w:color w:val="000000"/>
          <w:lang w:val="fr-FR"/>
        </w:rPr>
        <w:t>.</w:t>
      </w:r>
    </w:p>
    <w:p w14:paraId="41108337" w14:textId="77777777" w:rsidR="009D59F0" w:rsidRPr="009D59F0" w:rsidRDefault="009D59F0" w:rsidP="00430025">
      <w:pPr>
        <w:spacing w:line="250" w:lineRule="exact"/>
        <w:jc w:val="left"/>
        <w:rPr>
          <w:rStyle w:val="Artref0"/>
          <w:color w:val="000000"/>
          <w:sz w:val="16"/>
          <w:szCs w:val="16"/>
          <w:lang w:val="fr-FR"/>
        </w:rPr>
      </w:pPr>
      <w:r>
        <w:rPr>
          <w:color w:val="000000"/>
          <w:lang w:val="fr-FR"/>
        </w:rPr>
        <w:t>4</w:t>
      </w:r>
      <w:r w:rsidR="00CB0787" w:rsidRPr="00277E7C">
        <w:rPr>
          <w:color w:val="000000"/>
          <w:lang w:val="fr-FR"/>
        </w:rPr>
        <w:tab/>
        <w:t xml:space="preserve">Pour la modification d'une station terrienne consistant à changer la station spatiale associée ou le faisceau associé en ce qui concerne le numéro </w:t>
      </w:r>
      <w:r w:rsidR="00CB0787" w:rsidRPr="00277E7C">
        <w:rPr>
          <w:rStyle w:val="Artref0"/>
          <w:b/>
          <w:color w:val="000000"/>
          <w:lang w:val="fr-FR"/>
        </w:rPr>
        <w:t>11.32</w:t>
      </w:r>
      <w:r w:rsidR="00CB0787" w:rsidRPr="00277E7C">
        <w:rPr>
          <w:color w:val="000000"/>
          <w:lang w:val="fr-FR"/>
        </w:rPr>
        <w:t>, voir les § 2.2.2 et 2.2.3 des commentaires concernant les Règles de procédure relatives au numéro </w:t>
      </w:r>
      <w:r w:rsidR="00CB0787" w:rsidRPr="00277E7C">
        <w:rPr>
          <w:rStyle w:val="Artref0"/>
          <w:b/>
          <w:color w:val="000000"/>
          <w:lang w:val="fr-FR"/>
        </w:rPr>
        <w:t>11.32</w:t>
      </w:r>
      <w:r w:rsidR="00CB0787" w:rsidRPr="00277E7C">
        <w:rPr>
          <w:color w:val="000000"/>
          <w:lang w:val="fr-FR"/>
        </w:rPr>
        <w:t>.</w:t>
      </w:r>
    </w:p>
    <w:p w14:paraId="3186AD79" w14:textId="77777777" w:rsidR="00CB0787" w:rsidRPr="00277E7C" w:rsidRDefault="009D59F0" w:rsidP="00430025">
      <w:pPr>
        <w:spacing w:line="250" w:lineRule="exact"/>
        <w:rPr>
          <w:color w:val="000000"/>
          <w:lang w:val="fr-FR"/>
        </w:rPr>
      </w:pPr>
      <w:r>
        <w:rPr>
          <w:color w:val="000000"/>
          <w:lang w:val="fr-FR"/>
        </w:rPr>
        <w:t>5</w:t>
      </w:r>
      <w:r w:rsidR="00CB0787" w:rsidRPr="00277E7C">
        <w:rPr>
          <w:color w:val="000000"/>
          <w:lang w:val="fr-FR"/>
        </w:rPr>
        <w:tab/>
        <w:t xml:space="preserve">Lorsque la modification d'une assignation de fréquence à une station terrienne est examinée en application des numéros </w:t>
      </w:r>
      <w:r w:rsidR="00CB0787" w:rsidRPr="00277E7C">
        <w:rPr>
          <w:rStyle w:val="Artref0"/>
          <w:b/>
          <w:color w:val="000000"/>
          <w:lang w:val="fr-FR"/>
        </w:rPr>
        <w:t>9.15</w:t>
      </w:r>
      <w:r w:rsidR="00CB0787" w:rsidRPr="00277E7C">
        <w:rPr>
          <w:color w:val="000000"/>
          <w:lang w:val="fr-FR"/>
        </w:rPr>
        <w:t xml:space="preserve">, </w:t>
      </w:r>
      <w:r w:rsidR="00CB0787" w:rsidRPr="00277E7C">
        <w:rPr>
          <w:rStyle w:val="Artref0"/>
          <w:b/>
          <w:color w:val="000000"/>
          <w:lang w:val="fr-FR"/>
        </w:rPr>
        <w:t>9.17</w:t>
      </w:r>
      <w:r w:rsidR="00CB0787" w:rsidRPr="00277E7C">
        <w:rPr>
          <w:color w:val="000000"/>
          <w:lang w:val="fr-FR"/>
        </w:rPr>
        <w:t xml:space="preserve"> et </w:t>
      </w:r>
      <w:r w:rsidR="00CB0787" w:rsidRPr="00277E7C">
        <w:rPr>
          <w:rStyle w:val="Artref0"/>
          <w:b/>
          <w:color w:val="000000"/>
          <w:lang w:val="fr-FR"/>
        </w:rPr>
        <w:t>9.17A</w:t>
      </w:r>
      <w:r w:rsidR="00CB0787" w:rsidRPr="00277E7C">
        <w:rPr>
          <w:color w:val="000000"/>
          <w:lang w:val="fr-FR"/>
        </w:rPr>
        <w:t xml:space="preserve">, la distance de coordination est calculée dans chaque azimut et la coordination conformément aux numéros </w:t>
      </w:r>
      <w:r w:rsidR="00CB0787" w:rsidRPr="00277E7C">
        <w:rPr>
          <w:rStyle w:val="Artref0"/>
          <w:b/>
          <w:color w:val="000000"/>
          <w:lang w:val="fr-FR"/>
        </w:rPr>
        <w:t>9.15</w:t>
      </w:r>
      <w:r w:rsidR="00CB0787" w:rsidRPr="00277E7C">
        <w:rPr>
          <w:color w:val="000000"/>
          <w:lang w:val="fr-FR"/>
        </w:rPr>
        <w:t xml:space="preserve">, </w:t>
      </w:r>
      <w:r w:rsidR="00CB0787" w:rsidRPr="00277E7C">
        <w:rPr>
          <w:rStyle w:val="Artref0"/>
          <w:b/>
          <w:color w:val="000000"/>
          <w:lang w:val="fr-FR"/>
        </w:rPr>
        <w:t>9.17</w:t>
      </w:r>
      <w:r w:rsidR="00CB0787" w:rsidRPr="00277E7C">
        <w:rPr>
          <w:color w:val="000000"/>
          <w:lang w:val="fr-FR"/>
        </w:rPr>
        <w:t xml:space="preserve"> et </w:t>
      </w:r>
      <w:r w:rsidR="00CB0787" w:rsidRPr="00277E7C">
        <w:rPr>
          <w:rStyle w:val="Artref0"/>
          <w:b/>
          <w:color w:val="000000"/>
          <w:lang w:val="fr-FR"/>
        </w:rPr>
        <w:t>9.17A</w:t>
      </w:r>
      <w:r w:rsidR="00CB0787" w:rsidRPr="00277E7C">
        <w:rPr>
          <w:color w:val="000000"/>
          <w:lang w:val="fr-FR"/>
        </w:rPr>
        <w:t xml:space="preserve"> est nécessaire uniquement avec les pays sur le territoire desquels la distance de</w:t>
      </w:r>
      <w:r w:rsidR="00975364" w:rsidRPr="00277E7C">
        <w:rPr>
          <w:color w:val="000000"/>
          <w:lang w:val="fr-FR"/>
        </w:rPr>
        <w:t xml:space="preserve"> </w:t>
      </w:r>
      <w:r w:rsidR="00CB0787" w:rsidRPr="00277E7C">
        <w:rPr>
          <w:color w:val="000000"/>
          <w:lang w:val="fr-FR"/>
        </w:rPr>
        <w:t>coordination est accrue en raison de la modification (voir les § 3.1 et 3.2 des commentaires concernant les Règles de procédure relatives au numéro </w:t>
      </w:r>
      <w:r w:rsidR="00CB0787" w:rsidRPr="00277E7C">
        <w:rPr>
          <w:rStyle w:val="Artref0"/>
          <w:b/>
          <w:color w:val="000000"/>
          <w:lang w:val="fr-FR"/>
        </w:rPr>
        <w:t>9.27</w:t>
      </w:r>
      <w:r w:rsidR="00CB0787" w:rsidRPr="00277E7C">
        <w:rPr>
          <w:color w:val="000000"/>
          <w:lang w:val="fr-FR"/>
        </w:rPr>
        <w:t>).</w:t>
      </w:r>
    </w:p>
    <w:p w14:paraId="16B9C24B" w14:textId="77777777" w:rsidR="00CB0787" w:rsidRPr="00277E7C" w:rsidRDefault="009D59F0" w:rsidP="00430025">
      <w:pPr>
        <w:spacing w:before="80" w:line="250" w:lineRule="exact"/>
        <w:rPr>
          <w:lang w:val="fr-FR"/>
        </w:rPr>
      </w:pPr>
      <w:r>
        <w:rPr>
          <w:lang w:val="fr-FR"/>
        </w:rPr>
        <w:t>6</w:t>
      </w:r>
      <w:r w:rsidR="00CB0787" w:rsidRPr="00277E7C">
        <w:rPr>
          <w:lang w:val="fr-FR"/>
        </w:rPr>
        <w:tab/>
        <w:t xml:space="preserve">Lorsque la modification d'une assignation de fréquence est examinée en application du numéro </w:t>
      </w:r>
      <w:r w:rsidR="00CB0787" w:rsidRPr="00277E7C">
        <w:rPr>
          <w:rStyle w:val="Artref0"/>
          <w:b/>
          <w:color w:val="000000"/>
          <w:lang w:val="fr-FR"/>
        </w:rPr>
        <w:t>9.19</w:t>
      </w:r>
      <w:r w:rsidR="00CB0787" w:rsidRPr="00277E7C">
        <w:rPr>
          <w:lang w:val="fr-FR"/>
        </w:rPr>
        <w:t xml:space="preserve">, la puissance surfacique de la station d'émission (station de Terre ou station terrienne du SFS), avec les caractéristiques modifiées, est calculée en bordure de la zone de service du SRS et la coordination conformément au numéro </w:t>
      </w:r>
      <w:r w:rsidR="00CB0787" w:rsidRPr="00277E7C">
        <w:rPr>
          <w:rStyle w:val="Artref0"/>
          <w:b/>
          <w:color w:val="000000"/>
          <w:lang w:val="fr-FR"/>
        </w:rPr>
        <w:t>9.19</w:t>
      </w:r>
      <w:r w:rsidR="00CB0787" w:rsidRPr="00277E7C">
        <w:rPr>
          <w:lang w:val="fr-FR"/>
        </w:rPr>
        <w:t xml:space="preserve"> est nécessaire uni</w:t>
      </w:r>
      <w:r w:rsidR="00CB0787" w:rsidRPr="00277E7C">
        <w:rPr>
          <w:lang w:val="fr-FR"/>
        </w:rPr>
        <w:softHyphen/>
        <w:t>quement avec les pays sur le territoire desquels la limite de puissance surfacique en bordure de la zone de service du SRS est augmentée en raison de la modification des caractéristiques de la station d'émission et dépasse le niveau admissible (voir également les Règles de procé</w:t>
      </w:r>
      <w:r w:rsidR="00CB0787" w:rsidRPr="00277E7C">
        <w:rPr>
          <w:lang w:val="fr-FR"/>
        </w:rPr>
        <w:softHyphen/>
        <w:t>dure relatives au numéro </w:t>
      </w:r>
      <w:r w:rsidR="00CB0787" w:rsidRPr="00277E7C">
        <w:rPr>
          <w:rStyle w:val="Artref0"/>
          <w:b/>
          <w:color w:val="000000"/>
          <w:lang w:val="fr-FR"/>
        </w:rPr>
        <w:t>9.27</w:t>
      </w:r>
      <w:r w:rsidR="00CB0787" w:rsidRPr="00277E7C">
        <w:rPr>
          <w:lang w:val="fr-FR"/>
        </w:rPr>
        <w:t xml:space="preserve"> (§ 3.1 et 3.2)).</w:t>
      </w:r>
    </w:p>
    <w:p w14:paraId="6F5F67B9" w14:textId="77777777" w:rsidR="00CB0787" w:rsidRPr="00277E7C" w:rsidRDefault="00CB0787" w:rsidP="002C02D5">
      <w:pPr>
        <w:pStyle w:val="Heading8"/>
        <w:spacing w:line="250" w:lineRule="exact"/>
        <w:rPr>
          <w:color w:val="000000"/>
          <w:lang w:val="fr-FR"/>
        </w:rPr>
      </w:pPr>
      <w:r w:rsidRPr="00277E7C">
        <w:rPr>
          <w:color w:val="000000"/>
          <w:lang w:val="fr-FR"/>
        </w:rPr>
        <w:t>11.43B</w:t>
      </w:r>
    </w:p>
    <w:p w14:paraId="3A1B120D" w14:textId="77777777" w:rsidR="00CB0787" w:rsidRPr="00277E7C" w:rsidRDefault="00CB0787" w:rsidP="002C02D5">
      <w:pPr>
        <w:spacing w:line="250" w:lineRule="exact"/>
        <w:rPr>
          <w:color w:val="000000"/>
          <w:lang w:val="fr-FR"/>
        </w:rPr>
      </w:pPr>
      <w:r w:rsidRPr="00277E7C">
        <w:rPr>
          <w:color w:val="000000"/>
          <w:lang w:val="fr-FR"/>
        </w:rPr>
        <w:t>1</w:t>
      </w:r>
      <w:r w:rsidRPr="00277E7C">
        <w:rPr>
          <w:color w:val="000000"/>
          <w:lang w:val="fr-FR"/>
        </w:rPr>
        <w:tab/>
        <w:t xml:space="preserve">Cette disposition prévoit qu'une modification des caractéristiques doit être examinée le cas échéant conformément aux dispositions des numéros </w:t>
      </w:r>
      <w:r w:rsidRPr="00277E7C">
        <w:rPr>
          <w:rStyle w:val="Artref0"/>
          <w:b/>
          <w:color w:val="000000"/>
          <w:lang w:val="fr-FR"/>
        </w:rPr>
        <w:t>11.32</w:t>
      </w:r>
      <w:r w:rsidRPr="00277E7C">
        <w:rPr>
          <w:color w:val="000000"/>
          <w:lang w:val="fr-FR"/>
        </w:rPr>
        <w:t xml:space="preserve"> à </w:t>
      </w:r>
      <w:r w:rsidRPr="00277E7C">
        <w:rPr>
          <w:rStyle w:val="Artref0"/>
          <w:b/>
          <w:color w:val="000000"/>
          <w:lang w:val="fr-FR"/>
        </w:rPr>
        <w:t>11.34</w:t>
      </w:r>
      <w:r w:rsidRPr="00277E7C">
        <w:rPr>
          <w:color w:val="000000"/>
          <w:lang w:val="fr-FR"/>
        </w:rPr>
        <w:t>, selon qu'il conviendra.</w:t>
      </w:r>
    </w:p>
    <w:p w14:paraId="3B9061A7" w14:textId="6FC05F89" w:rsidR="00CB0787" w:rsidRPr="00277E7C" w:rsidRDefault="00CB0787" w:rsidP="002C02D5">
      <w:pPr>
        <w:spacing w:before="120" w:line="250" w:lineRule="exact"/>
        <w:rPr>
          <w:lang w:val="fr-FR"/>
        </w:rPr>
      </w:pPr>
      <w:r w:rsidRPr="00CB06AF">
        <w:rPr>
          <w:lang w:val="fr-FR"/>
        </w:rPr>
        <w:t>1.1</w:t>
      </w:r>
      <w:r w:rsidRPr="00CB06AF">
        <w:rPr>
          <w:lang w:val="fr-FR"/>
        </w:rPr>
        <w:tab/>
      </w:r>
      <w:r w:rsidR="00CB06AF" w:rsidRPr="00CB06AF">
        <w:rPr>
          <w:lang w:val="fr-FR"/>
        </w:rPr>
        <w:t xml:space="preserve">Dans le cas de l'examen de réseaux à satellite relativement au numéro </w:t>
      </w:r>
      <w:r w:rsidR="00CB06AF" w:rsidRPr="00CB06AF">
        <w:rPr>
          <w:b/>
          <w:lang w:val="fr-FR"/>
        </w:rPr>
        <w:t>11.32</w:t>
      </w:r>
      <w:r w:rsidR="00CB06AF" w:rsidRPr="00CB06AF">
        <w:rPr>
          <w:lang w:val="fr-FR"/>
        </w:rPr>
        <w:t xml:space="preserve"> ou </w:t>
      </w:r>
      <w:r w:rsidR="00CB06AF" w:rsidRPr="00CB06AF">
        <w:rPr>
          <w:b/>
          <w:lang w:val="fr-FR"/>
        </w:rPr>
        <w:t>11.32A</w:t>
      </w:r>
      <w:r w:rsidR="00CB06AF" w:rsidRPr="00CB06AF">
        <w:rPr>
          <w:lang w:val="fr-FR"/>
        </w:rPr>
        <w:t xml:space="preserve">, les observations au titre de la Règle de procédure relative au numéro </w:t>
      </w:r>
      <w:r w:rsidR="00CB06AF" w:rsidRPr="00CB06AF">
        <w:rPr>
          <w:b/>
          <w:lang w:val="fr-FR"/>
        </w:rPr>
        <w:t>11.43A</w:t>
      </w:r>
      <w:r w:rsidR="00CB06AF" w:rsidRPr="00CB06AF">
        <w:rPr>
          <w:lang w:val="fr-FR"/>
        </w:rPr>
        <w:t xml:space="preserve"> indiquent les cas qui devraient être considérés non pas comme des modifications, mais comme une première notification (avec une nouvelle date de réception). Pour ce faire, il convient de s'assurer que les § 6 </w:t>
      </w:r>
      <w:r w:rsidR="00CB06AF" w:rsidRPr="00CB06AF">
        <w:rPr>
          <w:i/>
          <w:lang w:val="fr-FR"/>
        </w:rPr>
        <w:t>a)</w:t>
      </w:r>
      <w:r w:rsidR="00CB06AF" w:rsidRPr="00CB06AF">
        <w:rPr>
          <w:lang w:val="fr-FR"/>
        </w:rPr>
        <w:t xml:space="preserve"> à 6 </w:t>
      </w:r>
      <w:r w:rsidR="00CB06AF" w:rsidRPr="00CB06AF">
        <w:rPr>
          <w:i/>
          <w:lang w:val="fr-FR"/>
        </w:rPr>
        <w:t>c)</w:t>
      </w:r>
      <w:r w:rsidR="00CB06AF" w:rsidRPr="00CB06AF">
        <w:rPr>
          <w:lang w:val="fr-FR"/>
        </w:rPr>
        <w:t xml:space="preserve"> de l'Appendice </w:t>
      </w:r>
      <w:r w:rsidR="00CB06AF" w:rsidRPr="00CB06AF">
        <w:rPr>
          <w:b/>
          <w:lang w:val="fr-FR"/>
        </w:rPr>
        <w:t>5</w:t>
      </w:r>
      <w:r w:rsidR="00CB06AF" w:rsidRPr="00CB06AF">
        <w:rPr>
          <w:lang w:val="fr-FR"/>
        </w:rPr>
        <w:t xml:space="preserve"> (voir également les § 2.3 et 2.4 c) des Règles de procédure relatives au numéro </w:t>
      </w:r>
      <w:r w:rsidR="00CB06AF" w:rsidRPr="00CB06AF">
        <w:rPr>
          <w:b/>
          <w:bCs/>
          <w:lang w:val="fr-FR"/>
        </w:rPr>
        <w:t>9.27</w:t>
      </w:r>
      <w:r w:rsidR="00CB06AF" w:rsidRPr="00CB06AF">
        <w:rPr>
          <w:lang w:val="fr-FR"/>
        </w:rPr>
        <w:t>) ont bien été appliqués. Dans les cas où il n'existe aucune méthode de calcul ni aucun critère permettant de vérifier que ces dispositions ont bien été appliquées, le Bureau considère ces modifications comme de nouvelles notifications d'assignations. Le numéro </w:t>
      </w:r>
      <w:r w:rsidR="00CB06AF" w:rsidRPr="00CB06AF">
        <w:rPr>
          <w:b/>
          <w:lang w:val="fr-FR"/>
        </w:rPr>
        <w:t>11.43B</w:t>
      </w:r>
      <w:r w:rsidR="00CB06AF" w:rsidRPr="00CB06AF">
        <w:rPr>
          <w:lang w:val="fr-FR"/>
        </w:rPr>
        <w:t xml:space="preserve"> fait état d'une augmentation de la probabilité de brouillage préjudiciable. La probabilité de brouillage préjudiciable (</w:t>
      </w:r>
      <w:r w:rsidR="00CB06AF" w:rsidRPr="00CB06AF">
        <w:rPr>
          <w:i/>
          <w:lang w:val="fr-FR"/>
        </w:rPr>
        <w:t>C</w:t>
      </w:r>
      <w:r w:rsidR="00CB06AF" w:rsidRPr="00CB06AF">
        <w:rPr>
          <w:lang w:val="fr-FR"/>
        </w:rPr>
        <w:t>/</w:t>
      </w:r>
      <w:r w:rsidR="00CB06AF" w:rsidRPr="00CB06AF">
        <w:rPr>
          <w:i/>
          <w:lang w:val="fr-FR"/>
        </w:rPr>
        <w:t>I</w:t>
      </w:r>
      <w:r w:rsidR="00CB06AF" w:rsidRPr="00CB06AF">
        <w:rPr>
          <w:iCs/>
          <w:lang w:val="fr-FR"/>
        </w:rPr>
        <w:t> </w:t>
      </w:r>
      <w:r w:rsidR="00CB06AF" w:rsidRPr="00CB06AF">
        <w:rPr>
          <w:lang w:val="fr-FR"/>
        </w:rPr>
        <w:t xml:space="preserve">) est calculée uniquement dans le cadre de l'examen relativement aux numéros </w:t>
      </w:r>
      <w:r w:rsidR="00CB06AF" w:rsidRPr="00CB06AF">
        <w:rPr>
          <w:b/>
          <w:lang w:val="fr-FR"/>
        </w:rPr>
        <w:t>11.32A</w:t>
      </w:r>
      <w:r w:rsidR="00CB06AF" w:rsidRPr="00CB06AF">
        <w:rPr>
          <w:lang w:val="fr-FR"/>
        </w:rPr>
        <w:t xml:space="preserve"> et </w:t>
      </w:r>
      <w:r w:rsidR="00CB06AF" w:rsidRPr="00CB06AF">
        <w:rPr>
          <w:b/>
          <w:lang w:val="fr-FR"/>
        </w:rPr>
        <w:t>11.33</w:t>
      </w:r>
      <w:r w:rsidR="00CB06AF" w:rsidRPr="00CB06AF">
        <w:rPr>
          <w:lang w:val="fr-FR"/>
        </w:rPr>
        <w:t xml:space="preserve">. Pour procéder à l'examen prévu au numéro </w:t>
      </w:r>
      <w:r w:rsidR="00CB06AF" w:rsidRPr="00CB06AF">
        <w:rPr>
          <w:b/>
          <w:lang w:val="fr-FR"/>
        </w:rPr>
        <w:t>11.32</w:t>
      </w:r>
      <w:r w:rsidR="00CB06AF" w:rsidRPr="00CB06AF">
        <w:rPr>
          <w:lang w:val="fr-FR"/>
        </w:rPr>
        <w:t>, on utilise la valeur de seuil/condition prescrite à l'Appendice </w:t>
      </w:r>
      <w:r w:rsidR="00CB06AF" w:rsidRPr="00CB06AF">
        <w:rPr>
          <w:b/>
          <w:lang w:val="fr-FR"/>
        </w:rPr>
        <w:t>5</w:t>
      </w:r>
      <w:r w:rsidR="00CB06AF" w:rsidRPr="00CB06AF">
        <w:rPr>
          <w:lang w:val="fr-FR"/>
        </w:rPr>
        <w:t xml:space="preserve">. Lorsqu'il n'existe pas de critère technique dans la valeur de seuil/condition prescrite dans l'Appendice </w:t>
      </w:r>
      <w:r w:rsidR="00CB06AF" w:rsidRPr="00CB06AF">
        <w:rPr>
          <w:b/>
          <w:bCs/>
          <w:lang w:val="fr-FR"/>
        </w:rPr>
        <w:t>5</w:t>
      </w:r>
      <w:r w:rsidR="00CB06AF" w:rsidRPr="00CB06AF">
        <w:rPr>
          <w:lang w:val="fr-FR"/>
        </w:rPr>
        <w:t>, les Administrations peuvent fournir au Bureau une analyse en utilisant des méthodes de calcul ou des critères appropriés (y compris ceux élaborés par l'UIT</w:t>
      </w:r>
      <w:r w:rsidR="00C05C09">
        <w:rPr>
          <w:lang w:val="fr-FR"/>
        </w:rPr>
        <w:noBreakHyphen/>
      </w:r>
      <w:r w:rsidR="00CB06AF" w:rsidRPr="00CB06AF">
        <w:rPr>
          <w:lang w:val="fr-FR"/>
        </w:rPr>
        <w:t xml:space="preserve">R) pour vérifier l'applicabilité des § 6 </w:t>
      </w:r>
      <w:r w:rsidR="00CB06AF" w:rsidRPr="00CB06AF">
        <w:rPr>
          <w:i/>
          <w:iCs/>
          <w:lang w:val="fr-FR"/>
        </w:rPr>
        <w:t>a)</w:t>
      </w:r>
      <w:r w:rsidR="00CB06AF" w:rsidRPr="00CB06AF">
        <w:rPr>
          <w:lang w:val="fr-FR"/>
        </w:rPr>
        <w:t xml:space="preserve"> à 6 </w:t>
      </w:r>
      <w:r w:rsidR="00CB06AF" w:rsidRPr="00CB06AF">
        <w:rPr>
          <w:i/>
          <w:iCs/>
          <w:lang w:val="fr-FR"/>
        </w:rPr>
        <w:t>c)</w:t>
      </w:r>
      <w:r w:rsidR="00CB06AF" w:rsidRPr="00CB06AF">
        <w:rPr>
          <w:lang w:val="fr-FR"/>
        </w:rPr>
        <w:t xml:space="preserve"> de l'Appendice </w:t>
      </w:r>
      <w:r w:rsidR="00CB06AF" w:rsidRPr="00CB06AF">
        <w:rPr>
          <w:b/>
          <w:bCs/>
          <w:lang w:val="fr-FR"/>
        </w:rPr>
        <w:t>5</w:t>
      </w:r>
      <w:r w:rsidR="00CB06AF" w:rsidRPr="00CB06AF">
        <w:rPr>
          <w:lang w:val="fr-FR"/>
        </w:rPr>
        <w:t xml:space="preserve"> aux fins de l'examen au titre du numéro </w:t>
      </w:r>
      <w:r w:rsidR="00CB06AF" w:rsidRPr="00CB06AF">
        <w:rPr>
          <w:b/>
          <w:bCs/>
          <w:lang w:val="fr-FR"/>
        </w:rPr>
        <w:t>11.32</w:t>
      </w:r>
      <w:r w:rsidR="00CB06AF" w:rsidRPr="00CB06AF">
        <w:rPr>
          <w:lang w:val="fr-FR"/>
        </w:rPr>
        <w:t>.</w:t>
      </w:r>
    </w:p>
    <w:p w14:paraId="2CFF10D8" w14:textId="77777777" w:rsidR="00CB0787" w:rsidRPr="00277E7C" w:rsidRDefault="00CB0787" w:rsidP="002C02D5">
      <w:pPr>
        <w:spacing w:before="120" w:line="250" w:lineRule="exact"/>
        <w:rPr>
          <w:color w:val="000000"/>
          <w:lang w:val="fr-FR"/>
        </w:rPr>
      </w:pPr>
      <w:r w:rsidRPr="00277E7C">
        <w:rPr>
          <w:color w:val="000000"/>
          <w:lang w:val="fr-FR"/>
        </w:rPr>
        <w:t>1.2</w:t>
      </w:r>
      <w:r w:rsidRPr="00277E7C">
        <w:rPr>
          <w:color w:val="000000"/>
          <w:lang w:val="fr-FR"/>
        </w:rPr>
        <w:tab/>
        <w:t xml:space="preserve">Il convient de noter que lors de l'examen prévu au numéro </w:t>
      </w:r>
      <w:r w:rsidRPr="00277E7C">
        <w:rPr>
          <w:rStyle w:val="Artref0"/>
          <w:b/>
          <w:color w:val="000000"/>
          <w:lang w:val="fr-FR"/>
        </w:rPr>
        <w:t>11.32A</w:t>
      </w:r>
      <w:r w:rsidRPr="00277E7C">
        <w:rPr>
          <w:color w:val="000000"/>
          <w:lang w:val="fr-FR"/>
        </w:rPr>
        <w:t xml:space="preserve">, on tient également compte des assignations qui ont été publiées aux termes du numéro </w:t>
      </w:r>
      <w:r w:rsidRPr="00277E7C">
        <w:rPr>
          <w:rStyle w:val="Artref0"/>
          <w:b/>
          <w:color w:val="000000"/>
          <w:lang w:val="fr-FR"/>
        </w:rPr>
        <w:t>9.38</w:t>
      </w:r>
      <w:r w:rsidRPr="00277E7C">
        <w:rPr>
          <w:color w:val="000000"/>
          <w:lang w:val="fr-FR"/>
        </w:rPr>
        <w:t xml:space="preserve"> ou </w:t>
      </w:r>
      <w:r w:rsidRPr="00277E7C">
        <w:rPr>
          <w:rStyle w:val="Artref0"/>
          <w:b/>
          <w:color w:val="000000"/>
          <w:lang w:val="fr-FR"/>
        </w:rPr>
        <w:t>9.58</w:t>
      </w:r>
      <w:r w:rsidRPr="00277E7C">
        <w:rPr>
          <w:color w:val="000000"/>
          <w:lang w:val="fr-FR"/>
        </w:rPr>
        <w:t>, mais qui n'ont pas encore été notifiées. En conséquence, pour des raisons pratiques, ces assignations doivent également être prises en considération en application de cette disposition, en plus des assignations déjà inscrites dans le Fichier de référence.</w:t>
      </w:r>
    </w:p>
    <w:p w14:paraId="4C095A1B" w14:textId="77777777" w:rsidR="00BA12C0" w:rsidRDefault="00BA12C0" w:rsidP="002C02D5">
      <w:pPr>
        <w:spacing w:before="120" w:line="250" w:lineRule="exact"/>
        <w:rPr>
          <w:color w:val="000000"/>
          <w:lang w:val="fr-FR"/>
        </w:rPr>
        <w:sectPr w:rsidR="00BA12C0" w:rsidSect="00526050">
          <w:headerReference w:type="default" r:id="rId13"/>
          <w:footnotePr>
            <w:pos w:val="beneathText"/>
          </w:footnotePr>
          <w:pgSz w:w="11907" w:h="16840" w:code="9"/>
          <w:pgMar w:top="1701" w:right="851" w:bottom="1134" w:left="1985" w:header="720" w:footer="482" w:gutter="0"/>
          <w:cols w:space="720"/>
          <w:vAlign w:val="both"/>
          <w:docGrid w:linePitch="326"/>
        </w:sectPr>
      </w:pPr>
    </w:p>
    <w:p w14:paraId="446DCA6C" w14:textId="44AD8DA6" w:rsidR="00CB0787" w:rsidRPr="00277E7C" w:rsidRDefault="00CB0787" w:rsidP="002C02D5">
      <w:pPr>
        <w:spacing w:before="120" w:line="250" w:lineRule="exact"/>
        <w:rPr>
          <w:color w:val="000000"/>
          <w:lang w:val="fr-FR"/>
        </w:rPr>
      </w:pPr>
      <w:r w:rsidRPr="00277E7C">
        <w:rPr>
          <w:color w:val="000000"/>
          <w:lang w:val="fr-FR"/>
        </w:rPr>
        <w:lastRenderedPageBreak/>
        <w:t>2</w:t>
      </w:r>
      <w:r w:rsidRPr="00277E7C">
        <w:rPr>
          <w:color w:val="000000"/>
          <w:lang w:val="fr-FR"/>
        </w:rPr>
        <w:tab/>
        <w:t xml:space="preserve">Cette disposition fait mention de la </w:t>
      </w:r>
      <w:r w:rsidRPr="00150476">
        <w:rPr>
          <w:i/>
          <w:iCs/>
          <w:color w:val="000000"/>
          <w:lang w:val="fr-FR"/>
        </w:rPr>
        <w:t>«date primitivement inscrite dans le Fichier de référence»</w:t>
      </w:r>
      <w:r w:rsidRPr="00277E7C">
        <w:rPr>
          <w:color w:val="000000"/>
          <w:lang w:val="fr-FR"/>
        </w:rPr>
        <w:t>. Le Comité considère que cette date est la date de réception de la fiche de notification initiale. Toutefois pour les fiches de notification reçues avant le 1</w:t>
      </w:r>
      <w:r w:rsidRPr="00277E7C">
        <w:rPr>
          <w:vertAlign w:val="superscript"/>
          <w:lang w:val="fr-FR"/>
        </w:rPr>
        <w:t>er</w:t>
      </w:r>
      <w:r w:rsidRPr="00277E7C">
        <w:rPr>
          <w:color w:val="000000"/>
          <w:lang w:val="fr-FR"/>
        </w:rPr>
        <w:t xml:space="preserve"> janvier 1999, le Comité considère que cette date est équivalente à la date inscrite dans la Colonne 2A, 2B, ou 2D, selon le cas.</w:t>
      </w:r>
    </w:p>
    <w:p w14:paraId="42FB6CDF" w14:textId="77777777" w:rsidR="00CB0787" w:rsidRPr="00277E7C" w:rsidRDefault="00CB0787" w:rsidP="002C02D5">
      <w:pPr>
        <w:pStyle w:val="Heading8"/>
        <w:spacing w:line="250" w:lineRule="exact"/>
        <w:rPr>
          <w:color w:val="000000"/>
          <w:lang w:val="fr-FR"/>
        </w:rPr>
      </w:pPr>
      <w:r w:rsidRPr="00277E7C">
        <w:rPr>
          <w:color w:val="000000"/>
          <w:lang w:val="fr-FR"/>
        </w:rPr>
        <w:t>11.43C</w:t>
      </w:r>
    </w:p>
    <w:p w14:paraId="428C8678" w14:textId="77777777" w:rsidR="00D2141E" w:rsidRDefault="00CB0787" w:rsidP="00DC7B3A">
      <w:pPr>
        <w:spacing w:line="250" w:lineRule="exact"/>
        <w:rPr>
          <w:color w:val="000000"/>
          <w:lang w:val="fr-FR"/>
        </w:rPr>
      </w:pPr>
      <w:r w:rsidRPr="00277E7C">
        <w:rPr>
          <w:color w:val="000000"/>
          <w:lang w:val="fr-FR"/>
        </w:rPr>
        <w:t>Le Comité considère que les assignations soumises à nouveau ne seront inscrites que si la conclusion relativement au numéro </w:t>
      </w:r>
      <w:r w:rsidRPr="00277E7C">
        <w:rPr>
          <w:rStyle w:val="Artref0"/>
          <w:b/>
          <w:color w:val="000000"/>
          <w:lang w:val="fr-FR"/>
        </w:rPr>
        <w:t>11.31</w:t>
      </w:r>
      <w:r w:rsidRPr="00277E7C">
        <w:rPr>
          <w:color w:val="000000"/>
          <w:lang w:val="fr-FR"/>
        </w:rPr>
        <w:t xml:space="preserve"> est toujours favorable.</w:t>
      </w:r>
    </w:p>
    <w:p w14:paraId="240F932B" w14:textId="77777777" w:rsidR="00CB0787" w:rsidRPr="00277E7C" w:rsidRDefault="00CB0787" w:rsidP="00430025">
      <w:pPr>
        <w:pStyle w:val="Heading8"/>
        <w:spacing w:before="0" w:line="250" w:lineRule="exact"/>
        <w:rPr>
          <w:color w:val="000000"/>
          <w:lang w:val="fr-FR"/>
        </w:rPr>
      </w:pPr>
      <w:r w:rsidRPr="00277E7C">
        <w:rPr>
          <w:color w:val="000000"/>
          <w:lang w:val="fr-FR"/>
        </w:rPr>
        <w:t>11.44</w:t>
      </w:r>
    </w:p>
    <w:p w14:paraId="048DAFD7" w14:textId="0CAEEADA" w:rsidR="00D2141E" w:rsidRPr="00D2141E" w:rsidRDefault="00D2141E" w:rsidP="00F855A3">
      <w:pPr>
        <w:spacing w:before="60" w:line="250" w:lineRule="exact"/>
        <w:rPr>
          <w:lang w:val="fr-FR"/>
        </w:rPr>
      </w:pPr>
      <w:r w:rsidRPr="00D2141E">
        <w:rPr>
          <w:lang w:val="fr-FR"/>
        </w:rPr>
        <w:t>Les renseignements concernant la date de mise en service sont normalement fournis selon les modalités suivantes:</w:t>
      </w:r>
      <w:r w:rsidR="00571112">
        <w:rPr>
          <w:lang w:val="fr-FR"/>
        </w:rPr>
        <w:t xml:space="preserve"> </w:t>
      </w:r>
    </w:p>
    <w:p w14:paraId="4A9F8F11" w14:textId="77777777" w:rsidR="00D2141E" w:rsidRPr="00D2141E" w:rsidRDefault="00D2141E" w:rsidP="00F855A3">
      <w:pPr>
        <w:pStyle w:val="enumlev1"/>
        <w:spacing w:before="60" w:line="250" w:lineRule="exact"/>
        <w:rPr>
          <w:color w:val="000000"/>
          <w:lang w:val="fr-FR"/>
        </w:rPr>
      </w:pPr>
      <w:r w:rsidRPr="00D2141E">
        <w:rPr>
          <w:color w:val="000000"/>
          <w:lang w:val="fr-FR"/>
        </w:rPr>
        <w:t>–</w:t>
      </w:r>
      <w:r w:rsidRPr="00D2141E">
        <w:rPr>
          <w:color w:val="000000"/>
          <w:lang w:val="fr-FR"/>
        </w:rPr>
        <w:tab/>
        <w:t>dans les fiches de notification AP4 soumises au titre du numéro </w:t>
      </w:r>
      <w:r w:rsidRPr="00D2141E">
        <w:rPr>
          <w:rStyle w:val="Artref0"/>
          <w:b/>
          <w:color w:val="000000"/>
          <w:lang w:val="fr-FR"/>
        </w:rPr>
        <w:t>11.15</w:t>
      </w:r>
      <w:r w:rsidRPr="00D2141E">
        <w:rPr>
          <w:color w:val="000000"/>
          <w:lang w:val="fr-FR"/>
        </w:rPr>
        <w:t>; et</w:t>
      </w:r>
    </w:p>
    <w:p w14:paraId="66404F59" w14:textId="23146ADA" w:rsidR="00D2141E" w:rsidRPr="00F855A3" w:rsidRDefault="00D2141E" w:rsidP="00F855A3">
      <w:pPr>
        <w:pStyle w:val="enumlev1"/>
        <w:spacing w:before="60" w:line="250" w:lineRule="exact"/>
        <w:rPr>
          <w:color w:val="000000"/>
          <w:spacing w:val="-8"/>
          <w:lang w:val="fr-FR"/>
        </w:rPr>
      </w:pPr>
      <w:r w:rsidRPr="00D2141E">
        <w:rPr>
          <w:color w:val="000000"/>
          <w:lang w:val="fr-FR"/>
        </w:rPr>
        <w:t>–</w:t>
      </w:r>
      <w:r w:rsidRPr="00D2141E">
        <w:rPr>
          <w:color w:val="000000"/>
          <w:lang w:val="fr-FR"/>
        </w:rPr>
        <w:tab/>
      </w:r>
      <w:r w:rsidRPr="00F855A3">
        <w:rPr>
          <w:color w:val="000000"/>
          <w:spacing w:val="-8"/>
          <w:lang w:val="fr-FR"/>
        </w:rPr>
        <w:t>lors de la confirmation de la date de mise en service conformément au</w:t>
      </w:r>
      <w:r w:rsidR="00520B7A">
        <w:rPr>
          <w:color w:val="000000"/>
          <w:spacing w:val="-8"/>
          <w:lang w:val="fr-FR"/>
        </w:rPr>
        <w:t>x</w:t>
      </w:r>
      <w:r w:rsidRPr="00F855A3">
        <w:rPr>
          <w:color w:val="000000"/>
          <w:spacing w:val="-8"/>
          <w:lang w:val="fr-FR"/>
        </w:rPr>
        <w:t xml:space="preserve"> numéro</w:t>
      </w:r>
      <w:r w:rsidR="00520B7A">
        <w:rPr>
          <w:color w:val="000000"/>
          <w:spacing w:val="-8"/>
          <w:lang w:val="fr-FR"/>
        </w:rPr>
        <w:t xml:space="preserve">s </w:t>
      </w:r>
      <w:r w:rsidR="00520B7A">
        <w:rPr>
          <w:b/>
          <w:bCs/>
          <w:color w:val="000000"/>
          <w:spacing w:val="-8"/>
          <w:lang w:val="fr-FR"/>
        </w:rPr>
        <w:t>11.44.2</w:t>
      </w:r>
      <w:r w:rsidR="00520B7A">
        <w:rPr>
          <w:color w:val="000000"/>
          <w:spacing w:val="-8"/>
          <w:lang w:val="fr-FR"/>
        </w:rPr>
        <w:t>,</w:t>
      </w:r>
      <w:r w:rsidRPr="00F855A3">
        <w:rPr>
          <w:color w:val="000000"/>
          <w:spacing w:val="-8"/>
          <w:lang w:val="fr-FR"/>
        </w:rPr>
        <w:t> </w:t>
      </w:r>
      <w:r w:rsidRPr="00F855A3">
        <w:rPr>
          <w:rStyle w:val="Artref0"/>
          <w:b/>
          <w:color w:val="000000"/>
          <w:spacing w:val="-8"/>
          <w:lang w:val="fr-FR"/>
        </w:rPr>
        <w:t>11.47</w:t>
      </w:r>
      <w:r w:rsidR="00000D68">
        <w:rPr>
          <w:rStyle w:val="Artref0"/>
          <w:bCs/>
          <w:color w:val="000000"/>
          <w:spacing w:val="-8"/>
          <w:lang w:val="fr-FR"/>
        </w:rPr>
        <w:t>,</w:t>
      </w:r>
      <w:r w:rsidRPr="00F855A3">
        <w:rPr>
          <w:rStyle w:val="Artref0"/>
          <w:b/>
          <w:color w:val="000000"/>
          <w:spacing w:val="-8"/>
          <w:lang w:val="fr-FR"/>
        </w:rPr>
        <w:t xml:space="preserve"> 11.44B</w:t>
      </w:r>
      <w:r w:rsidR="00000D68" w:rsidRPr="00000D68">
        <w:rPr>
          <w:b/>
          <w:color w:val="000000"/>
          <w:spacing w:val="-8"/>
          <w:lang w:val="fr-CH"/>
        </w:rPr>
        <w:t xml:space="preserve">, 11.44C, 11.44D </w:t>
      </w:r>
      <w:r w:rsidR="00000D68" w:rsidRPr="00B3145B">
        <w:rPr>
          <w:bCs/>
          <w:color w:val="000000"/>
          <w:spacing w:val="-8"/>
          <w:lang w:val="fr-CH"/>
        </w:rPr>
        <w:t>et</w:t>
      </w:r>
      <w:r w:rsidR="00000D68" w:rsidRPr="00000D68">
        <w:rPr>
          <w:b/>
          <w:color w:val="000000"/>
          <w:spacing w:val="-8"/>
          <w:lang w:val="fr-CH"/>
        </w:rPr>
        <w:t xml:space="preserve"> 11.44E</w:t>
      </w:r>
      <w:r w:rsidRPr="00F855A3">
        <w:rPr>
          <w:color w:val="000000"/>
          <w:spacing w:val="-8"/>
          <w:lang w:val="fr-FR"/>
        </w:rPr>
        <w:t>.</w:t>
      </w:r>
    </w:p>
    <w:p w14:paraId="4C30F0CF" w14:textId="14C3693B" w:rsidR="00667361" w:rsidRDefault="00D2141E" w:rsidP="00F855A3">
      <w:pPr>
        <w:spacing w:before="60" w:line="250" w:lineRule="exact"/>
        <w:rPr>
          <w:color w:val="000000"/>
          <w:lang w:val="fr-CH"/>
        </w:rPr>
      </w:pPr>
      <w:r w:rsidRPr="00D2141E">
        <w:rPr>
          <w:color w:val="000000"/>
          <w:lang w:val="fr-FR"/>
        </w:rPr>
        <w:t>A noter que les renseignements concernant la date de mise en service doivent être fournis pour chaque assignation ou groupe d'assignations. (</w:t>
      </w:r>
      <w:r w:rsidRPr="00434ACA">
        <w:rPr>
          <w:color w:val="000000"/>
          <w:lang w:val="fr-CH"/>
        </w:rPr>
        <w:t>Voir également les Règles de procédure relative</w:t>
      </w:r>
      <w:r>
        <w:rPr>
          <w:color w:val="000000"/>
          <w:lang w:val="fr-CH"/>
        </w:rPr>
        <w:t>s</w:t>
      </w:r>
      <w:r w:rsidRPr="00434ACA">
        <w:rPr>
          <w:color w:val="000000"/>
          <w:lang w:val="fr-CH"/>
        </w:rPr>
        <w:t xml:space="preserve"> au</w:t>
      </w:r>
      <w:r w:rsidR="008B23CF">
        <w:rPr>
          <w:color w:val="000000"/>
          <w:lang w:val="fr-CH"/>
        </w:rPr>
        <w:t>x</w:t>
      </w:r>
      <w:r>
        <w:rPr>
          <w:color w:val="000000"/>
          <w:lang w:val="fr-CH"/>
        </w:rPr>
        <w:t xml:space="preserve"> </w:t>
      </w:r>
      <w:r w:rsidRPr="00434ACA">
        <w:rPr>
          <w:color w:val="000000"/>
          <w:lang w:val="fr-CH"/>
        </w:rPr>
        <w:t>numéro</w:t>
      </w:r>
      <w:r w:rsidR="008B23CF">
        <w:rPr>
          <w:color w:val="000000"/>
          <w:lang w:val="fr-CH"/>
        </w:rPr>
        <w:t>s</w:t>
      </w:r>
      <w:r>
        <w:rPr>
          <w:color w:val="000000"/>
          <w:lang w:val="fr-CH"/>
        </w:rPr>
        <w:t xml:space="preserve"> </w:t>
      </w:r>
      <w:r w:rsidRPr="007A014A">
        <w:rPr>
          <w:b/>
          <w:bCs/>
          <w:color w:val="000000"/>
          <w:lang w:val="fr-CH"/>
        </w:rPr>
        <w:t>11.44B</w:t>
      </w:r>
      <w:r w:rsidR="00000D68" w:rsidRPr="00000D68">
        <w:rPr>
          <w:b/>
          <w:bCs/>
          <w:color w:val="000000"/>
          <w:lang w:val="fr-CH"/>
        </w:rPr>
        <w:t xml:space="preserve">, 11.44C, 11.44D </w:t>
      </w:r>
      <w:r w:rsidR="00000D68" w:rsidRPr="00B3145B">
        <w:rPr>
          <w:color w:val="000000"/>
          <w:lang w:val="fr-CH"/>
        </w:rPr>
        <w:t>et</w:t>
      </w:r>
      <w:r w:rsidR="00000D68" w:rsidRPr="00000D68">
        <w:rPr>
          <w:b/>
          <w:bCs/>
          <w:color w:val="000000"/>
          <w:lang w:val="fr-CH"/>
        </w:rPr>
        <w:t xml:space="preserve"> 11.44E</w:t>
      </w:r>
      <w:r w:rsidRPr="00CE24FD">
        <w:rPr>
          <w:color w:val="000000"/>
          <w:lang w:val="fr-CH"/>
        </w:rPr>
        <w:t>.</w:t>
      </w:r>
      <w:r w:rsidRPr="007A014A">
        <w:rPr>
          <w:color w:val="000000"/>
          <w:lang w:val="fr-CH"/>
        </w:rPr>
        <w:t>)</w:t>
      </w:r>
      <w:r w:rsidR="000B15B3">
        <w:rPr>
          <w:color w:val="000000"/>
          <w:lang w:val="fr-CH"/>
        </w:rPr>
        <w:t>.</w:t>
      </w:r>
    </w:p>
    <w:p w14:paraId="66040CC0" w14:textId="4A3B861A" w:rsidR="00000D68" w:rsidRPr="00000D68" w:rsidRDefault="00000D68" w:rsidP="00000D68">
      <w:pPr>
        <w:pStyle w:val="Heading8"/>
        <w:pBdr>
          <w:right w:val="double" w:sz="6" w:space="31" w:color="auto"/>
        </w:pBdr>
        <w:tabs>
          <w:tab w:val="left" w:pos="4820"/>
        </w:tabs>
        <w:ind w:right="5330"/>
        <w:rPr>
          <w:color w:val="000000"/>
          <w:lang w:val="fr-CH"/>
        </w:rPr>
      </w:pPr>
      <w:r w:rsidRPr="00000D68">
        <w:rPr>
          <w:color w:val="000000"/>
          <w:lang w:val="fr-CH"/>
        </w:rPr>
        <w:t xml:space="preserve">11.44B, </w:t>
      </w:r>
      <w:r w:rsidRPr="00000D68">
        <w:rPr>
          <w:bCs/>
          <w:lang w:val="fr-CH"/>
        </w:rPr>
        <w:t>11.44C</w:t>
      </w:r>
      <w:r w:rsidRPr="00000D68">
        <w:rPr>
          <w:lang w:val="fr-CH"/>
        </w:rPr>
        <w:t xml:space="preserve">, </w:t>
      </w:r>
      <w:r w:rsidRPr="00000D68">
        <w:rPr>
          <w:bCs/>
          <w:lang w:val="fr-CH"/>
        </w:rPr>
        <w:t>11.44D et 11.44E</w:t>
      </w:r>
    </w:p>
    <w:p w14:paraId="2C3F510A" w14:textId="69C95F20" w:rsidR="00000D68" w:rsidRPr="001674FC" w:rsidRDefault="00000D68" w:rsidP="00000D68">
      <w:pPr>
        <w:rPr>
          <w:lang w:val="fr-CH"/>
        </w:rPr>
      </w:pPr>
      <w:r w:rsidRPr="001674FC">
        <w:rPr>
          <w:lang w:val="fr-CH"/>
        </w:rPr>
        <w:t>1</w:t>
      </w:r>
      <w:r w:rsidRPr="001674FC">
        <w:rPr>
          <w:lang w:val="fr-CH"/>
        </w:rPr>
        <w:tab/>
        <w:t xml:space="preserve">Ces dispositions concernent la mise en service d'une assignation de fréquence à une station spatiale. Pour qu'une telle assignation de fréquence soit considérée comme ayant été mise en service, l'administration notificatrice doit communiquer au Bureau, dans un délai de 30 jours à compter de la fin de la période de 90 jours définie au numéro </w:t>
      </w:r>
      <w:r w:rsidRPr="00000D68">
        <w:rPr>
          <w:b/>
          <w:bCs/>
          <w:lang w:val="fr-CH"/>
        </w:rPr>
        <w:t>11.44B</w:t>
      </w:r>
      <w:r w:rsidRPr="001674FC">
        <w:rPr>
          <w:lang w:val="fr-CH"/>
        </w:rPr>
        <w:t xml:space="preserve"> ou </w:t>
      </w:r>
      <w:r w:rsidRPr="00000D68">
        <w:rPr>
          <w:b/>
          <w:bCs/>
          <w:lang w:val="fr-CH"/>
        </w:rPr>
        <w:t>11.44C</w:t>
      </w:r>
      <w:r w:rsidRPr="001674FC">
        <w:rPr>
          <w:lang w:val="fr-CH"/>
        </w:rPr>
        <w:t xml:space="preserve">, ou à compter de la fin de la période visée au numéro </w:t>
      </w:r>
      <w:r w:rsidRPr="00000D68">
        <w:rPr>
          <w:b/>
          <w:bCs/>
          <w:lang w:val="fr-CH"/>
        </w:rPr>
        <w:t>11.44</w:t>
      </w:r>
      <w:r w:rsidRPr="001674FC">
        <w:rPr>
          <w:b/>
          <w:bCs/>
          <w:lang w:val="fr-CH"/>
        </w:rPr>
        <w:t xml:space="preserve"> </w:t>
      </w:r>
      <w:r w:rsidRPr="001674FC">
        <w:rPr>
          <w:lang w:val="fr-CH"/>
        </w:rPr>
        <w:t xml:space="preserve">pour les cas relatifs au numéro </w:t>
      </w:r>
      <w:r w:rsidRPr="001674FC">
        <w:rPr>
          <w:b/>
          <w:bCs/>
          <w:lang w:val="fr-CH"/>
        </w:rPr>
        <w:t>11.44</w:t>
      </w:r>
      <w:r w:rsidRPr="00000D68">
        <w:rPr>
          <w:b/>
          <w:bCs/>
          <w:lang w:val="fr-CH"/>
        </w:rPr>
        <w:t>D</w:t>
      </w:r>
      <w:r w:rsidRPr="001674FC">
        <w:rPr>
          <w:lang w:val="fr-CH"/>
        </w:rPr>
        <w:t xml:space="preserve"> ou </w:t>
      </w:r>
      <w:r w:rsidRPr="00000D68">
        <w:rPr>
          <w:b/>
          <w:bCs/>
          <w:lang w:val="fr-CH"/>
        </w:rPr>
        <w:t>11.44E</w:t>
      </w:r>
      <w:r w:rsidRPr="001674FC">
        <w:rPr>
          <w:lang w:val="fr-CH"/>
        </w:rPr>
        <w:t>, les renseignements relatifs au déploiement indiqués dans ces dispositions.</w:t>
      </w:r>
    </w:p>
    <w:p w14:paraId="1414B76A" w14:textId="6D533B6B" w:rsidR="00000D68" w:rsidRPr="001674FC" w:rsidRDefault="00000D68" w:rsidP="00000D68">
      <w:pPr>
        <w:rPr>
          <w:lang w:val="fr-CH"/>
        </w:rPr>
      </w:pPr>
      <w:r w:rsidRPr="001674FC">
        <w:rPr>
          <w:lang w:val="fr-CH"/>
        </w:rPr>
        <w:t>2</w:t>
      </w:r>
      <w:r w:rsidRPr="001674FC">
        <w:rPr>
          <w:lang w:val="fr-CH"/>
        </w:rPr>
        <w:tab/>
        <w:t xml:space="preserve">Le Comité a étudié de manière approfondie le lien entre les diverses dispositions relatives à la mise en service d'assignations de fréquence concernant un réseau à satellite ou un système à satellites conformément aux dispositions des numéros </w:t>
      </w:r>
      <w:r w:rsidRPr="001674FC">
        <w:rPr>
          <w:b/>
          <w:bCs/>
          <w:lang w:val="fr-CH"/>
        </w:rPr>
        <w:t>11.43A</w:t>
      </w:r>
      <w:r w:rsidRPr="001674FC">
        <w:rPr>
          <w:lang w:val="fr-CH"/>
        </w:rPr>
        <w:t xml:space="preserve">, </w:t>
      </w:r>
      <w:r w:rsidRPr="001674FC">
        <w:rPr>
          <w:b/>
          <w:bCs/>
          <w:lang w:val="fr-CH"/>
        </w:rPr>
        <w:t>11.44</w:t>
      </w:r>
      <w:r w:rsidRPr="001674FC">
        <w:rPr>
          <w:lang w:val="fr-CH"/>
        </w:rPr>
        <w:t>,</w:t>
      </w:r>
      <w:r w:rsidRPr="001674FC">
        <w:rPr>
          <w:b/>
          <w:bCs/>
          <w:lang w:val="fr-CH"/>
        </w:rPr>
        <w:t xml:space="preserve"> 11.44.2</w:t>
      </w:r>
      <w:r w:rsidRPr="001674FC">
        <w:rPr>
          <w:lang w:val="fr-CH"/>
        </w:rPr>
        <w:t>,</w:t>
      </w:r>
      <w:r w:rsidRPr="001674FC">
        <w:rPr>
          <w:b/>
          <w:bCs/>
          <w:lang w:val="fr-CH"/>
        </w:rPr>
        <w:t xml:space="preserve"> 11.44.3</w:t>
      </w:r>
      <w:r w:rsidRPr="001674FC">
        <w:rPr>
          <w:lang w:val="fr-CH"/>
        </w:rPr>
        <w:t xml:space="preserve">, </w:t>
      </w:r>
      <w:r w:rsidRPr="001674FC">
        <w:rPr>
          <w:b/>
          <w:bCs/>
          <w:lang w:val="fr-CH"/>
        </w:rPr>
        <w:t>11.44B</w:t>
      </w:r>
      <w:r w:rsidRPr="001674FC">
        <w:rPr>
          <w:lang w:val="fr-CH"/>
        </w:rPr>
        <w:t xml:space="preserve">, </w:t>
      </w:r>
      <w:r w:rsidRPr="001674FC">
        <w:rPr>
          <w:b/>
          <w:bCs/>
          <w:lang w:val="fr-CH"/>
        </w:rPr>
        <w:t>11.44B.1</w:t>
      </w:r>
      <w:r w:rsidRPr="001674FC">
        <w:rPr>
          <w:lang w:val="fr-CH"/>
        </w:rPr>
        <w:t xml:space="preserve">, </w:t>
      </w:r>
      <w:r w:rsidRPr="001674FC">
        <w:rPr>
          <w:b/>
          <w:bCs/>
          <w:lang w:val="fr-CH"/>
        </w:rPr>
        <w:t>11.44B.2</w:t>
      </w:r>
      <w:r w:rsidRPr="001674FC">
        <w:rPr>
          <w:lang w:val="fr-CH"/>
        </w:rPr>
        <w:t xml:space="preserve">, </w:t>
      </w:r>
      <w:r w:rsidRPr="001674FC">
        <w:rPr>
          <w:b/>
          <w:bCs/>
          <w:lang w:val="fr-CH"/>
        </w:rPr>
        <w:t>11.44C</w:t>
      </w:r>
      <w:r w:rsidRPr="001674FC">
        <w:rPr>
          <w:lang w:val="fr-CH"/>
        </w:rPr>
        <w:t xml:space="preserve">, </w:t>
      </w:r>
      <w:r w:rsidRPr="001674FC">
        <w:rPr>
          <w:b/>
          <w:bCs/>
          <w:lang w:val="fr-CH"/>
        </w:rPr>
        <w:t>11.44C.1</w:t>
      </w:r>
      <w:r w:rsidRPr="001674FC">
        <w:rPr>
          <w:lang w:val="fr-CH"/>
        </w:rPr>
        <w:t xml:space="preserve">, </w:t>
      </w:r>
      <w:r w:rsidRPr="001674FC">
        <w:rPr>
          <w:b/>
          <w:bCs/>
          <w:lang w:val="fr-CH"/>
        </w:rPr>
        <w:t>11.44C.2</w:t>
      </w:r>
      <w:r w:rsidRPr="001674FC">
        <w:rPr>
          <w:lang w:val="fr-CH"/>
        </w:rPr>
        <w:t xml:space="preserve">, </w:t>
      </w:r>
      <w:r w:rsidRPr="001674FC">
        <w:rPr>
          <w:b/>
          <w:bCs/>
          <w:lang w:val="fr-CH"/>
        </w:rPr>
        <w:t>11.44C.3</w:t>
      </w:r>
      <w:r w:rsidRPr="001674FC">
        <w:rPr>
          <w:lang w:val="fr-CH"/>
        </w:rPr>
        <w:t xml:space="preserve">, </w:t>
      </w:r>
      <w:r w:rsidRPr="001674FC">
        <w:rPr>
          <w:b/>
          <w:bCs/>
          <w:lang w:val="fr-CH"/>
        </w:rPr>
        <w:t>11.44C.4</w:t>
      </w:r>
      <w:r w:rsidRPr="001674FC">
        <w:rPr>
          <w:lang w:val="fr-CH"/>
        </w:rPr>
        <w:t xml:space="preserve">, </w:t>
      </w:r>
      <w:r w:rsidRPr="001674FC">
        <w:rPr>
          <w:b/>
          <w:bCs/>
          <w:lang w:val="fr-CH"/>
        </w:rPr>
        <w:t>11.44D</w:t>
      </w:r>
      <w:r w:rsidRPr="001674FC">
        <w:rPr>
          <w:lang w:val="fr-CH"/>
        </w:rPr>
        <w:t xml:space="preserve">, </w:t>
      </w:r>
      <w:r w:rsidRPr="001674FC">
        <w:rPr>
          <w:b/>
          <w:bCs/>
          <w:lang w:val="fr-CH"/>
        </w:rPr>
        <w:t>11.44D.1</w:t>
      </w:r>
      <w:r w:rsidRPr="001674FC">
        <w:rPr>
          <w:lang w:val="fr-CH"/>
        </w:rPr>
        <w:t xml:space="preserve">, </w:t>
      </w:r>
      <w:r w:rsidRPr="001674FC">
        <w:rPr>
          <w:b/>
          <w:bCs/>
          <w:lang w:val="fr-CH"/>
        </w:rPr>
        <w:t>11.44D.2</w:t>
      </w:r>
      <w:r w:rsidRPr="001674FC">
        <w:rPr>
          <w:lang w:val="fr-CH"/>
        </w:rPr>
        <w:t xml:space="preserve">, </w:t>
      </w:r>
      <w:r w:rsidRPr="001674FC">
        <w:rPr>
          <w:b/>
          <w:bCs/>
          <w:lang w:val="fr-CH"/>
        </w:rPr>
        <w:t>11.44D.3</w:t>
      </w:r>
      <w:r w:rsidRPr="001674FC">
        <w:rPr>
          <w:lang w:val="fr-CH"/>
        </w:rPr>
        <w:t xml:space="preserve">, </w:t>
      </w:r>
      <w:r w:rsidRPr="001674FC">
        <w:rPr>
          <w:b/>
          <w:bCs/>
          <w:lang w:val="fr-CH"/>
        </w:rPr>
        <w:t>11.44E</w:t>
      </w:r>
      <w:r w:rsidRPr="001674FC">
        <w:rPr>
          <w:lang w:val="fr-CH"/>
        </w:rPr>
        <w:t>,</w:t>
      </w:r>
      <w:r w:rsidRPr="00000D68">
        <w:rPr>
          <w:szCs w:val="22"/>
          <w:lang w:val="fr-CH"/>
        </w:rPr>
        <w:t xml:space="preserve"> </w:t>
      </w:r>
      <w:r w:rsidRPr="001674FC">
        <w:rPr>
          <w:b/>
          <w:bCs/>
          <w:lang w:val="fr-CH"/>
        </w:rPr>
        <w:t>11.44E.1</w:t>
      </w:r>
      <w:r w:rsidRPr="001674FC">
        <w:rPr>
          <w:lang w:val="fr-CH"/>
        </w:rPr>
        <w:t xml:space="preserve"> et </w:t>
      </w:r>
      <w:r w:rsidRPr="001674FC">
        <w:rPr>
          <w:b/>
          <w:bCs/>
          <w:lang w:val="fr-CH"/>
        </w:rPr>
        <w:t>11.47</w:t>
      </w:r>
      <w:r w:rsidRPr="001674FC">
        <w:rPr>
          <w:lang w:val="fr-CH"/>
        </w:rPr>
        <w:t xml:space="preserve"> et a conclu que le Bureau appliquerait la procédure suivante.</w:t>
      </w:r>
    </w:p>
    <w:p w14:paraId="6883B6E3" w14:textId="77777777" w:rsidR="00093869" w:rsidRDefault="00093869" w:rsidP="00000D68">
      <w:pPr>
        <w:rPr>
          <w:lang w:val="fr-CH"/>
        </w:rPr>
      </w:pPr>
      <w:r>
        <w:rPr>
          <w:lang w:val="fr-CH"/>
        </w:rPr>
        <w:br w:type="page"/>
      </w:r>
    </w:p>
    <w:p w14:paraId="79CD1B9F" w14:textId="66384612" w:rsidR="00000D68" w:rsidRPr="001674FC" w:rsidRDefault="00000D68" w:rsidP="00000D68">
      <w:pPr>
        <w:rPr>
          <w:lang w:val="fr-CH"/>
        </w:rPr>
      </w:pPr>
      <w:r w:rsidRPr="001674FC">
        <w:rPr>
          <w:lang w:val="fr-CH"/>
        </w:rPr>
        <w:lastRenderedPageBreak/>
        <w:t>3</w:t>
      </w:r>
      <w:r w:rsidRPr="001674FC">
        <w:rPr>
          <w:lang w:val="fr-CH"/>
        </w:rPr>
        <w:tab/>
      </w:r>
      <w:r w:rsidRPr="001674FC">
        <w:rPr>
          <w:spacing w:val="-2"/>
          <w:lang w:val="fr-CH"/>
        </w:rPr>
        <w:t xml:space="preserve">Le numéro </w:t>
      </w:r>
      <w:r w:rsidRPr="001674FC">
        <w:rPr>
          <w:b/>
          <w:bCs/>
          <w:spacing w:val="-2"/>
          <w:lang w:val="fr-CH"/>
        </w:rPr>
        <w:t>11.44</w:t>
      </w:r>
      <w:r w:rsidR="00150476">
        <w:rPr>
          <w:rStyle w:val="FootnoteReference"/>
          <w:spacing w:val="-2"/>
          <w:lang w:val="fr-CH"/>
        </w:rPr>
        <w:footnoteReference w:customMarkFollows="1" w:id="13"/>
        <w:t>11</w:t>
      </w:r>
      <w:r w:rsidRPr="001674FC">
        <w:rPr>
          <w:spacing w:val="-2"/>
          <w:lang w:val="fr-CH"/>
        </w:rPr>
        <w:t xml:space="preserve"> fixe le délai réglementaire de mise en service des assignations de fréquence à une station spatiale et dispose que le Bureau doit annuler les assignations de fréquence qui ne sont pas mises en service dans le délai réglementaire requis. Les numéros </w:t>
      </w:r>
      <w:r w:rsidRPr="001674FC">
        <w:rPr>
          <w:b/>
          <w:bCs/>
          <w:spacing w:val="-2"/>
          <w:lang w:val="fr-CH"/>
        </w:rPr>
        <w:t>11.44B</w:t>
      </w:r>
      <w:r w:rsidRPr="001674FC">
        <w:rPr>
          <w:spacing w:val="-2"/>
          <w:lang w:val="fr-CH"/>
        </w:rPr>
        <w:t xml:space="preserve">, </w:t>
      </w:r>
      <w:r w:rsidRPr="00000D68">
        <w:rPr>
          <w:b/>
          <w:bCs/>
          <w:spacing w:val="-2"/>
          <w:lang w:val="fr-CH"/>
        </w:rPr>
        <w:t>11.44C</w:t>
      </w:r>
      <w:r w:rsidRPr="001674FC">
        <w:rPr>
          <w:spacing w:val="-2"/>
          <w:lang w:val="fr-CH"/>
        </w:rPr>
        <w:t xml:space="preserve">, </w:t>
      </w:r>
      <w:r w:rsidRPr="00000D68">
        <w:rPr>
          <w:b/>
          <w:bCs/>
          <w:spacing w:val="-2"/>
          <w:lang w:val="fr-CH"/>
        </w:rPr>
        <w:t>11.44D</w:t>
      </w:r>
      <w:r w:rsidRPr="001674FC">
        <w:rPr>
          <w:spacing w:val="-2"/>
          <w:lang w:val="fr-CH"/>
        </w:rPr>
        <w:t xml:space="preserve"> et </w:t>
      </w:r>
      <w:r w:rsidRPr="00000D68">
        <w:rPr>
          <w:b/>
          <w:bCs/>
          <w:spacing w:val="-2"/>
          <w:lang w:val="fr-CH"/>
        </w:rPr>
        <w:t>11.44E</w:t>
      </w:r>
      <w:r w:rsidRPr="001674FC">
        <w:rPr>
          <w:spacing w:val="-2"/>
          <w:lang w:val="fr-CH"/>
        </w:rPr>
        <w:t xml:space="preserve">, ainsi que les numéros </w:t>
      </w:r>
      <w:r w:rsidRPr="001674FC">
        <w:rPr>
          <w:b/>
          <w:bCs/>
          <w:spacing w:val="-2"/>
          <w:lang w:val="fr-CH"/>
        </w:rPr>
        <w:t>11.44B.2</w:t>
      </w:r>
      <w:r w:rsidRPr="001674FC">
        <w:rPr>
          <w:spacing w:val="-2"/>
          <w:lang w:val="fr-CH"/>
        </w:rPr>
        <w:t xml:space="preserve"> et </w:t>
      </w:r>
      <w:r w:rsidRPr="00000D68">
        <w:rPr>
          <w:b/>
          <w:bCs/>
          <w:spacing w:val="-2"/>
          <w:lang w:val="fr-CH"/>
        </w:rPr>
        <w:t>11.44C.3</w:t>
      </w:r>
      <w:r w:rsidRPr="001674FC">
        <w:rPr>
          <w:spacing w:val="-2"/>
          <w:lang w:val="fr-CH"/>
        </w:rPr>
        <w:t>, ont établi les conditions dans lesquelles une assignation de fréquence à une station spatiale est considérée comme ayant été mise en service. Le Bureau enregistrera la date de début de la période de 90</w:t>
      </w:r>
      <w:r w:rsidR="00B3145B">
        <w:rPr>
          <w:spacing w:val="-2"/>
          <w:lang w:val="fr-CH"/>
        </w:rPr>
        <w:t> </w:t>
      </w:r>
      <w:r w:rsidRPr="001674FC">
        <w:rPr>
          <w:spacing w:val="-2"/>
          <w:lang w:val="fr-CH"/>
        </w:rPr>
        <w:t>jours définie au numéro </w:t>
      </w:r>
      <w:r w:rsidRPr="001674FC">
        <w:rPr>
          <w:b/>
          <w:bCs/>
          <w:spacing w:val="-2"/>
          <w:lang w:val="fr-CH"/>
        </w:rPr>
        <w:t xml:space="preserve">11.44B </w:t>
      </w:r>
      <w:r w:rsidRPr="00000D68">
        <w:rPr>
          <w:spacing w:val="-2"/>
          <w:lang w:val="fr-CH"/>
        </w:rPr>
        <w:t>ou</w:t>
      </w:r>
      <w:r w:rsidRPr="001674FC">
        <w:rPr>
          <w:b/>
          <w:bCs/>
          <w:spacing w:val="-2"/>
          <w:lang w:val="fr-CH"/>
        </w:rPr>
        <w:t xml:space="preserve"> 11.44C</w:t>
      </w:r>
      <w:r w:rsidRPr="001674FC">
        <w:rPr>
          <w:spacing w:val="-2"/>
          <w:lang w:val="fr-CH"/>
        </w:rPr>
        <w:t xml:space="preserve">, ou la date de déploiement définie au numéro </w:t>
      </w:r>
      <w:r w:rsidRPr="00000D68">
        <w:rPr>
          <w:b/>
          <w:bCs/>
          <w:spacing w:val="-2"/>
          <w:lang w:val="fr-CH"/>
        </w:rPr>
        <w:t>11.44D</w:t>
      </w:r>
      <w:r w:rsidRPr="001674FC">
        <w:rPr>
          <w:spacing w:val="-2"/>
          <w:lang w:val="fr-CH"/>
        </w:rPr>
        <w:t xml:space="preserve"> ou </w:t>
      </w:r>
      <w:r w:rsidRPr="00000D68">
        <w:rPr>
          <w:b/>
          <w:bCs/>
          <w:spacing w:val="-2"/>
          <w:lang w:val="fr-CH"/>
        </w:rPr>
        <w:t>11.44E</w:t>
      </w:r>
      <w:r w:rsidRPr="001674FC">
        <w:rPr>
          <w:spacing w:val="-2"/>
          <w:lang w:val="fr-CH"/>
        </w:rPr>
        <w:t xml:space="preserve">, ou la date communiquée par l'administration conformément au numéro </w:t>
      </w:r>
      <w:r w:rsidRPr="001674FC">
        <w:rPr>
          <w:b/>
          <w:bCs/>
          <w:spacing w:val="-2"/>
          <w:lang w:val="fr-CH"/>
        </w:rPr>
        <w:t xml:space="preserve">11.44B.2 </w:t>
      </w:r>
      <w:r w:rsidRPr="00000D68">
        <w:rPr>
          <w:spacing w:val="-2"/>
          <w:lang w:val="fr-CH"/>
        </w:rPr>
        <w:t>ou</w:t>
      </w:r>
      <w:r w:rsidRPr="001674FC">
        <w:rPr>
          <w:b/>
          <w:bCs/>
          <w:spacing w:val="-2"/>
          <w:lang w:val="fr-CH"/>
        </w:rPr>
        <w:t xml:space="preserve"> 11.44C.3</w:t>
      </w:r>
      <w:r w:rsidRPr="001674FC">
        <w:rPr>
          <w:spacing w:val="-2"/>
          <w:lang w:val="fr-CH"/>
        </w:rPr>
        <w:t xml:space="preserve">, comme étant la date notifiée de mise en service (voir le numéro </w:t>
      </w:r>
      <w:r w:rsidRPr="001674FC">
        <w:rPr>
          <w:b/>
          <w:bCs/>
          <w:spacing w:val="-2"/>
          <w:lang w:val="fr-CH"/>
        </w:rPr>
        <w:t>11.44.2</w:t>
      </w:r>
      <w:r w:rsidRPr="001674FC">
        <w:rPr>
          <w:spacing w:val="-2"/>
          <w:lang w:val="fr-CH"/>
        </w:rPr>
        <w:t xml:space="preserve">) La date de mise en service d'une assignation sera mise à disposition sur le site web du BR, avec indication du statut de la confirmation et sera publiée par la suite dans la Partie II-S de la Circulaire IFIC du BR, si l'assignation doit être inscrite dans le Fichier de référence international des fréquences. En l'absence de renseignements de confirmation au titre des numéros </w:t>
      </w:r>
      <w:r w:rsidRPr="001674FC">
        <w:rPr>
          <w:b/>
          <w:bCs/>
          <w:spacing w:val="-2"/>
          <w:lang w:val="fr-CH"/>
        </w:rPr>
        <w:t>11.44B</w:t>
      </w:r>
      <w:r w:rsidRPr="001674FC">
        <w:rPr>
          <w:spacing w:val="-2"/>
          <w:lang w:val="fr-CH"/>
        </w:rPr>
        <w:t xml:space="preserve">, </w:t>
      </w:r>
      <w:r w:rsidRPr="00000D68">
        <w:rPr>
          <w:b/>
          <w:bCs/>
          <w:spacing w:val="-2"/>
          <w:lang w:val="fr-CH"/>
        </w:rPr>
        <w:t>11.44C</w:t>
      </w:r>
      <w:r w:rsidRPr="001674FC">
        <w:rPr>
          <w:spacing w:val="-2"/>
          <w:lang w:val="fr-CH"/>
        </w:rPr>
        <w:t xml:space="preserve">, </w:t>
      </w:r>
      <w:r w:rsidRPr="00000D68">
        <w:rPr>
          <w:b/>
          <w:bCs/>
          <w:spacing w:val="-2"/>
          <w:lang w:val="fr-CH"/>
        </w:rPr>
        <w:t>11.44D</w:t>
      </w:r>
      <w:r w:rsidRPr="001674FC">
        <w:rPr>
          <w:spacing w:val="-2"/>
          <w:lang w:val="fr-CH"/>
        </w:rPr>
        <w:t xml:space="preserve"> et </w:t>
      </w:r>
      <w:r w:rsidRPr="00000D68">
        <w:rPr>
          <w:b/>
          <w:bCs/>
          <w:spacing w:val="-2"/>
          <w:lang w:val="fr-CH"/>
        </w:rPr>
        <w:t>11.44E</w:t>
      </w:r>
      <w:r w:rsidRPr="001674FC">
        <w:rPr>
          <w:spacing w:val="-2"/>
          <w:lang w:val="fr-CH"/>
        </w:rPr>
        <w:t xml:space="preserve">, ainsi que des numéros </w:t>
      </w:r>
      <w:r w:rsidRPr="001674FC">
        <w:rPr>
          <w:b/>
          <w:bCs/>
          <w:spacing w:val="-2"/>
          <w:lang w:val="fr-CH"/>
        </w:rPr>
        <w:t>11.44B.2</w:t>
      </w:r>
      <w:r w:rsidRPr="001674FC">
        <w:rPr>
          <w:lang w:val="fr-CH"/>
        </w:rPr>
        <w:t xml:space="preserve"> </w:t>
      </w:r>
      <w:r w:rsidRPr="00000D68">
        <w:rPr>
          <w:spacing w:val="-2"/>
          <w:lang w:val="fr-CH"/>
        </w:rPr>
        <w:t>et</w:t>
      </w:r>
      <w:r w:rsidRPr="001674FC">
        <w:rPr>
          <w:b/>
          <w:bCs/>
          <w:spacing w:val="-2"/>
          <w:lang w:val="fr-CH"/>
        </w:rPr>
        <w:t xml:space="preserve"> 11.44C.3</w:t>
      </w:r>
      <w:r w:rsidRPr="001674FC">
        <w:rPr>
          <w:spacing w:val="-2"/>
          <w:lang w:val="fr-CH"/>
        </w:rPr>
        <w:t xml:space="preserve">, le Bureau annule les assignations de fréquence inscrites à titre provisoire dans le Fichier de référence, conformément au numéro </w:t>
      </w:r>
      <w:r w:rsidRPr="001674FC">
        <w:rPr>
          <w:b/>
          <w:bCs/>
          <w:spacing w:val="-2"/>
          <w:lang w:val="fr-CH"/>
        </w:rPr>
        <w:t>11.44</w:t>
      </w:r>
      <w:r w:rsidR="00150476">
        <w:rPr>
          <w:rStyle w:val="FootnoteReference"/>
          <w:spacing w:val="-2"/>
          <w:lang w:val="fr-CH"/>
        </w:rPr>
        <w:footnoteReference w:customMarkFollows="1" w:id="14"/>
        <w:t>12</w:t>
      </w:r>
      <w:r w:rsidRPr="001674FC">
        <w:rPr>
          <w:spacing w:val="-2"/>
          <w:lang w:val="fr-CH"/>
        </w:rPr>
        <w:t xml:space="preserve"> et/ou supprime les sections spéciales correspondantes conformément au numéro </w:t>
      </w:r>
      <w:r w:rsidRPr="001674FC">
        <w:rPr>
          <w:b/>
          <w:bCs/>
          <w:spacing w:val="-2"/>
          <w:lang w:val="fr-CH"/>
        </w:rPr>
        <w:t>11.48</w:t>
      </w:r>
      <w:r w:rsidR="00150476">
        <w:rPr>
          <w:rStyle w:val="FootnoteReference"/>
          <w:spacing w:val="-2"/>
          <w:lang w:val="fr-CH"/>
        </w:rPr>
        <w:footnoteReference w:customMarkFollows="1" w:id="15"/>
        <w:t>13</w:t>
      </w:r>
      <w:r w:rsidRPr="001674FC">
        <w:rPr>
          <w:spacing w:val="-2"/>
          <w:lang w:val="fr-CH"/>
        </w:rPr>
        <w:t xml:space="preserve">, selon le cas. </w:t>
      </w:r>
    </w:p>
    <w:p w14:paraId="460FD10A" w14:textId="441B7B19" w:rsidR="00F855A3" w:rsidRDefault="00000D68" w:rsidP="00000D68">
      <w:pPr>
        <w:spacing w:before="120" w:line="250" w:lineRule="exact"/>
        <w:rPr>
          <w:color w:val="000000"/>
          <w:lang w:val="fr-FR"/>
        </w:rPr>
      </w:pPr>
      <w:r w:rsidRPr="001674FC">
        <w:rPr>
          <w:lang w:val="fr-CH"/>
        </w:rPr>
        <w:t>4</w:t>
      </w:r>
      <w:r w:rsidRPr="001674FC">
        <w:rPr>
          <w:lang w:val="fr-CH"/>
        </w:rPr>
        <w:tab/>
        <w:t xml:space="preserve">Les assignations de fréquence pour lesquelles une administration a soumis des renseignements de notification en vue de leur inscription dans le Fichier de référence, sans avoir soumis les renseignements obligatoires à fournir au titre des numéros </w:t>
      </w:r>
      <w:r w:rsidRPr="001674FC">
        <w:rPr>
          <w:b/>
          <w:lang w:val="fr-CH"/>
        </w:rPr>
        <w:t>11.44B</w:t>
      </w:r>
      <w:r w:rsidRPr="00000D68">
        <w:rPr>
          <w:bCs/>
          <w:szCs w:val="22"/>
          <w:lang w:val="fr-CH"/>
        </w:rPr>
        <w:t>,</w:t>
      </w:r>
      <w:r w:rsidRPr="001674FC">
        <w:rPr>
          <w:bCs/>
          <w:lang w:val="fr-CH"/>
        </w:rPr>
        <w:t xml:space="preserve"> </w:t>
      </w:r>
      <w:r w:rsidRPr="00000D68">
        <w:rPr>
          <w:b/>
          <w:bCs/>
          <w:lang w:val="fr-CH"/>
        </w:rPr>
        <w:t>11.44C</w:t>
      </w:r>
      <w:r w:rsidRPr="00000D68">
        <w:rPr>
          <w:bCs/>
          <w:lang w:val="fr-CH"/>
        </w:rPr>
        <w:t xml:space="preserve">, </w:t>
      </w:r>
      <w:r w:rsidRPr="00000D68">
        <w:rPr>
          <w:b/>
          <w:bCs/>
          <w:lang w:val="fr-CH"/>
        </w:rPr>
        <w:t>11.44D</w:t>
      </w:r>
      <w:r w:rsidRPr="00000D68">
        <w:rPr>
          <w:b/>
          <w:lang w:val="fr-CH"/>
        </w:rPr>
        <w:t xml:space="preserve"> </w:t>
      </w:r>
      <w:r w:rsidRPr="00000D68">
        <w:rPr>
          <w:bCs/>
          <w:lang w:val="fr-CH"/>
        </w:rPr>
        <w:t xml:space="preserve">et </w:t>
      </w:r>
      <w:r w:rsidRPr="00000D68">
        <w:rPr>
          <w:b/>
          <w:bCs/>
          <w:lang w:val="fr-CH"/>
        </w:rPr>
        <w:t>11.44E</w:t>
      </w:r>
      <w:r w:rsidRPr="001674FC">
        <w:rPr>
          <w:lang w:val="fr-CH"/>
        </w:rPr>
        <w:t>, seront inscrites provisoirement dans le Fichier de référence. Par la suite, à l'expiration du délai prévu au numéro </w:t>
      </w:r>
      <w:r w:rsidRPr="001674FC">
        <w:rPr>
          <w:b/>
          <w:lang w:val="fr-CH"/>
        </w:rPr>
        <w:t>11.44</w:t>
      </w:r>
      <w:r w:rsidRPr="001674FC">
        <w:rPr>
          <w:lang w:val="fr-CH"/>
        </w:rPr>
        <w:t>, le Bureau agit conformément aux dispositions du numéro </w:t>
      </w:r>
      <w:r w:rsidRPr="001674FC">
        <w:rPr>
          <w:b/>
          <w:lang w:val="fr-CH"/>
        </w:rPr>
        <w:t>11.47</w:t>
      </w:r>
      <w:r w:rsidRPr="001674FC">
        <w:rPr>
          <w:lang w:val="fr-CH"/>
        </w:rPr>
        <w:t xml:space="preserve"> et/ou des numéros </w:t>
      </w:r>
      <w:r w:rsidRPr="001674FC">
        <w:rPr>
          <w:b/>
          <w:lang w:val="fr-CH"/>
        </w:rPr>
        <w:t>11.44B</w:t>
      </w:r>
      <w:r w:rsidRPr="00000D68">
        <w:rPr>
          <w:bCs/>
          <w:szCs w:val="22"/>
          <w:lang w:val="fr-CH"/>
        </w:rPr>
        <w:t>,</w:t>
      </w:r>
      <w:r w:rsidRPr="001674FC">
        <w:rPr>
          <w:bCs/>
          <w:lang w:val="fr-CH"/>
        </w:rPr>
        <w:t xml:space="preserve"> </w:t>
      </w:r>
      <w:r w:rsidRPr="00000D68">
        <w:rPr>
          <w:b/>
          <w:bCs/>
          <w:lang w:val="fr-CH"/>
        </w:rPr>
        <w:t>11.44C</w:t>
      </w:r>
      <w:r w:rsidRPr="00000D68">
        <w:rPr>
          <w:bCs/>
          <w:lang w:val="fr-CH"/>
        </w:rPr>
        <w:t xml:space="preserve">, </w:t>
      </w:r>
      <w:r w:rsidRPr="00000D68">
        <w:rPr>
          <w:b/>
          <w:bCs/>
          <w:lang w:val="fr-CH"/>
        </w:rPr>
        <w:t>11.44D</w:t>
      </w:r>
      <w:r w:rsidRPr="00000D68">
        <w:rPr>
          <w:b/>
          <w:lang w:val="fr-CH"/>
        </w:rPr>
        <w:t xml:space="preserve"> </w:t>
      </w:r>
      <w:r w:rsidRPr="00000D68">
        <w:rPr>
          <w:bCs/>
          <w:lang w:val="fr-CH"/>
        </w:rPr>
        <w:t>et</w:t>
      </w:r>
      <w:r w:rsidRPr="00000D68">
        <w:rPr>
          <w:b/>
          <w:lang w:val="fr-CH"/>
        </w:rPr>
        <w:t xml:space="preserve"> </w:t>
      </w:r>
      <w:r w:rsidRPr="00000D68">
        <w:rPr>
          <w:b/>
          <w:bCs/>
          <w:lang w:val="fr-CH"/>
        </w:rPr>
        <w:t>11.44E</w:t>
      </w:r>
      <w:r w:rsidRPr="001674FC">
        <w:rPr>
          <w:lang w:val="fr-CH"/>
        </w:rPr>
        <w:t>.</w:t>
      </w:r>
    </w:p>
    <w:p w14:paraId="77D78EA6" w14:textId="47197678" w:rsidR="002F2B9C" w:rsidRPr="002F2B9C" w:rsidRDefault="002F2B9C" w:rsidP="002F2B9C">
      <w:pPr>
        <w:pStyle w:val="Heading8"/>
        <w:spacing w:before="120"/>
        <w:rPr>
          <w:lang w:val="fr-CH"/>
        </w:rPr>
      </w:pPr>
      <w:r w:rsidRPr="002F2B9C">
        <w:rPr>
          <w:lang w:val="fr-CH"/>
        </w:rPr>
        <w:t>11.46</w:t>
      </w:r>
      <w:r>
        <w:rPr>
          <w:lang w:val="fr-CH"/>
        </w:rPr>
        <w:tab/>
      </w:r>
    </w:p>
    <w:p w14:paraId="23887C81" w14:textId="77777777" w:rsidR="002F2B9C" w:rsidRPr="002F2B9C" w:rsidRDefault="002F2B9C" w:rsidP="002F2B9C">
      <w:pPr>
        <w:rPr>
          <w:rFonts w:eastAsia="Calibri"/>
          <w:lang w:val="fr-CH"/>
        </w:rPr>
      </w:pPr>
      <w:r w:rsidRPr="002F2B9C">
        <w:rPr>
          <w:rFonts w:eastAsia="Calibri"/>
          <w:lang w:val="fr-CH"/>
        </w:rPr>
        <w:t>Ce numéro décrit les mesures à prendre par le Bureau en ce qui concerne les fiches de notification présentées à nouveau plus de six mois après la date à laquelle la fiche de notification initiale a été renvoyée. Le Comité a étudié son applicabilité aux fiches de notification pour les services spatiaux et les services de Terre et a conclu ce qui suit:</w:t>
      </w:r>
    </w:p>
    <w:p w14:paraId="461D20A1" w14:textId="77777777" w:rsidR="002F2B9C" w:rsidRPr="002F2B9C" w:rsidRDefault="002F2B9C" w:rsidP="002F2B9C">
      <w:pPr>
        <w:pStyle w:val="enumlev1"/>
        <w:rPr>
          <w:rFonts w:eastAsia="Calibri"/>
          <w:lang w:val="fr-CH"/>
        </w:rPr>
      </w:pPr>
      <w:r w:rsidRPr="002F2B9C">
        <w:rPr>
          <w:rFonts w:eastAsia="Calibri"/>
          <w:lang w:val="fr-CH"/>
        </w:rPr>
        <w:t>a)</w:t>
      </w:r>
      <w:r w:rsidRPr="002F2B9C">
        <w:rPr>
          <w:rFonts w:eastAsia="Calibri"/>
          <w:lang w:val="fr-CH"/>
        </w:rPr>
        <w:tab/>
        <w:t>la disposition énoncée dans la première phrase de ce numéro, selon laquelle une fiche de notification présentée à nouveau plus de six mois après la date de son renvoi est considérée comme une nouvelle notification, s'applique aux assignations de fréquence aux stations spatiales et aux stations de Terre;</w:t>
      </w:r>
    </w:p>
    <w:p w14:paraId="66798A11" w14:textId="77777777" w:rsidR="002F2B9C" w:rsidRPr="002F2B9C" w:rsidRDefault="002F2B9C" w:rsidP="002F2B9C">
      <w:pPr>
        <w:pStyle w:val="enumlev1"/>
        <w:rPr>
          <w:rFonts w:eastAsia="Calibri"/>
          <w:lang w:val="fr-CH"/>
        </w:rPr>
      </w:pPr>
      <w:r w:rsidRPr="002F2B9C">
        <w:rPr>
          <w:rFonts w:eastAsia="Calibri"/>
          <w:lang w:val="fr-CH"/>
        </w:rPr>
        <w:t>b)</w:t>
      </w:r>
      <w:r w:rsidRPr="002F2B9C">
        <w:rPr>
          <w:rFonts w:eastAsia="Calibri"/>
          <w:lang w:val="fr-CH"/>
        </w:rPr>
        <w:tab/>
      </w:r>
      <w:r w:rsidRPr="002F2B9C">
        <w:rPr>
          <w:rFonts w:eastAsia="Calibri"/>
          <w:szCs w:val="24"/>
          <w:lang w:val="fr-CH"/>
        </w:rPr>
        <w:t xml:space="preserve">toutes </w:t>
      </w:r>
      <w:r w:rsidRPr="002F2B9C">
        <w:rPr>
          <w:rFonts w:eastAsia="Calibri"/>
          <w:lang w:val="fr-CH"/>
        </w:rPr>
        <w:t>les</w:t>
      </w:r>
      <w:r w:rsidRPr="002F2B9C">
        <w:rPr>
          <w:rFonts w:eastAsia="Calibri"/>
          <w:szCs w:val="24"/>
          <w:lang w:val="fr-CH"/>
        </w:rPr>
        <w:t xml:space="preserve"> autres dispositions du numéro </w:t>
      </w:r>
      <w:r w:rsidRPr="002F2B9C">
        <w:rPr>
          <w:rFonts w:eastAsia="Calibri"/>
          <w:b/>
          <w:bCs/>
          <w:szCs w:val="24"/>
          <w:lang w:val="fr-CH"/>
        </w:rPr>
        <w:t>11.46</w:t>
      </w:r>
      <w:r w:rsidRPr="002F2B9C">
        <w:rPr>
          <w:rFonts w:eastAsia="Calibri"/>
          <w:szCs w:val="24"/>
          <w:lang w:val="fr-CH"/>
        </w:rPr>
        <w:t xml:space="preserve">, ainsi que le numéro </w:t>
      </w:r>
      <w:r w:rsidRPr="002F2B9C">
        <w:rPr>
          <w:rFonts w:eastAsia="Calibri"/>
          <w:b/>
          <w:bCs/>
          <w:szCs w:val="24"/>
          <w:lang w:val="fr-CH"/>
        </w:rPr>
        <w:t>11.46.1</w:t>
      </w:r>
      <w:r w:rsidRPr="002F2B9C">
        <w:rPr>
          <w:rFonts w:eastAsia="Calibri"/>
          <w:szCs w:val="24"/>
          <w:lang w:val="fr-CH"/>
        </w:rPr>
        <w:t>, s'appliquent uniquement aux assignations de fréquence aux stations spatiales.</w:t>
      </w:r>
    </w:p>
    <w:p w14:paraId="3B456FB1" w14:textId="77777777" w:rsidR="00ED6E0E" w:rsidRDefault="00ED6E0E" w:rsidP="002F2B9C">
      <w:pPr>
        <w:rPr>
          <w:lang w:val="fr-CH"/>
        </w:rPr>
        <w:sectPr w:rsidR="00ED6E0E" w:rsidSect="00526050">
          <w:headerReference w:type="default" r:id="rId14"/>
          <w:footnotePr>
            <w:pos w:val="beneathText"/>
          </w:footnotePr>
          <w:pgSz w:w="11907" w:h="16840" w:code="9"/>
          <w:pgMar w:top="1701" w:right="851" w:bottom="1134" w:left="1985" w:header="720" w:footer="482" w:gutter="0"/>
          <w:cols w:space="720"/>
          <w:vAlign w:val="both"/>
          <w:docGrid w:linePitch="326"/>
        </w:sectPr>
      </w:pPr>
    </w:p>
    <w:p w14:paraId="2F1E0350" w14:textId="43E5B80F" w:rsidR="0061020A" w:rsidRPr="00277E7C" w:rsidRDefault="0061020A" w:rsidP="00093869">
      <w:pPr>
        <w:pStyle w:val="Heading8"/>
        <w:spacing w:before="0"/>
        <w:rPr>
          <w:color w:val="000000"/>
          <w:lang w:val="fr-FR"/>
        </w:rPr>
      </w:pPr>
      <w:r w:rsidRPr="00277E7C">
        <w:rPr>
          <w:color w:val="000000"/>
          <w:lang w:val="fr-FR"/>
        </w:rPr>
        <w:lastRenderedPageBreak/>
        <w:t>11.47</w:t>
      </w:r>
    </w:p>
    <w:p w14:paraId="2D71D64D" w14:textId="37246B56" w:rsidR="0061020A" w:rsidRDefault="0061020A" w:rsidP="00CD386F">
      <w:pPr>
        <w:spacing w:before="0" w:line="250" w:lineRule="exact"/>
        <w:rPr>
          <w:color w:val="000000"/>
          <w:lang w:val="fr-FR"/>
        </w:rPr>
      </w:pPr>
      <w:r w:rsidRPr="006D2E7F">
        <w:rPr>
          <w:color w:val="000000"/>
          <w:lang w:val="fr-FR"/>
        </w:rPr>
        <w:t xml:space="preserve">Au numéro </w:t>
      </w:r>
      <w:r w:rsidRPr="006D2E7F">
        <w:rPr>
          <w:b/>
          <w:bCs/>
          <w:color w:val="000000"/>
          <w:lang w:val="fr-FR"/>
        </w:rPr>
        <w:t>11.47</w:t>
      </w:r>
      <w:r w:rsidRPr="006D2E7F">
        <w:rPr>
          <w:color w:val="000000"/>
          <w:lang w:val="fr-FR"/>
        </w:rPr>
        <w:t xml:space="preserve">, la référence au numéro </w:t>
      </w:r>
      <w:r w:rsidRPr="006D2E7F">
        <w:rPr>
          <w:rStyle w:val="Artref0"/>
          <w:b/>
          <w:bCs/>
          <w:color w:val="000000"/>
          <w:lang w:val="fr-FR"/>
        </w:rPr>
        <w:t>11.44</w:t>
      </w:r>
      <w:r w:rsidRPr="006D2E7F">
        <w:rPr>
          <w:color w:val="000000"/>
          <w:lang w:val="fr-FR"/>
        </w:rPr>
        <w:t xml:space="preserve"> et au délai réglementaire devrait être considérée comme une référence à cinq ans à compter de la date de réception d'une fiche de notification d'une modification mentionnée au numéro </w:t>
      </w:r>
      <w:r w:rsidRPr="006D2E7F">
        <w:rPr>
          <w:rStyle w:val="Artref0"/>
          <w:b/>
          <w:bCs/>
          <w:color w:val="000000"/>
          <w:lang w:val="fr-FR"/>
        </w:rPr>
        <w:t>11.43A</w:t>
      </w:r>
      <w:r w:rsidRPr="006D2E7F">
        <w:rPr>
          <w:color w:val="000000"/>
          <w:lang w:val="fr-FR"/>
        </w:rPr>
        <w:t>. (Voir également les observations concernant les Règles de procédure relatives aux numéros </w:t>
      </w:r>
      <w:r w:rsidRPr="006D2E7F">
        <w:rPr>
          <w:rStyle w:val="Artref0"/>
          <w:b/>
          <w:bCs/>
          <w:color w:val="000000"/>
          <w:lang w:val="fr-FR"/>
        </w:rPr>
        <w:t>11.43A</w:t>
      </w:r>
      <w:r w:rsidRPr="006D2E7F">
        <w:rPr>
          <w:color w:val="000000"/>
          <w:lang w:val="fr-FR"/>
        </w:rPr>
        <w:t xml:space="preserve"> et </w:t>
      </w:r>
      <w:r w:rsidRPr="006D2E7F">
        <w:rPr>
          <w:b/>
          <w:bCs/>
          <w:color w:val="000000"/>
          <w:lang w:val="fr-FR"/>
        </w:rPr>
        <w:t>11.44B</w:t>
      </w:r>
      <w:r w:rsidR="00291A70">
        <w:rPr>
          <w:color w:val="000000"/>
          <w:lang w:val="fr-FR"/>
        </w:rPr>
        <w:t>)</w:t>
      </w:r>
      <w:r w:rsidR="00430025" w:rsidRPr="00430025">
        <w:rPr>
          <w:color w:val="000000"/>
          <w:lang w:val="fr-FR"/>
        </w:rPr>
        <w:t>.</w:t>
      </w:r>
    </w:p>
    <w:p w14:paraId="5D4E9F22" w14:textId="77777777" w:rsidR="002F2B9C" w:rsidRPr="001674FC" w:rsidRDefault="002F2B9C" w:rsidP="00CD386F">
      <w:pPr>
        <w:spacing w:before="0"/>
        <w:rPr>
          <w:lang w:val="fr-CH"/>
        </w:rPr>
      </w:pPr>
      <w:r w:rsidRPr="002F2B9C">
        <w:rPr>
          <w:b/>
          <w:bCs/>
          <w:lang w:val="fr-CH"/>
        </w:rPr>
        <w:t>Note</w:t>
      </w:r>
      <w:r w:rsidRPr="002F2B9C">
        <w:rPr>
          <w:lang w:val="fr-CH"/>
        </w:rPr>
        <w:t>:</w:t>
      </w:r>
      <w:r w:rsidRPr="001674FC">
        <w:rPr>
          <w:lang w:val="fr-CH"/>
        </w:rPr>
        <w:t xml:space="preserve"> La CMR-19 a pris la décision suivante, lors de la 8ème séance plénière, concernant l'application du numéro </w:t>
      </w:r>
      <w:r w:rsidRPr="002F2B9C">
        <w:rPr>
          <w:b/>
          <w:bCs/>
          <w:lang w:val="fr-CH"/>
        </w:rPr>
        <w:t>11.47</w:t>
      </w:r>
      <w:r w:rsidRPr="001674FC">
        <w:rPr>
          <w:lang w:val="fr-CH"/>
        </w:rPr>
        <w:t xml:space="preserve"> pour ce qui est des inscriptions provisoires, voir les paragraphes 3.11 à 3.15 du Document CMR19/569, dans le cadre de l'approbation des parties du Document CMR19/451 relatives au paragraphe 3.1.4.3 du Document CMR19/4 (Add.2):</w:t>
      </w:r>
    </w:p>
    <w:p w14:paraId="2C3BB5CB" w14:textId="77777777" w:rsidR="002F2B9C" w:rsidRPr="00715CFA" w:rsidRDefault="002F2B9C" w:rsidP="00CD386F">
      <w:pPr>
        <w:spacing w:before="20"/>
        <w:rPr>
          <w:i/>
          <w:iCs/>
          <w:lang w:val="fr-CH"/>
        </w:rPr>
      </w:pPr>
      <w:r w:rsidRPr="001674FC">
        <w:rPr>
          <w:lang w:val="fr-CH"/>
        </w:rPr>
        <w:t>«</w:t>
      </w:r>
      <w:bookmarkStart w:id="0" w:name="lt_pId206"/>
      <w:r w:rsidRPr="00715CFA">
        <w:rPr>
          <w:i/>
          <w:iCs/>
          <w:lang w:val="fr-CH"/>
        </w:rPr>
        <w:t xml:space="preserve">En ce qui concerne l'examen de la section 3.1.4.3, intitulée «Éventuelle révision de l'application du numéro </w:t>
      </w:r>
      <w:r w:rsidRPr="00715CFA">
        <w:rPr>
          <w:b/>
          <w:i/>
          <w:iCs/>
          <w:lang w:val="fr-CH"/>
        </w:rPr>
        <w:t>11.47</w:t>
      </w:r>
      <w:r w:rsidRPr="00715CFA">
        <w:rPr>
          <w:i/>
          <w:iCs/>
          <w:lang w:val="fr-CH"/>
        </w:rPr>
        <w:t xml:space="preserve"> du RR en ce qui concerne les inscriptions provisoires», la CMR-19 a choisi la seconde des deux options à privilégier qui sont présentées dans ce paragraphe du rapport afin de traiter la question soulevée, comme suit:</w:t>
      </w:r>
      <w:bookmarkEnd w:id="0"/>
    </w:p>
    <w:p w14:paraId="0B36A2D4" w14:textId="52DF642C" w:rsidR="002F2B9C" w:rsidRPr="00B3145B" w:rsidRDefault="002F2B9C" w:rsidP="00CD386F">
      <w:pPr>
        <w:spacing w:before="20"/>
        <w:rPr>
          <w:sz w:val="16"/>
          <w:szCs w:val="16"/>
          <w:lang w:val="fr-CH"/>
        </w:rPr>
      </w:pPr>
      <w:bookmarkStart w:id="1" w:name="lt_pId207"/>
      <w:r w:rsidRPr="00715CFA">
        <w:rPr>
          <w:i/>
          <w:iCs/>
          <w:lang w:val="fr-CH"/>
        </w:rPr>
        <w:t xml:space="preserve">Le Bureau est chargé de remplacer automatiquement les dates prévues de mise en service dans la base de données par la date de fin du délai réglementaire prévu au numéro </w:t>
      </w:r>
      <w:r w:rsidRPr="00715CFA">
        <w:rPr>
          <w:b/>
          <w:i/>
          <w:iCs/>
          <w:lang w:val="fr-CH"/>
        </w:rPr>
        <w:t>11.44</w:t>
      </w:r>
      <w:r w:rsidRPr="00715CFA">
        <w:rPr>
          <w:i/>
          <w:iCs/>
          <w:lang w:val="fr-CH"/>
        </w:rPr>
        <w:t xml:space="preserve"> du RR si le Bureau n'a pas reçu de confirmation dans les 4 mois qui suivent la date prévue de mise en service: la modification de la date de mise en service ne fera pas l'objet d'une publication, mais l'information sera mise en ligne sur le site web du BR.</w:t>
      </w:r>
      <w:bookmarkStart w:id="2" w:name="lt_pId208"/>
      <w:bookmarkEnd w:id="1"/>
      <w:r w:rsidRPr="00715CFA">
        <w:rPr>
          <w:i/>
          <w:iCs/>
          <w:lang w:val="fr-CH"/>
        </w:rPr>
        <w:t xml:space="preserve"> Cette option ne suppose pas de modification du Règlement des radiocommunications en vigueur</w:t>
      </w:r>
      <w:bookmarkEnd w:id="2"/>
      <w:r w:rsidRPr="001674FC">
        <w:rPr>
          <w:lang w:val="fr-CH"/>
        </w:rPr>
        <w:t>»</w:t>
      </w:r>
      <w:r>
        <w:rPr>
          <w:lang w:val="fr-CH"/>
        </w:rPr>
        <w:t>.</w:t>
      </w:r>
    </w:p>
    <w:p w14:paraId="03371155" w14:textId="1CF25735" w:rsidR="0061020A" w:rsidRPr="00ED6E0E" w:rsidRDefault="0061020A" w:rsidP="00CD386F">
      <w:pPr>
        <w:pStyle w:val="Heading8"/>
        <w:spacing w:before="0"/>
        <w:jc w:val="left"/>
        <w:rPr>
          <w:b w:val="0"/>
          <w:color w:val="000000"/>
          <w:lang w:val="fr-FR"/>
        </w:rPr>
      </w:pPr>
      <w:r w:rsidRPr="00277E7C">
        <w:rPr>
          <w:color w:val="000000"/>
          <w:lang w:val="fr-FR"/>
        </w:rPr>
        <w:t>11.4</w:t>
      </w:r>
      <w:r>
        <w:rPr>
          <w:color w:val="000000"/>
          <w:lang w:val="fr-FR"/>
        </w:rPr>
        <w:t>8</w:t>
      </w:r>
      <w:r w:rsidR="00ED6E0E" w:rsidRPr="00ED6E0E">
        <w:rPr>
          <w:b w:val="0"/>
          <w:bCs/>
          <w:lang w:val="fr-CH"/>
        </w:rPr>
        <w:t xml:space="preserve"> </w:t>
      </w:r>
      <w:r w:rsidR="00ED6E0E" w:rsidRPr="00ED6E0E">
        <w:rPr>
          <w:lang w:val="fr-CH"/>
        </w:rPr>
        <w:t>et 11.48.1</w:t>
      </w:r>
      <w:r w:rsidR="00ED6E0E">
        <w:rPr>
          <w:lang w:val="fr-CH"/>
        </w:rPr>
        <w:tab/>
      </w:r>
      <w:r w:rsidR="00ED6E0E" w:rsidRPr="00ED6E0E">
        <w:rPr>
          <w:rFonts w:asciiTheme="minorHAnsi" w:hAnsiTheme="minorHAnsi" w:cstheme="minorHAnsi"/>
          <w:b w:val="0"/>
          <w:color w:val="000000"/>
          <w:lang w:val="fr-FR"/>
        </w:rPr>
        <w:tab/>
      </w:r>
    </w:p>
    <w:p w14:paraId="689EEFF6" w14:textId="77777777" w:rsidR="00ED6E0E" w:rsidRPr="00DC26E3" w:rsidRDefault="00ED6E0E" w:rsidP="00ED6E0E">
      <w:pPr>
        <w:spacing w:before="80"/>
        <w:rPr>
          <w:b/>
          <w:bCs/>
          <w:lang w:val="fr-CH"/>
        </w:rPr>
      </w:pPr>
      <w:r w:rsidRPr="00DC26E3">
        <w:rPr>
          <w:b/>
          <w:bCs/>
          <w:lang w:val="fr-CH"/>
        </w:rPr>
        <w:t>Mesures prises par le Bureau à la suite d</w:t>
      </w:r>
      <w:r>
        <w:rPr>
          <w:b/>
          <w:bCs/>
          <w:lang w:val="fr-CH"/>
        </w:rPr>
        <w:t>'</w:t>
      </w:r>
      <w:r w:rsidRPr="00DC26E3">
        <w:rPr>
          <w:b/>
          <w:bCs/>
          <w:lang w:val="fr-CH"/>
        </w:rPr>
        <w:t>une décision du Comité visant à accorder une prorogation du délai applicable à la mise en service d</w:t>
      </w:r>
      <w:r>
        <w:rPr>
          <w:b/>
          <w:bCs/>
          <w:lang w:val="fr-CH"/>
        </w:rPr>
        <w:t>'</w:t>
      </w:r>
      <w:r w:rsidRPr="00DC26E3">
        <w:rPr>
          <w:b/>
          <w:bCs/>
          <w:lang w:val="fr-CH"/>
        </w:rPr>
        <w:t>assignations de fréquence d</w:t>
      </w:r>
      <w:r>
        <w:rPr>
          <w:b/>
          <w:bCs/>
          <w:lang w:val="fr-CH"/>
        </w:rPr>
        <w:t>'</w:t>
      </w:r>
      <w:r w:rsidRPr="00DC26E3">
        <w:rPr>
          <w:b/>
          <w:bCs/>
          <w:lang w:val="fr-CH"/>
        </w:rPr>
        <w:t>un réseau à satellite</w:t>
      </w:r>
    </w:p>
    <w:p w14:paraId="34688F9A" w14:textId="62481834" w:rsidR="00ED6E0E" w:rsidRPr="00DC26E3" w:rsidRDefault="00ED6E0E" w:rsidP="00ED6E0E">
      <w:pPr>
        <w:spacing w:before="0"/>
        <w:rPr>
          <w:lang w:val="fr-CH"/>
        </w:rPr>
      </w:pPr>
      <w:r w:rsidRPr="00DC26E3">
        <w:rPr>
          <w:lang w:val="fr-CH"/>
        </w:rPr>
        <w:t>Lorsque le Comité décide d</w:t>
      </w:r>
      <w:r>
        <w:rPr>
          <w:lang w:val="fr-CH"/>
        </w:rPr>
        <w:t>'</w:t>
      </w:r>
      <w:r w:rsidRPr="00DC26E3">
        <w:rPr>
          <w:lang w:val="fr-CH"/>
        </w:rPr>
        <w:t>accorder une prorogation du délai réglementaire applicable à la mise en service d</w:t>
      </w:r>
      <w:r>
        <w:rPr>
          <w:lang w:val="fr-CH"/>
        </w:rPr>
        <w:t>'</w:t>
      </w:r>
      <w:r w:rsidRPr="00DC26E3">
        <w:rPr>
          <w:lang w:val="fr-CH"/>
        </w:rPr>
        <w:t>assignations de fréquence d</w:t>
      </w:r>
      <w:r>
        <w:rPr>
          <w:lang w:val="fr-CH"/>
        </w:rPr>
        <w:t>'</w:t>
      </w:r>
      <w:r w:rsidRPr="00DC26E3">
        <w:rPr>
          <w:lang w:val="fr-CH"/>
        </w:rPr>
        <w:t>un réseau à satellite en cas de force majeure et de retard dû à l</w:t>
      </w:r>
      <w:r>
        <w:rPr>
          <w:lang w:val="fr-CH"/>
        </w:rPr>
        <w:t>'</w:t>
      </w:r>
      <w:r w:rsidRPr="00DC26E3">
        <w:rPr>
          <w:lang w:val="fr-CH"/>
        </w:rPr>
        <w:t>embarquement d</w:t>
      </w:r>
      <w:r>
        <w:rPr>
          <w:lang w:val="fr-CH"/>
        </w:rPr>
        <w:t>'</w:t>
      </w:r>
      <w:r w:rsidRPr="00DC26E3">
        <w:rPr>
          <w:lang w:val="fr-CH"/>
        </w:rPr>
        <w:t>un autre satellite sur le même lanceur, cette décision soulève la question de savoir s</w:t>
      </w:r>
      <w:r>
        <w:rPr>
          <w:lang w:val="fr-CH"/>
        </w:rPr>
        <w:t>'</w:t>
      </w:r>
      <w:r w:rsidRPr="00DC26E3">
        <w:rPr>
          <w:lang w:val="fr-CH"/>
        </w:rPr>
        <w:t>il convient de proroger aussi le délai applicable à la soumission des renseignements au titre de la</w:t>
      </w:r>
      <w:r w:rsidRPr="00DC26E3">
        <w:rPr>
          <w:spacing w:val="-8"/>
          <w:lang w:val="fr-CH"/>
        </w:rPr>
        <w:t xml:space="preserve"> </w:t>
      </w:r>
      <w:r w:rsidRPr="00DC26E3">
        <w:rPr>
          <w:lang w:val="fr-CH"/>
        </w:rPr>
        <w:t>Résolution </w:t>
      </w:r>
      <w:r w:rsidRPr="005B0147">
        <w:rPr>
          <w:b/>
          <w:bCs/>
          <w:lang w:val="fr-CH"/>
        </w:rPr>
        <w:t>49 (Rév.CMR-</w:t>
      </w:r>
      <w:r w:rsidR="00B05EB1">
        <w:rPr>
          <w:b/>
          <w:bCs/>
          <w:lang w:val="fr-CH"/>
        </w:rPr>
        <w:t>23</w:t>
      </w:r>
      <w:r w:rsidRPr="005B0147">
        <w:rPr>
          <w:b/>
          <w:bCs/>
          <w:lang w:val="fr-CH"/>
        </w:rPr>
        <w:t>)</w:t>
      </w:r>
      <w:r w:rsidRPr="00DC26E3">
        <w:rPr>
          <w:lang w:val="fr-CH"/>
        </w:rPr>
        <w:t xml:space="preserve"> </w:t>
      </w:r>
      <w:r w:rsidRPr="00ED6E0E">
        <w:rPr>
          <w:lang w:val="fr-CH"/>
        </w:rPr>
        <w:t>et</w:t>
      </w:r>
      <w:r w:rsidRPr="00DC26E3">
        <w:rPr>
          <w:lang w:val="fr-CH"/>
        </w:rPr>
        <w:t xml:space="preserve"> de la Résolution</w:t>
      </w:r>
      <w:r>
        <w:rPr>
          <w:lang w:val="fr-CH"/>
        </w:rPr>
        <w:t> </w:t>
      </w:r>
      <w:r w:rsidRPr="005B0147">
        <w:rPr>
          <w:b/>
          <w:bCs/>
          <w:lang w:val="fr-CH"/>
        </w:rPr>
        <w:t>552</w:t>
      </w:r>
      <w:r w:rsidRPr="00DC26E3">
        <w:rPr>
          <w:lang w:val="fr-CH"/>
        </w:rPr>
        <w:t xml:space="preserve"> </w:t>
      </w:r>
      <w:r w:rsidRPr="005B0147">
        <w:rPr>
          <w:b/>
          <w:bCs/>
          <w:lang w:val="fr-CH"/>
        </w:rPr>
        <w:t>(Rév.CMR-</w:t>
      </w:r>
      <w:r w:rsidR="00B05EB1">
        <w:rPr>
          <w:b/>
          <w:bCs/>
          <w:lang w:val="fr-CH"/>
        </w:rPr>
        <w:t>23</w:t>
      </w:r>
      <w:r w:rsidRPr="005B0147">
        <w:rPr>
          <w:b/>
          <w:bCs/>
          <w:lang w:val="fr-CH"/>
        </w:rPr>
        <w:t>)</w:t>
      </w:r>
      <w:r w:rsidRPr="00DC26E3">
        <w:rPr>
          <w:lang w:val="fr-CH"/>
        </w:rPr>
        <w:t xml:space="preserve"> ainsi que des renseignements de notification. En effet, les numéros </w:t>
      </w:r>
      <w:r w:rsidRPr="005B0147">
        <w:rPr>
          <w:b/>
          <w:bCs/>
          <w:lang w:val="fr-CH"/>
        </w:rPr>
        <w:t>11.48</w:t>
      </w:r>
      <w:r w:rsidRPr="00DC26E3">
        <w:rPr>
          <w:lang w:val="fr-CH"/>
        </w:rPr>
        <w:t xml:space="preserve"> et</w:t>
      </w:r>
      <w:r>
        <w:rPr>
          <w:lang w:val="fr-CH"/>
        </w:rPr>
        <w:t> </w:t>
      </w:r>
      <w:r w:rsidRPr="005B0147">
        <w:rPr>
          <w:b/>
          <w:bCs/>
          <w:lang w:val="fr-CH"/>
        </w:rPr>
        <w:t>11.48.1</w:t>
      </w:r>
      <w:r w:rsidRPr="00DC26E3">
        <w:rPr>
          <w:lang w:val="fr-CH"/>
        </w:rPr>
        <w:t xml:space="preserve"> </w:t>
      </w:r>
      <w:r>
        <w:rPr>
          <w:lang w:val="fr-CH"/>
        </w:rPr>
        <w:t xml:space="preserve"> </w:t>
      </w:r>
      <w:r w:rsidRPr="00DC26E3">
        <w:rPr>
          <w:lang w:val="fr-CH"/>
        </w:rPr>
        <w:t xml:space="preserve">non seulement se rapportent à la mise en service, mais </w:t>
      </w:r>
      <w:r>
        <w:rPr>
          <w:lang w:val="fr-CH"/>
        </w:rPr>
        <w:t>exigent</w:t>
      </w:r>
      <w:r w:rsidRPr="00DC26E3">
        <w:rPr>
          <w:lang w:val="fr-CH"/>
        </w:rPr>
        <w:t xml:space="preserve"> aussi que le Bureau des radiocommunications reçoive la première fiche de notification en vue de l</w:t>
      </w:r>
      <w:r>
        <w:rPr>
          <w:lang w:val="fr-CH"/>
        </w:rPr>
        <w:t>'</w:t>
      </w:r>
      <w:r w:rsidRPr="00DC26E3">
        <w:rPr>
          <w:lang w:val="fr-CH"/>
        </w:rPr>
        <w:t>inscription des assignations de fréquence au titre du numéro </w:t>
      </w:r>
      <w:r w:rsidRPr="00A03B23">
        <w:rPr>
          <w:b/>
          <w:bCs/>
          <w:lang w:val="fr-CH"/>
        </w:rPr>
        <w:t>11.15</w:t>
      </w:r>
      <w:r w:rsidRPr="00DC26E3">
        <w:rPr>
          <w:lang w:val="fr-CH"/>
        </w:rPr>
        <w:t xml:space="preserve"> avant la fin du délai réglementaire de sept ans, et les renseignements requis au titre du principe de diligence </w:t>
      </w:r>
      <w:r>
        <w:rPr>
          <w:lang w:val="fr-CH"/>
        </w:rPr>
        <w:t>raisonnable</w:t>
      </w:r>
      <w:r w:rsidRPr="00DC26E3">
        <w:rPr>
          <w:lang w:val="fr-CH"/>
        </w:rPr>
        <w:t xml:space="preserve"> conformément à la Résolution </w:t>
      </w:r>
      <w:r w:rsidRPr="00A03B23">
        <w:rPr>
          <w:b/>
          <w:bCs/>
          <w:lang w:val="fr-CH"/>
        </w:rPr>
        <w:t>49 (Rév.CMR</w:t>
      </w:r>
      <w:r w:rsidR="00717323" w:rsidRPr="00A03B23">
        <w:rPr>
          <w:b/>
          <w:bCs/>
          <w:lang w:val="fr-CH"/>
        </w:rPr>
        <w:noBreakHyphen/>
      </w:r>
      <w:r w:rsidR="00B05EB1">
        <w:rPr>
          <w:b/>
          <w:bCs/>
          <w:lang w:val="fr-CH"/>
        </w:rPr>
        <w:t>23</w:t>
      </w:r>
      <w:r w:rsidRPr="00A03B23">
        <w:rPr>
          <w:b/>
          <w:bCs/>
          <w:lang w:val="fr-CH"/>
        </w:rPr>
        <w:t>)</w:t>
      </w:r>
      <w:r w:rsidRPr="00DC26E3">
        <w:rPr>
          <w:lang w:val="fr-CH"/>
        </w:rPr>
        <w:t xml:space="preserve"> ou à la Résolution</w:t>
      </w:r>
      <w:r>
        <w:rPr>
          <w:lang w:val="fr-CH"/>
        </w:rPr>
        <w:t> </w:t>
      </w:r>
      <w:r w:rsidRPr="005B0147">
        <w:rPr>
          <w:b/>
          <w:bCs/>
          <w:lang w:val="fr-CH"/>
        </w:rPr>
        <w:t>552 (Rév.CMR</w:t>
      </w:r>
      <w:r w:rsidRPr="005B0147">
        <w:rPr>
          <w:b/>
          <w:bCs/>
          <w:lang w:val="fr-CH"/>
        </w:rPr>
        <w:noBreakHyphen/>
      </w:r>
      <w:r w:rsidR="00B05EB1">
        <w:rPr>
          <w:b/>
          <w:bCs/>
          <w:lang w:val="fr-CH"/>
        </w:rPr>
        <w:t>23</w:t>
      </w:r>
      <w:r w:rsidRPr="005B0147">
        <w:rPr>
          <w:b/>
          <w:bCs/>
          <w:lang w:val="fr-CH"/>
        </w:rPr>
        <w:t>)</w:t>
      </w:r>
      <w:r w:rsidRPr="00DC26E3">
        <w:rPr>
          <w:lang w:val="fr-CH"/>
        </w:rPr>
        <w:t xml:space="preserve"> au plus tard 30 jours après la fin du délai réglementaire de sept ans.</w:t>
      </w:r>
    </w:p>
    <w:p w14:paraId="2A59DB9E" w14:textId="33A76193" w:rsidR="00ED6E0E" w:rsidRPr="00DC26E3" w:rsidRDefault="00ED6E0E" w:rsidP="00ED6E0E">
      <w:pPr>
        <w:spacing w:before="0"/>
        <w:rPr>
          <w:lang w:val="fr-CH"/>
        </w:rPr>
      </w:pPr>
      <w:r w:rsidRPr="00DC26E3">
        <w:rPr>
          <w:lang w:val="fr-CH"/>
        </w:rPr>
        <w:t>À moins que le Comité en décide expressément autrement, une prorogation de la date de mise en service des assignations de fréquence d</w:t>
      </w:r>
      <w:r>
        <w:rPr>
          <w:lang w:val="fr-CH"/>
        </w:rPr>
        <w:t>'</w:t>
      </w:r>
      <w:r w:rsidRPr="00DC26E3">
        <w:rPr>
          <w:lang w:val="fr-CH"/>
        </w:rPr>
        <w:t xml:space="preserve">un réseau à satellite ne signifie pas une prorogation du délai réglementaire applicable à la soumission des renseignements de notification et des renseignements requis au titre de la Résolution </w:t>
      </w:r>
      <w:r w:rsidRPr="005B0147">
        <w:rPr>
          <w:b/>
          <w:bCs/>
          <w:lang w:val="fr-CH"/>
        </w:rPr>
        <w:t>49 (Rév.CMR-</w:t>
      </w:r>
      <w:r w:rsidR="00B05EB1">
        <w:rPr>
          <w:b/>
          <w:bCs/>
          <w:lang w:val="fr-CH"/>
        </w:rPr>
        <w:t>23</w:t>
      </w:r>
      <w:r w:rsidRPr="005B0147">
        <w:rPr>
          <w:b/>
          <w:bCs/>
          <w:lang w:val="fr-CH"/>
        </w:rPr>
        <w:t>)</w:t>
      </w:r>
      <w:r w:rsidRPr="00DC26E3">
        <w:rPr>
          <w:lang w:val="fr-CH"/>
        </w:rPr>
        <w:t xml:space="preserve"> ou de la Résolution</w:t>
      </w:r>
      <w:r>
        <w:rPr>
          <w:lang w:val="fr-CH"/>
        </w:rPr>
        <w:t> </w:t>
      </w:r>
      <w:r w:rsidRPr="005B0147">
        <w:rPr>
          <w:b/>
          <w:bCs/>
          <w:lang w:val="fr-CH"/>
        </w:rPr>
        <w:t>552</w:t>
      </w:r>
      <w:r w:rsidRPr="00DC26E3">
        <w:rPr>
          <w:lang w:val="fr-CH"/>
        </w:rPr>
        <w:t xml:space="preserve"> </w:t>
      </w:r>
      <w:r w:rsidRPr="005B0147">
        <w:rPr>
          <w:b/>
          <w:bCs/>
          <w:lang w:val="fr-CH"/>
        </w:rPr>
        <w:t>(Rév.CMR-</w:t>
      </w:r>
      <w:r w:rsidR="00B05EB1">
        <w:rPr>
          <w:b/>
          <w:bCs/>
          <w:lang w:val="fr-CH"/>
        </w:rPr>
        <w:t>23</w:t>
      </w:r>
      <w:r w:rsidRPr="005B0147">
        <w:rPr>
          <w:b/>
          <w:bCs/>
          <w:lang w:val="fr-CH"/>
        </w:rPr>
        <w:t>)</w:t>
      </w:r>
      <w:r w:rsidRPr="00DC26E3">
        <w:rPr>
          <w:spacing w:val="-8"/>
          <w:lang w:val="fr-CH"/>
        </w:rPr>
        <w:t xml:space="preserve"> </w:t>
      </w:r>
      <w:r w:rsidRPr="00DC26E3">
        <w:rPr>
          <w:lang w:val="fr-CH"/>
        </w:rPr>
        <w:t xml:space="preserve">conformément aux numéros </w:t>
      </w:r>
      <w:r w:rsidRPr="005B0147">
        <w:rPr>
          <w:b/>
          <w:bCs/>
          <w:lang w:val="fr-CH"/>
        </w:rPr>
        <w:t>11.48</w:t>
      </w:r>
      <w:r w:rsidRPr="00ED6E0E">
        <w:rPr>
          <w:lang w:val="fr-CH"/>
        </w:rPr>
        <w:t xml:space="preserve"> et</w:t>
      </w:r>
      <w:r w:rsidRPr="00DC26E3">
        <w:rPr>
          <w:lang w:val="fr-CH"/>
        </w:rPr>
        <w:t xml:space="preserve"> </w:t>
      </w:r>
      <w:r w:rsidRPr="005B0147">
        <w:rPr>
          <w:b/>
          <w:bCs/>
          <w:lang w:val="fr-CH"/>
        </w:rPr>
        <w:t>11.48.1</w:t>
      </w:r>
      <w:r w:rsidRPr="00DC26E3">
        <w:rPr>
          <w:lang w:val="fr-CH"/>
        </w:rPr>
        <w:t>, étant donné que ces renseignements sur l</w:t>
      </w:r>
      <w:r>
        <w:rPr>
          <w:lang w:val="fr-CH"/>
        </w:rPr>
        <w:t>'</w:t>
      </w:r>
      <w:r w:rsidRPr="00DC26E3">
        <w:rPr>
          <w:lang w:val="fr-CH"/>
        </w:rPr>
        <w:t>utilisation prévue des fréquences et le statut de la coordination seront utiles aux autres administrations pour planifier leurs projets relatifs à des réseaux à satellite et leurs activités de coordination. En conséquence, dans les cas où ces renseignements n</w:t>
      </w:r>
      <w:r>
        <w:rPr>
          <w:lang w:val="fr-CH"/>
        </w:rPr>
        <w:t>'</w:t>
      </w:r>
      <w:r w:rsidRPr="00DC26E3">
        <w:rPr>
          <w:lang w:val="fr-CH"/>
        </w:rPr>
        <w:t>ont pas été fournis avant la décision du Comité visant à accorder une prorogation du délai applicable à la mise en service, le Bureau informera l</w:t>
      </w:r>
      <w:r>
        <w:rPr>
          <w:lang w:val="fr-CH"/>
        </w:rPr>
        <w:t>'</w:t>
      </w:r>
      <w:r w:rsidRPr="00DC26E3">
        <w:rPr>
          <w:lang w:val="fr-CH"/>
        </w:rPr>
        <w:t>administration notificatrice, après la décision du Comité, qu</w:t>
      </w:r>
      <w:r>
        <w:rPr>
          <w:lang w:val="fr-CH"/>
        </w:rPr>
        <w:t>'</w:t>
      </w:r>
      <w:r w:rsidRPr="00DC26E3">
        <w:rPr>
          <w:lang w:val="fr-CH"/>
        </w:rPr>
        <w:t>elle continue d</w:t>
      </w:r>
      <w:r>
        <w:rPr>
          <w:lang w:val="fr-CH"/>
        </w:rPr>
        <w:t>'</w:t>
      </w:r>
      <w:r w:rsidRPr="00DC26E3">
        <w:rPr>
          <w:lang w:val="fr-CH"/>
        </w:rPr>
        <w:t>être tenue de fournir, conformément aux numéros </w:t>
      </w:r>
      <w:r w:rsidRPr="005B0147">
        <w:rPr>
          <w:b/>
          <w:bCs/>
          <w:lang w:val="fr-CH"/>
        </w:rPr>
        <w:t>11.48</w:t>
      </w:r>
      <w:r w:rsidRPr="00ED6E0E">
        <w:rPr>
          <w:lang w:val="fr-CH"/>
        </w:rPr>
        <w:t xml:space="preserve"> et </w:t>
      </w:r>
      <w:r w:rsidRPr="005B0147">
        <w:rPr>
          <w:b/>
          <w:bCs/>
          <w:lang w:val="fr-CH"/>
        </w:rPr>
        <w:t>11.48.1</w:t>
      </w:r>
      <w:r w:rsidRPr="00DC26E3">
        <w:rPr>
          <w:lang w:val="fr-CH"/>
        </w:rPr>
        <w:t>, les renseignements de notification dans le délai de sept ans, et les renseignements requis au titre de la Résolution </w:t>
      </w:r>
      <w:r w:rsidRPr="005B0147">
        <w:rPr>
          <w:b/>
          <w:bCs/>
          <w:lang w:val="fr-CH"/>
        </w:rPr>
        <w:t>49 (Rév.CMR</w:t>
      </w:r>
      <w:r w:rsidRPr="005B0147">
        <w:rPr>
          <w:b/>
          <w:bCs/>
          <w:lang w:val="fr-CH"/>
        </w:rPr>
        <w:noBreakHyphen/>
      </w:r>
      <w:r w:rsidR="00B05EB1">
        <w:rPr>
          <w:b/>
          <w:bCs/>
          <w:lang w:val="fr-CH"/>
        </w:rPr>
        <w:t>23</w:t>
      </w:r>
      <w:r w:rsidRPr="005B0147">
        <w:rPr>
          <w:b/>
          <w:bCs/>
          <w:lang w:val="fr-CH"/>
        </w:rPr>
        <w:t>)</w:t>
      </w:r>
      <w:r w:rsidRPr="00DC26E3">
        <w:rPr>
          <w:lang w:val="fr-CH"/>
        </w:rPr>
        <w:t xml:space="preserve"> ou de la Résolution</w:t>
      </w:r>
      <w:r>
        <w:rPr>
          <w:lang w:val="fr-CH"/>
        </w:rPr>
        <w:t> </w:t>
      </w:r>
      <w:r w:rsidRPr="00ED6E0E">
        <w:rPr>
          <w:b/>
          <w:bCs/>
          <w:lang w:val="fr-CH"/>
        </w:rPr>
        <w:t>552</w:t>
      </w:r>
      <w:r w:rsidRPr="00ED6E0E">
        <w:rPr>
          <w:lang w:val="fr-CH"/>
        </w:rPr>
        <w:t xml:space="preserve"> </w:t>
      </w:r>
      <w:r w:rsidRPr="00ED6E0E">
        <w:rPr>
          <w:b/>
          <w:bCs/>
          <w:lang w:val="fr-CH"/>
        </w:rPr>
        <w:t>(Rév.CMR-</w:t>
      </w:r>
      <w:r w:rsidR="00B05EB1">
        <w:rPr>
          <w:b/>
          <w:bCs/>
          <w:lang w:val="fr-CH"/>
        </w:rPr>
        <w:t>23</w:t>
      </w:r>
      <w:r w:rsidRPr="00ED6E0E">
        <w:rPr>
          <w:b/>
          <w:bCs/>
          <w:lang w:val="fr-CH"/>
        </w:rPr>
        <w:t>)</w:t>
      </w:r>
      <w:r w:rsidRPr="00DC26E3">
        <w:rPr>
          <w:lang w:val="fr-CH"/>
        </w:rPr>
        <w:t xml:space="preserve"> concernant le satellite qui a été confronté à un cas de force majeure ou à un retard dû à l</w:t>
      </w:r>
      <w:r>
        <w:rPr>
          <w:lang w:val="fr-CH"/>
        </w:rPr>
        <w:t>'</w:t>
      </w:r>
      <w:r w:rsidRPr="00DC26E3">
        <w:rPr>
          <w:lang w:val="fr-CH"/>
        </w:rPr>
        <w:t>embarquement d</w:t>
      </w:r>
      <w:r>
        <w:rPr>
          <w:lang w:val="fr-CH"/>
        </w:rPr>
        <w:t>'</w:t>
      </w:r>
      <w:r w:rsidRPr="00DC26E3">
        <w:rPr>
          <w:lang w:val="fr-CH"/>
        </w:rPr>
        <w:t>un autre satellite sur le même lanceur, au plus tard 30</w:t>
      </w:r>
      <w:r>
        <w:rPr>
          <w:lang w:val="fr-CH"/>
        </w:rPr>
        <w:t> </w:t>
      </w:r>
      <w:r w:rsidRPr="00DC26E3">
        <w:rPr>
          <w:lang w:val="fr-CH"/>
        </w:rPr>
        <w:t>jours après la fin du délai réglementaire de sept ans.</w:t>
      </w:r>
    </w:p>
    <w:p w14:paraId="544AF99D" w14:textId="5CB74950" w:rsidR="00ED6E0E" w:rsidRPr="00DC26E3" w:rsidRDefault="00ED6E0E" w:rsidP="00ED6E0E">
      <w:pPr>
        <w:spacing w:before="0"/>
        <w:rPr>
          <w:lang w:val="fr-CH"/>
        </w:rPr>
      </w:pPr>
      <w:r w:rsidRPr="00DC26E3">
        <w:rPr>
          <w:lang w:val="fr-CH"/>
        </w:rPr>
        <w:lastRenderedPageBreak/>
        <w:t xml:space="preserve">Lorsque les renseignements requis au titre de la Résolution </w:t>
      </w:r>
      <w:r w:rsidRPr="005B0147">
        <w:rPr>
          <w:b/>
          <w:bCs/>
          <w:lang w:val="fr-CH"/>
        </w:rPr>
        <w:t>49 (Rév.CMR-</w:t>
      </w:r>
      <w:r w:rsidR="00B05EB1">
        <w:rPr>
          <w:b/>
          <w:bCs/>
          <w:lang w:val="fr-CH"/>
        </w:rPr>
        <w:t>23</w:t>
      </w:r>
      <w:r w:rsidRPr="005B0147">
        <w:rPr>
          <w:b/>
          <w:bCs/>
          <w:lang w:val="fr-CH"/>
        </w:rPr>
        <w:t>)</w:t>
      </w:r>
      <w:r w:rsidRPr="00DC26E3">
        <w:rPr>
          <w:lang w:val="fr-CH"/>
        </w:rPr>
        <w:t xml:space="preserve"> ou de la Résolution </w:t>
      </w:r>
      <w:r w:rsidRPr="005B0147">
        <w:rPr>
          <w:b/>
          <w:bCs/>
          <w:lang w:val="fr-CH"/>
        </w:rPr>
        <w:t>552 (Rév.CMR-</w:t>
      </w:r>
      <w:r w:rsidR="00B05EB1">
        <w:rPr>
          <w:b/>
          <w:bCs/>
          <w:lang w:val="fr-CH"/>
        </w:rPr>
        <w:t>23</w:t>
      </w:r>
      <w:r w:rsidRPr="005B0147">
        <w:rPr>
          <w:b/>
          <w:bCs/>
          <w:lang w:val="fr-CH"/>
        </w:rPr>
        <w:t>)</w:t>
      </w:r>
      <w:r w:rsidRPr="00DC26E3">
        <w:rPr>
          <w:lang w:val="fr-CH"/>
        </w:rPr>
        <w:t xml:space="preserve"> ont été soumis au Bureau avant la décision du Comité visant à accorder une prorogation du délai applicable à la mise en service, l</w:t>
      </w:r>
      <w:r>
        <w:rPr>
          <w:lang w:val="fr-CH"/>
        </w:rPr>
        <w:t>'</w:t>
      </w:r>
      <w:r w:rsidRPr="00DC26E3">
        <w:rPr>
          <w:lang w:val="fr-CH"/>
        </w:rPr>
        <w:t>administration notificatrice doit fournir au Bureau des renseignements actualisés au titre de la Résolution</w:t>
      </w:r>
      <w:r>
        <w:rPr>
          <w:lang w:val="fr-CH"/>
        </w:rPr>
        <w:t> </w:t>
      </w:r>
      <w:r w:rsidRPr="005B0147">
        <w:rPr>
          <w:b/>
          <w:bCs/>
          <w:lang w:val="fr-CH"/>
        </w:rPr>
        <w:t>49 (Rév.CMR</w:t>
      </w:r>
      <w:r w:rsidRPr="005B0147">
        <w:rPr>
          <w:b/>
          <w:bCs/>
          <w:lang w:val="fr-CH"/>
        </w:rPr>
        <w:noBreakHyphen/>
      </w:r>
      <w:r w:rsidR="00B05EB1">
        <w:rPr>
          <w:b/>
          <w:bCs/>
          <w:lang w:val="fr-CH"/>
        </w:rPr>
        <w:t>23</w:t>
      </w:r>
      <w:r w:rsidRPr="005B0147">
        <w:rPr>
          <w:b/>
          <w:bCs/>
          <w:lang w:val="fr-CH"/>
        </w:rPr>
        <w:t>)</w:t>
      </w:r>
      <w:r w:rsidRPr="00DC26E3">
        <w:rPr>
          <w:lang w:val="fr-CH"/>
        </w:rPr>
        <w:t xml:space="preserve"> ou de la Résolution </w:t>
      </w:r>
      <w:r w:rsidRPr="005B0147">
        <w:rPr>
          <w:b/>
          <w:bCs/>
          <w:lang w:val="fr-CH"/>
        </w:rPr>
        <w:t>552 (Rév.CMR-</w:t>
      </w:r>
      <w:r w:rsidR="00B05EB1">
        <w:rPr>
          <w:b/>
          <w:bCs/>
          <w:lang w:val="fr-CH"/>
        </w:rPr>
        <w:t>23</w:t>
      </w:r>
      <w:r w:rsidRPr="005B0147">
        <w:rPr>
          <w:b/>
          <w:bCs/>
          <w:lang w:val="fr-CH"/>
        </w:rPr>
        <w:t>)</w:t>
      </w:r>
      <w:r w:rsidRPr="00DC26E3">
        <w:rPr>
          <w:lang w:val="fr-CH"/>
        </w:rPr>
        <w:t xml:space="preserve">. Si, </w:t>
      </w:r>
      <w:r w:rsidRPr="00AC07EA">
        <w:rPr>
          <w:lang w:val="fr-CH"/>
        </w:rPr>
        <w:t>30 jours après</w:t>
      </w:r>
      <w:r w:rsidRPr="00DC26E3">
        <w:rPr>
          <w:lang w:val="fr-CH"/>
        </w:rPr>
        <w:t xml:space="preserve"> la fin de la période de prorogation, l</w:t>
      </w:r>
      <w:r>
        <w:rPr>
          <w:lang w:val="fr-CH"/>
        </w:rPr>
        <w:t>'</w:t>
      </w:r>
      <w:r w:rsidRPr="00DC26E3">
        <w:rPr>
          <w:lang w:val="fr-CH"/>
        </w:rPr>
        <w:t>administration notificatrice n</w:t>
      </w:r>
      <w:r>
        <w:rPr>
          <w:lang w:val="fr-CH"/>
        </w:rPr>
        <w:t>'</w:t>
      </w:r>
      <w:r w:rsidRPr="00DC26E3">
        <w:rPr>
          <w:lang w:val="fr-CH"/>
        </w:rPr>
        <w:t>a pas fourni au Bureau ces renseignements actualisés au titre de la Résolution </w:t>
      </w:r>
      <w:r w:rsidRPr="005B0147">
        <w:rPr>
          <w:b/>
          <w:bCs/>
          <w:lang w:val="fr-CH"/>
        </w:rPr>
        <w:t>49 (Rév.CMR</w:t>
      </w:r>
      <w:r w:rsidRPr="005B0147">
        <w:rPr>
          <w:b/>
          <w:bCs/>
          <w:lang w:val="fr-CH"/>
        </w:rPr>
        <w:noBreakHyphen/>
      </w:r>
      <w:r w:rsidR="00B05EB1">
        <w:rPr>
          <w:b/>
          <w:bCs/>
          <w:lang w:val="fr-CH"/>
        </w:rPr>
        <w:t>23</w:t>
      </w:r>
      <w:r w:rsidRPr="005B0147">
        <w:rPr>
          <w:b/>
          <w:bCs/>
          <w:lang w:val="fr-CH"/>
        </w:rPr>
        <w:t>)</w:t>
      </w:r>
      <w:r w:rsidRPr="00DC26E3">
        <w:rPr>
          <w:lang w:val="fr-CH"/>
        </w:rPr>
        <w:t xml:space="preserve"> ou de la Résolution</w:t>
      </w:r>
      <w:r>
        <w:rPr>
          <w:lang w:val="fr-CH"/>
        </w:rPr>
        <w:t> </w:t>
      </w:r>
      <w:r w:rsidRPr="005B0147">
        <w:rPr>
          <w:b/>
          <w:bCs/>
          <w:lang w:val="fr-CH"/>
        </w:rPr>
        <w:t>552 (Rév.CMR</w:t>
      </w:r>
      <w:r w:rsidRPr="005B0147">
        <w:rPr>
          <w:b/>
          <w:bCs/>
          <w:lang w:val="fr-CH"/>
        </w:rPr>
        <w:noBreakHyphen/>
      </w:r>
      <w:r w:rsidR="00B05EB1">
        <w:rPr>
          <w:b/>
          <w:bCs/>
          <w:lang w:val="fr-CH"/>
        </w:rPr>
        <w:t>23</w:t>
      </w:r>
      <w:r w:rsidRPr="005B0147">
        <w:rPr>
          <w:b/>
          <w:bCs/>
          <w:lang w:val="fr-CH"/>
        </w:rPr>
        <w:t>)</w:t>
      </w:r>
      <w:r w:rsidRPr="00DC26E3">
        <w:rPr>
          <w:lang w:val="fr-CH"/>
        </w:rPr>
        <w:t>, les assignations de fréquence correspondantes deviennent caduques, et les renseignements correspondants publiés au titre des numéros </w:t>
      </w:r>
      <w:r w:rsidRPr="00ED6E0E">
        <w:rPr>
          <w:b/>
          <w:bCs/>
          <w:lang w:val="fr-CH"/>
        </w:rPr>
        <w:t>9.1A</w:t>
      </w:r>
      <w:r w:rsidRPr="00DC26E3">
        <w:rPr>
          <w:lang w:val="fr-CH"/>
        </w:rPr>
        <w:t xml:space="preserve">, </w:t>
      </w:r>
      <w:r w:rsidRPr="00ED6E0E">
        <w:rPr>
          <w:b/>
          <w:bCs/>
          <w:lang w:val="fr-CH"/>
        </w:rPr>
        <w:t>9.2B</w:t>
      </w:r>
      <w:r w:rsidRPr="00DC26E3">
        <w:rPr>
          <w:lang w:val="fr-CH"/>
        </w:rPr>
        <w:t xml:space="preserve"> et</w:t>
      </w:r>
      <w:r>
        <w:rPr>
          <w:lang w:val="fr-CH"/>
        </w:rPr>
        <w:t> </w:t>
      </w:r>
      <w:r w:rsidRPr="00ED6E0E">
        <w:rPr>
          <w:b/>
          <w:bCs/>
          <w:lang w:val="fr-CH"/>
        </w:rPr>
        <w:t>9.38</w:t>
      </w:r>
      <w:r w:rsidRPr="00DC26E3">
        <w:rPr>
          <w:lang w:val="fr-CH"/>
        </w:rPr>
        <w:t>, selon le cas, doivent être supprimés. Si, un mois avant la fin du délai susmentionné, l</w:t>
      </w:r>
      <w:r>
        <w:rPr>
          <w:lang w:val="fr-CH"/>
        </w:rPr>
        <w:t>'</w:t>
      </w:r>
      <w:r w:rsidRPr="00DC26E3">
        <w:rPr>
          <w:lang w:val="fr-CH"/>
        </w:rPr>
        <w:t>administration notificatrice ne lui a pas fourni les renseignements mis à jour dont il est question dans la Résolution </w:t>
      </w:r>
      <w:r w:rsidRPr="00A03B23">
        <w:rPr>
          <w:b/>
          <w:bCs/>
          <w:lang w:val="fr-CH"/>
        </w:rPr>
        <w:t>49 (Rév.CMR-</w:t>
      </w:r>
      <w:r w:rsidR="00B05EB1">
        <w:rPr>
          <w:b/>
          <w:bCs/>
          <w:lang w:val="fr-CH"/>
        </w:rPr>
        <w:t>23</w:t>
      </w:r>
      <w:r w:rsidRPr="00A03B23">
        <w:rPr>
          <w:b/>
          <w:bCs/>
          <w:lang w:val="fr-CH"/>
        </w:rPr>
        <w:t>)</w:t>
      </w:r>
      <w:r w:rsidRPr="00DC26E3">
        <w:rPr>
          <w:lang w:val="fr-CH"/>
        </w:rPr>
        <w:t xml:space="preserve"> ou dans la Résolution </w:t>
      </w:r>
      <w:r w:rsidRPr="005B0147">
        <w:rPr>
          <w:b/>
          <w:bCs/>
          <w:lang w:val="fr-CH"/>
        </w:rPr>
        <w:t>552 (Rév.CMR-</w:t>
      </w:r>
      <w:r w:rsidR="00B05EB1">
        <w:rPr>
          <w:b/>
          <w:bCs/>
          <w:lang w:val="fr-CH"/>
        </w:rPr>
        <w:t>23</w:t>
      </w:r>
      <w:r w:rsidRPr="005B0147">
        <w:rPr>
          <w:b/>
          <w:bCs/>
          <w:lang w:val="fr-CH"/>
        </w:rPr>
        <w:t>)</w:t>
      </w:r>
      <w:r w:rsidRPr="00DC26E3">
        <w:rPr>
          <w:lang w:val="fr-CH"/>
        </w:rPr>
        <w:t>, le Bureau envoie dans les meilleurs délais un rappel à l</w:t>
      </w:r>
      <w:r>
        <w:rPr>
          <w:lang w:val="fr-CH"/>
        </w:rPr>
        <w:t>'</w:t>
      </w:r>
      <w:r w:rsidRPr="00DC26E3">
        <w:rPr>
          <w:lang w:val="fr-CH"/>
        </w:rPr>
        <w:t>administration notificatrice.</w:t>
      </w:r>
    </w:p>
    <w:p w14:paraId="1A847B31" w14:textId="36E41AEA" w:rsidR="00CB0787" w:rsidRPr="00277E7C" w:rsidRDefault="00CB0787" w:rsidP="00543FCF">
      <w:pPr>
        <w:pStyle w:val="Heading8"/>
        <w:spacing w:before="0"/>
        <w:jc w:val="left"/>
        <w:rPr>
          <w:color w:val="000000"/>
          <w:lang w:val="fr-FR"/>
        </w:rPr>
      </w:pPr>
      <w:r w:rsidRPr="00277E7C">
        <w:rPr>
          <w:color w:val="000000"/>
          <w:lang w:val="fr-FR"/>
        </w:rPr>
        <w:t>11.49</w:t>
      </w:r>
      <w:r w:rsidR="00265A72">
        <w:rPr>
          <w:color w:val="000000"/>
          <w:lang w:val="fr-FR"/>
        </w:rPr>
        <w:t xml:space="preserve"> </w:t>
      </w:r>
      <w:r w:rsidR="00265A72" w:rsidRPr="00265A72">
        <w:rPr>
          <w:bCs/>
          <w:color w:val="000000"/>
          <w:szCs w:val="24"/>
          <w:lang w:val="fr-FR"/>
        </w:rPr>
        <w:t>et</w:t>
      </w:r>
      <w:r w:rsidR="00265A72" w:rsidRPr="00265A72">
        <w:rPr>
          <w:bCs/>
          <w:color w:val="000000"/>
          <w:szCs w:val="24"/>
          <w:lang w:val="fr-FR"/>
        </w:rPr>
        <w:br/>
        <w:t>11.49.1</w:t>
      </w:r>
      <w:r w:rsidR="00150476">
        <w:rPr>
          <w:rStyle w:val="FootnoteReference"/>
          <w:color w:val="000000"/>
          <w:lang w:val="fr-FR"/>
        </w:rPr>
        <w:footnoteReference w:customMarkFollows="1" w:id="16"/>
        <w:t>14</w:t>
      </w:r>
    </w:p>
    <w:p w14:paraId="6776D88C" w14:textId="77777777" w:rsidR="00265A72" w:rsidRPr="00265A72" w:rsidRDefault="00265A72" w:rsidP="006A52D5">
      <w:pPr>
        <w:pStyle w:val="Heading1"/>
        <w:spacing w:before="360"/>
        <w:rPr>
          <w:lang w:val="fr-FR"/>
        </w:rPr>
      </w:pPr>
      <w:r w:rsidRPr="00265A72">
        <w:rPr>
          <w:lang w:val="fr-FR"/>
        </w:rPr>
        <w:t>1</w:t>
      </w:r>
      <w:r w:rsidRPr="00265A72">
        <w:rPr>
          <w:lang w:val="fr-FR"/>
        </w:rPr>
        <w:tab/>
        <w:t>Assignations dont l'utilisation est suspendue</w:t>
      </w:r>
    </w:p>
    <w:p w14:paraId="555E5337" w14:textId="77777777" w:rsidR="00265A72" w:rsidRPr="00265A72" w:rsidRDefault="00265A72" w:rsidP="005D588A">
      <w:pPr>
        <w:spacing w:before="120"/>
        <w:rPr>
          <w:lang w:val="fr-FR"/>
        </w:rPr>
      </w:pPr>
      <w:r w:rsidRPr="00265A72">
        <w:rPr>
          <w:lang w:val="fr-FR"/>
        </w:rPr>
        <w:t>1.1</w:t>
      </w:r>
      <w:r w:rsidRPr="00265A72">
        <w:rPr>
          <w:lang w:val="fr-FR"/>
        </w:rPr>
        <w:tab/>
      </w:r>
      <w:r w:rsidR="000F3341" w:rsidRPr="000F3341">
        <w:rPr>
          <w:lang w:val="fr-FR"/>
        </w:rPr>
        <w:t xml:space="preserve">En application des dispositions du numéro </w:t>
      </w:r>
      <w:r w:rsidR="000F3341" w:rsidRPr="000F3341">
        <w:rPr>
          <w:b/>
          <w:lang w:val="fr-FR"/>
        </w:rPr>
        <w:t>11.49</w:t>
      </w:r>
      <w:r w:rsidR="000F3341" w:rsidRPr="000F3341">
        <w:rPr>
          <w:bCs/>
          <w:lang w:val="fr-FR"/>
        </w:rPr>
        <w:t>,</w:t>
      </w:r>
      <w:r w:rsidR="000F3341" w:rsidRPr="000F3341">
        <w:rPr>
          <w:lang w:val="fr-FR"/>
        </w:rPr>
        <w:t xml:space="preserve"> le Comité croit comprendre qu'une administration peut informer le Bureau de la suspension de l'utilisation d'une assignation de fréquence à une station spatiale pendant une période ne dépassant pas trois ans et que pendant cette période l'assignation de fréquence continue de bénéficier de la protection acquise en vertu des accords de coordination déjà conclus</w:t>
      </w:r>
      <w:r w:rsidRPr="00265A72">
        <w:rPr>
          <w:lang w:val="fr-FR"/>
        </w:rPr>
        <w:t xml:space="preserve">. </w:t>
      </w:r>
    </w:p>
    <w:p w14:paraId="1EAB5573" w14:textId="07B262FC" w:rsidR="00265A72" w:rsidRDefault="00265A72" w:rsidP="006A52D5">
      <w:pPr>
        <w:spacing w:before="120"/>
        <w:rPr>
          <w:lang w:val="fr-FR"/>
        </w:rPr>
      </w:pPr>
      <w:r w:rsidRPr="00265A72">
        <w:rPr>
          <w:lang w:val="fr-FR"/>
        </w:rPr>
        <w:t>1.2</w:t>
      </w:r>
      <w:r w:rsidRPr="00265A72">
        <w:rPr>
          <w:lang w:val="fr-FR"/>
        </w:rPr>
        <w:tab/>
        <w:t>Le Comité a décidé d'appliquer la procédure décrite ci-après. Cette procédure ne sera valable que pour les assignations dont l'utilisation a été suspendue et qui ne sont pas modifiées avant d'être remises en service.</w:t>
      </w:r>
    </w:p>
    <w:p w14:paraId="3BB622F0" w14:textId="77777777" w:rsidR="00265A72" w:rsidRPr="00265A72" w:rsidRDefault="00265A72" w:rsidP="006A52D5">
      <w:pPr>
        <w:pStyle w:val="Heading1"/>
        <w:spacing w:before="360"/>
        <w:rPr>
          <w:lang w:val="fr-FR"/>
        </w:rPr>
      </w:pPr>
      <w:r w:rsidRPr="00265A72">
        <w:rPr>
          <w:lang w:val="fr-FR"/>
        </w:rPr>
        <w:t>2</w:t>
      </w:r>
      <w:r w:rsidRPr="00265A72">
        <w:rPr>
          <w:lang w:val="fr-FR"/>
        </w:rPr>
        <w:tab/>
        <w:t>Enregistrement d'une suspension d'utilisation</w:t>
      </w:r>
    </w:p>
    <w:p w14:paraId="55672794" w14:textId="77777777" w:rsidR="00265A72" w:rsidRDefault="00265A72" w:rsidP="005D588A">
      <w:pPr>
        <w:spacing w:before="120"/>
        <w:rPr>
          <w:lang w:val="fr-FR"/>
        </w:rPr>
      </w:pPr>
      <w:r w:rsidRPr="00265A72">
        <w:rPr>
          <w:lang w:val="fr-FR"/>
        </w:rPr>
        <w:t>2.1</w:t>
      </w:r>
      <w:r w:rsidRPr="00265A72">
        <w:rPr>
          <w:lang w:val="fr-FR"/>
        </w:rPr>
        <w:tab/>
      </w:r>
      <w:r w:rsidR="000F3341" w:rsidRPr="000F3341">
        <w:rPr>
          <w:lang w:val="fr-FR"/>
        </w:rPr>
        <w:t xml:space="preserve">Lorsque le Bureau est informé, soit en application du numéro </w:t>
      </w:r>
      <w:r w:rsidR="000F3341" w:rsidRPr="000F3341">
        <w:rPr>
          <w:b/>
          <w:lang w:val="fr-FR"/>
        </w:rPr>
        <w:t>11.49</w:t>
      </w:r>
      <w:r w:rsidR="000F3341" w:rsidRPr="000F3341">
        <w:rPr>
          <w:lang w:val="fr-FR"/>
        </w:rPr>
        <w:t xml:space="preserve">, soit en réponse à une demande de renseignements au titre du numéro </w:t>
      </w:r>
      <w:r w:rsidR="000F3341" w:rsidRPr="000F3341">
        <w:rPr>
          <w:b/>
          <w:lang w:val="fr-FR"/>
        </w:rPr>
        <w:t>13.6</w:t>
      </w:r>
      <w:r w:rsidR="000F3341" w:rsidRPr="000F3341">
        <w:rPr>
          <w:lang w:val="fr-FR"/>
        </w:rPr>
        <w:t>, que l'utilisation d'une assignation de fréquence à une station spatiale inscrite dans le Fichier de référence est suspendue, ce renseignement est publié dans la Partie pertinente de la Circulaire BR IFIC et posté sur la page web du BR tenue à jour à cet effet (afin d'informer toutes les administrations) et l'inscription dans le Fichier de référence est modifiée pour inclure la date de reprise de l'utilisation indiquée par l'administration notificatrice</w:t>
      </w:r>
      <w:r w:rsidR="000F3341" w:rsidRPr="00265A72">
        <w:rPr>
          <w:lang w:val="fr-FR"/>
        </w:rPr>
        <w:t xml:space="preserve">. </w:t>
      </w:r>
    </w:p>
    <w:p w14:paraId="71664329" w14:textId="77777777" w:rsidR="00265A72" w:rsidRPr="00265A72" w:rsidRDefault="00265A72" w:rsidP="00192AD2">
      <w:pPr>
        <w:spacing w:before="120"/>
        <w:rPr>
          <w:color w:val="000000"/>
          <w:lang w:val="fr-FR"/>
        </w:rPr>
      </w:pPr>
      <w:r w:rsidRPr="00265A72">
        <w:rPr>
          <w:color w:val="000000"/>
          <w:lang w:val="fr-FR"/>
        </w:rPr>
        <w:t>2.2</w:t>
      </w:r>
      <w:r w:rsidRPr="00265A72">
        <w:rPr>
          <w:color w:val="000000"/>
          <w:lang w:val="fr-FR"/>
        </w:rPr>
        <w:tab/>
        <w:t xml:space="preserve">Les assignations de fréquence à des stations spatiales dont la suspension est notifiée pour une période maximale de trois ans continueront d'être prises en considération aux fins de l'examen d'autres assignations conformément aux numéros </w:t>
      </w:r>
      <w:r w:rsidRPr="00265A72">
        <w:rPr>
          <w:rStyle w:val="Artref0"/>
          <w:b/>
          <w:color w:val="000000"/>
          <w:lang w:val="fr-FR"/>
        </w:rPr>
        <w:t>9.36</w:t>
      </w:r>
      <w:r w:rsidRPr="00265A72">
        <w:rPr>
          <w:color w:val="000000"/>
          <w:lang w:val="fr-FR"/>
        </w:rPr>
        <w:t xml:space="preserve">, </w:t>
      </w:r>
      <w:r w:rsidRPr="00265A72">
        <w:rPr>
          <w:rStyle w:val="Artref0"/>
          <w:b/>
          <w:color w:val="000000"/>
          <w:lang w:val="fr-FR"/>
        </w:rPr>
        <w:t>11.31.1</w:t>
      </w:r>
      <w:r w:rsidRPr="00265A72">
        <w:rPr>
          <w:color w:val="000000"/>
          <w:lang w:val="fr-FR"/>
        </w:rPr>
        <w:t xml:space="preserve">, </w:t>
      </w:r>
      <w:r w:rsidRPr="00265A72">
        <w:rPr>
          <w:rStyle w:val="Artref0"/>
          <w:b/>
          <w:color w:val="000000"/>
          <w:lang w:val="fr-FR"/>
        </w:rPr>
        <w:t>11.32</w:t>
      </w:r>
      <w:r w:rsidRPr="00265A72">
        <w:rPr>
          <w:color w:val="000000"/>
          <w:lang w:val="fr-FR"/>
        </w:rPr>
        <w:t xml:space="preserve">, </w:t>
      </w:r>
      <w:r w:rsidRPr="00265A72">
        <w:rPr>
          <w:rStyle w:val="Artref0"/>
          <w:b/>
          <w:color w:val="000000"/>
          <w:lang w:val="fr-FR"/>
        </w:rPr>
        <w:t>11.32A</w:t>
      </w:r>
      <w:r w:rsidRPr="00265A72">
        <w:rPr>
          <w:color w:val="000000"/>
          <w:lang w:val="fr-FR"/>
        </w:rPr>
        <w:t xml:space="preserve"> et </w:t>
      </w:r>
      <w:r w:rsidRPr="00265A72">
        <w:rPr>
          <w:rStyle w:val="Artref0"/>
          <w:b/>
          <w:color w:val="000000"/>
          <w:lang w:val="fr-FR"/>
        </w:rPr>
        <w:t>11.33</w:t>
      </w:r>
      <w:r w:rsidRPr="00265A72">
        <w:rPr>
          <w:color w:val="000000"/>
          <w:lang w:val="fr-FR"/>
        </w:rPr>
        <w:t xml:space="preserve"> tant que la consultation relative au rétablissement de leur utilisation n'aura pas été effectuée (voir le § 2.4 ci</w:t>
      </w:r>
      <w:r w:rsidRPr="00265A72">
        <w:rPr>
          <w:color w:val="000000"/>
          <w:lang w:val="fr-FR"/>
        </w:rPr>
        <w:noBreakHyphen/>
        <w:t>dessous).</w:t>
      </w:r>
    </w:p>
    <w:p w14:paraId="4CF1F118" w14:textId="77777777" w:rsidR="000E11F7" w:rsidRDefault="000E11F7" w:rsidP="00192AD2">
      <w:pPr>
        <w:spacing w:before="120"/>
        <w:rPr>
          <w:color w:val="000000"/>
          <w:lang w:val="fr-FR"/>
        </w:rPr>
        <w:sectPr w:rsidR="000E11F7" w:rsidSect="00717323">
          <w:footerReference w:type="even" r:id="rId15"/>
          <w:footnotePr>
            <w:pos w:val="beneathText"/>
          </w:footnotePr>
          <w:pgSz w:w="11907" w:h="16840" w:code="9"/>
          <w:pgMar w:top="1134" w:right="851" w:bottom="851" w:left="1701" w:header="737" w:footer="482" w:gutter="0"/>
          <w:cols w:space="720"/>
          <w:vAlign w:val="both"/>
          <w:docGrid w:linePitch="326"/>
        </w:sectPr>
      </w:pPr>
    </w:p>
    <w:p w14:paraId="7B2B7965" w14:textId="45D561B4" w:rsidR="00265A72" w:rsidRPr="00265A72" w:rsidRDefault="00265A72" w:rsidP="00192AD2">
      <w:pPr>
        <w:spacing w:before="120"/>
        <w:rPr>
          <w:color w:val="000000"/>
          <w:lang w:val="fr-FR"/>
        </w:rPr>
      </w:pPr>
      <w:r w:rsidRPr="00265A72">
        <w:rPr>
          <w:color w:val="000000"/>
          <w:lang w:val="fr-FR"/>
        </w:rPr>
        <w:lastRenderedPageBreak/>
        <w:t>2.3</w:t>
      </w:r>
      <w:r w:rsidRPr="00265A72">
        <w:rPr>
          <w:color w:val="000000"/>
          <w:lang w:val="fr-FR"/>
        </w:rPr>
        <w:tab/>
        <w:t xml:space="preserve">Les assignations de fréquence à des stations spatiales dont la suspension est notifiée pour une période supérieure à trois ans ne seront pas prises en considération aux fins de l'examen d'autres assignations conformément aux numéros </w:t>
      </w:r>
      <w:r w:rsidRPr="00265A72">
        <w:rPr>
          <w:rStyle w:val="Artref0"/>
          <w:b/>
          <w:color w:val="000000"/>
          <w:lang w:val="fr-FR"/>
        </w:rPr>
        <w:t>9.36</w:t>
      </w:r>
      <w:r w:rsidRPr="00265A72">
        <w:rPr>
          <w:color w:val="000000"/>
          <w:lang w:val="fr-FR"/>
        </w:rPr>
        <w:t xml:space="preserve">, </w:t>
      </w:r>
      <w:r w:rsidRPr="00265A72">
        <w:rPr>
          <w:rStyle w:val="Artref0"/>
          <w:b/>
          <w:color w:val="000000"/>
          <w:lang w:val="fr-FR"/>
        </w:rPr>
        <w:t>11.31.1</w:t>
      </w:r>
      <w:r w:rsidRPr="00265A72">
        <w:rPr>
          <w:color w:val="000000"/>
          <w:lang w:val="fr-FR"/>
        </w:rPr>
        <w:t xml:space="preserve">, </w:t>
      </w:r>
      <w:r w:rsidRPr="00265A72">
        <w:rPr>
          <w:rStyle w:val="Artref0"/>
          <w:b/>
          <w:color w:val="000000"/>
          <w:lang w:val="fr-FR"/>
        </w:rPr>
        <w:t>11.32</w:t>
      </w:r>
      <w:r w:rsidRPr="00265A72">
        <w:rPr>
          <w:color w:val="000000"/>
          <w:lang w:val="fr-FR"/>
        </w:rPr>
        <w:t xml:space="preserve">, </w:t>
      </w:r>
      <w:r w:rsidRPr="00265A72">
        <w:rPr>
          <w:rStyle w:val="Artref0"/>
          <w:b/>
          <w:color w:val="000000"/>
          <w:lang w:val="fr-FR"/>
        </w:rPr>
        <w:t>11.32A</w:t>
      </w:r>
      <w:r w:rsidRPr="00265A72">
        <w:rPr>
          <w:color w:val="000000"/>
          <w:lang w:val="fr-FR"/>
        </w:rPr>
        <w:t xml:space="preserve"> et </w:t>
      </w:r>
      <w:r w:rsidRPr="00265A72">
        <w:rPr>
          <w:rStyle w:val="Artref0"/>
          <w:b/>
          <w:color w:val="000000"/>
          <w:lang w:val="fr-FR"/>
        </w:rPr>
        <w:t>11.33</w:t>
      </w:r>
      <w:r w:rsidRPr="00265A72">
        <w:rPr>
          <w:color w:val="000000"/>
          <w:lang w:val="fr-FR"/>
        </w:rPr>
        <w:t xml:space="preserve"> à partir de la date de notification ou une fois que l'administration aura confirmé que la suspension excédait trois ans et seront supprimées.</w:t>
      </w:r>
    </w:p>
    <w:p w14:paraId="4DDD217C" w14:textId="77777777" w:rsidR="000F3341" w:rsidRPr="000F3341" w:rsidRDefault="000F3341" w:rsidP="000F3341">
      <w:pPr>
        <w:spacing w:before="120"/>
        <w:rPr>
          <w:iCs/>
          <w:color w:val="000000"/>
          <w:lang w:val="fr-FR"/>
        </w:rPr>
      </w:pPr>
      <w:r w:rsidRPr="000F3341">
        <w:rPr>
          <w:iCs/>
          <w:color w:val="000000"/>
          <w:lang w:val="fr-FR"/>
        </w:rPr>
        <w:t>2.4</w:t>
      </w:r>
      <w:r w:rsidRPr="000F3341">
        <w:rPr>
          <w:iCs/>
          <w:color w:val="000000"/>
          <w:lang w:val="fr-FR"/>
        </w:rPr>
        <w:tab/>
      </w:r>
      <w:r w:rsidRPr="007C4C7F">
        <w:rPr>
          <w:i/>
          <w:color w:val="000000"/>
          <w:lang w:val="fr-FR"/>
        </w:rPr>
        <w:t>Consultation concernant la reprise d'utilisation d'une assignation</w:t>
      </w:r>
    </w:p>
    <w:p w14:paraId="375A6D63" w14:textId="77777777" w:rsidR="000F3341" w:rsidRPr="000F3341" w:rsidRDefault="000F3341" w:rsidP="000F3341">
      <w:pPr>
        <w:spacing w:before="120"/>
        <w:rPr>
          <w:iCs/>
          <w:color w:val="000000"/>
          <w:lang w:val="fr-FR"/>
        </w:rPr>
      </w:pPr>
      <w:r w:rsidRPr="000F3341">
        <w:rPr>
          <w:iCs/>
          <w:color w:val="000000"/>
          <w:lang w:val="fr-FR"/>
        </w:rPr>
        <w:t>A l'expiration de la période de suspension de l'utilisation d'une assignation de fréquence, l'administration notificatrice est consultée quant à la date de reprise d'utilisation. Selon les résultats de la consultation, le Bureau procédera comme suit:</w:t>
      </w:r>
    </w:p>
    <w:p w14:paraId="2323328D" w14:textId="3D440F91" w:rsidR="000F3341" w:rsidRPr="000F3341" w:rsidRDefault="000F3341" w:rsidP="005D588A">
      <w:pPr>
        <w:spacing w:before="120"/>
        <w:rPr>
          <w:iCs/>
          <w:color w:val="000000"/>
          <w:lang w:val="fr-FR"/>
        </w:rPr>
      </w:pPr>
      <w:r w:rsidRPr="000F3341">
        <w:rPr>
          <w:iCs/>
          <w:color w:val="000000"/>
          <w:lang w:val="fr-FR"/>
        </w:rPr>
        <w:t>2.4.1</w:t>
      </w:r>
      <w:r w:rsidRPr="000F3341">
        <w:rPr>
          <w:iCs/>
          <w:color w:val="000000"/>
          <w:lang w:val="fr-FR"/>
        </w:rPr>
        <w:tab/>
      </w:r>
      <w:r w:rsidRPr="00E175FB">
        <w:rPr>
          <w:iCs/>
          <w:color w:val="000000"/>
          <w:spacing w:val="-4"/>
          <w:lang w:val="fr-FR"/>
        </w:rPr>
        <w:t xml:space="preserve">Lorsque l'administration informe que l'utilisation a été reprise, ce renseignement est publié dans la Partie II-S de la Circulaire BR IFIC et/ou posté sur la page, à condition que la date effective de reprise d'utilisation indiquée par l'administration soit antérieure à la date limite de reprise d'utilisation établie conformément au numéro </w:t>
      </w:r>
      <w:r w:rsidRPr="00E175FB">
        <w:rPr>
          <w:b/>
          <w:bCs/>
          <w:iCs/>
          <w:color w:val="000000"/>
          <w:spacing w:val="-4"/>
          <w:lang w:val="fr-FR"/>
        </w:rPr>
        <w:t>11.49</w:t>
      </w:r>
      <w:r w:rsidRPr="00E175FB">
        <w:rPr>
          <w:iCs/>
          <w:color w:val="000000"/>
          <w:spacing w:val="-4"/>
          <w:lang w:val="fr-FR"/>
        </w:rPr>
        <w:t xml:space="preserve">. Lorsque la reprise de l'utilisation d'assignations de fréquence concerne un réseau à satellite OSG, le Bureau publiera cette reprise d'utilisation dans la Partie II-S de la Circulaire BR IFIC uniquement après confirmation par l'administration notificatrice du déploiement et le maintien du réseau à satellite OSG conformément au numéro </w:t>
      </w:r>
      <w:r w:rsidRPr="00E175FB">
        <w:rPr>
          <w:b/>
          <w:bCs/>
          <w:iCs/>
          <w:color w:val="000000"/>
          <w:spacing w:val="-4"/>
          <w:lang w:val="fr-FR"/>
        </w:rPr>
        <w:t>11.49.1</w:t>
      </w:r>
      <w:r w:rsidRPr="00E175FB">
        <w:rPr>
          <w:iCs/>
          <w:color w:val="000000"/>
          <w:spacing w:val="-4"/>
          <w:lang w:val="fr-FR"/>
        </w:rPr>
        <w:t>. Voir également la Résolution</w:t>
      </w:r>
      <w:r w:rsidR="002E379E" w:rsidRPr="00E175FB">
        <w:rPr>
          <w:iCs/>
          <w:color w:val="000000"/>
          <w:spacing w:val="-4"/>
          <w:lang w:val="fr-FR"/>
        </w:rPr>
        <w:t> </w:t>
      </w:r>
      <w:r w:rsidRPr="00E175FB">
        <w:rPr>
          <w:b/>
          <w:bCs/>
          <w:iCs/>
          <w:color w:val="000000"/>
          <w:spacing w:val="-4"/>
          <w:lang w:val="fr-FR"/>
        </w:rPr>
        <w:t>40</w:t>
      </w:r>
      <w:r w:rsidR="00750D80" w:rsidRPr="00E175FB">
        <w:rPr>
          <w:b/>
          <w:bCs/>
          <w:iCs/>
          <w:color w:val="000000"/>
          <w:spacing w:val="-4"/>
          <w:lang w:val="fr-FR"/>
        </w:rPr>
        <w:t> </w:t>
      </w:r>
      <w:r w:rsidRPr="00E175FB">
        <w:rPr>
          <w:b/>
          <w:bCs/>
          <w:iCs/>
          <w:color w:val="000000"/>
          <w:spacing w:val="-4"/>
          <w:lang w:val="fr-FR"/>
        </w:rPr>
        <w:t>(</w:t>
      </w:r>
      <w:r w:rsidR="00750D80" w:rsidRPr="00E175FB">
        <w:rPr>
          <w:b/>
          <w:bCs/>
          <w:iCs/>
          <w:color w:val="000000"/>
          <w:spacing w:val="-4"/>
          <w:lang w:val="fr-FR"/>
        </w:rPr>
        <w:t>Rév.</w:t>
      </w:r>
      <w:r w:rsidRPr="00E175FB">
        <w:rPr>
          <w:b/>
          <w:bCs/>
          <w:iCs/>
          <w:color w:val="000000"/>
          <w:spacing w:val="-4"/>
          <w:lang w:val="fr-FR"/>
        </w:rPr>
        <w:t>CMR-1</w:t>
      </w:r>
      <w:r w:rsidR="00750D80" w:rsidRPr="00E175FB">
        <w:rPr>
          <w:b/>
          <w:bCs/>
          <w:iCs/>
          <w:color w:val="000000"/>
          <w:spacing w:val="-4"/>
          <w:lang w:val="fr-FR"/>
        </w:rPr>
        <w:t>9</w:t>
      </w:r>
      <w:r w:rsidRPr="00E175FB">
        <w:rPr>
          <w:b/>
          <w:bCs/>
          <w:iCs/>
          <w:color w:val="000000"/>
          <w:spacing w:val="-4"/>
          <w:lang w:val="fr-FR"/>
        </w:rPr>
        <w:t>)</w:t>
      </w:r>
      <w:r w:rsidRPr="00E175FB">
        <w:rPr>
          <w:iCs/>
          <w:color w:val="000000"/>
          <w:spacing w:val="-4"/>
          <w:lang w:val="fr-FR"/>
        </w:rPr>
        <w:t>.</w:t>
      </w:r>
    </w:p>
    <w:p w14:paraId="18571EEC" w14:textId="77777777" w:rsidR="00667361" w:rsidRDefault="000F3341" w:rsidP="005D588A">
      <w:pPr>
        <w:spacing w:before="120"/>
        <w:rPr>
          <w:rStyle w:val="Artref0"/>
          <w:color w:val="000000"/>
          <w:sz w:val="16"/>
          <w:szCs w:val="16"/>
          <w:lang w:val="fr-CH"/>
        </w:rPr>
      </w:pPr>
      <w:r w:rsidRPr="000F3341">
        <w:rPr>
          <w:iCs/>
          <w:color w:val="000000"/>
          <w:lang w:val="fr-FR"/>
        </w:rPr>
        <w:t>2.4.2</w:t>
      </w:r>
      <w:r w:rsidRPr="000F3341">
        <w:rPr>
          <w:iCs/>
          <w:color w:val="000000"/>
          <w:lang w:val="fr-FR"/>
        </w:rPr>
        <w:tab/>
        <w:t xml:space="preserve">Quand l'administration indique que l'utilisation sera reprise à une date postérieure à la date limite de reprise d'utilisation établie conformément au numéro </w:t>
      </w:r>
      <w:r w:rsidRPr="000F3341">
        <w:rPr>
          <w:b/>
          <w:bCs/>
          <w:iCs/>
          <w:color w:val="000000"/>
          <w:lang w:val="fr-FR"/>
        </w:rPr>
        <w:t>11.49</w:t>
      </w:r>
      <w:r w:rsidRPr="000F3341">
        <w:rPr>
          <w:iCs/>
          <w:color w:val="000000"/>
          <w:lang w:val="fr-FR"/>
        </w:rPr>
        <w:t>, l'assignation sera supprimée conformément aux dispositions du numéro </w:t>
      </w:r>
      <w:r w:rsidRPr="000F3341">
        <w:rPr>
          <w:b/>
          <w:bCs/>
          <w:iCs/>
          <w:color w:val="000000"/>
          <w:lang w:val="fr-FR"/>
        </w:rPr>
        <w:t>11.49</w:t>
      </w:r>
      <w:r w:rsidRPr="000F3341">
        <w:rPr>
          <w:iCs/>
          <w:color w:val="000000"/>
          <w:lang w:val="fr-FR"/>
        </w:rPr>
        <w:t xml:space="preserve">. Pour les assignations qui pourraient être remises en service après la date limite établie conformément au numéro </w:t>
      </w:r>
      <w:r w:rsidRPr="000F3341">
        <w:rPr>
          <w:b/>
          <w:bCs/>
          <w:iCs/>
          <w:color w:val="000000"/>
          <w:lang w:val="fr-FR"/>
        </w:rPr>
        <w:t>11.49</w:t>
      </w:r>
      <w:r w:rsidRPr="000F3341">
        <w:rPr>
          <w:iCs/>
          <w:color w:val="000000"/>
          <w:lang w:val="fr-FR"/>
        </w:rPr>
        <w:t>, l'administration responsable des assignations doit reprendre la procédure pertinente de l'Article </w:t>
      </w:r>
      <w:r w:rsidRPr="000F3341">
        <w:rPr>
          <w:b/>
          <w:bCs/>
          <w:iCs/>
          <w:color w:val="000000"/>
          <w:lang w:val="fr-FR"/>
        </w:rPr>
        <w:t>9</w:t>
      </w:r>
      <w:r w:rsidRPr="000F3341">
        <w:rPr>
          <w:iCs/>
          <w:color w:val="000000"/>
          <w:lang w:val="fr-FR"/>
        </w:rPr>
        <w:t xml:space="preserve">, de l'Appendice </w:t>
      </w:r>
      <w:r w:rsidRPr="000F3341">
        <w:rPr>
          <w:b/>
          <w:bCs/>
          <w:iCs/>
          <w:color w:val="000000"/>
          <w:lang w:val="fr-FR"/>
        </w:rPr>
        <w:t>30</w:t>
      </w:r>
      <w:r w:rsidRPr="000F3341">
        <w:rPr>
          <w:iCs/>
          <w:color w:val="000000"/>
          <w:lang w:val="fr-FR"/>
        </w:rPr>
        <w:t>, de l'Appendice </w:t>
      </w:r>
      <w:r w:rsidRPr="000F3341">
        <w:rPr>
          <w:b/>
          <w:bCs/>
          <w:iCs/>
          <w:color w:val="000000"/>
          <w:lang w:val="fr-FR"/>
        </w:rPr>
        <w:t>30A</w:t>
      </w:r>
      <w:r w:rsidRPr="000F3341">
        <w:rPr>
          <w:iCs/>
          <w:color w:val="000000"/>
          <w:lang w:val="fr-FR"/>
        </w:rPr>
        <w:t xml:space="preserve"> et de l'Appendice </w:t>
      </w:r>
      <w:r w:rsidRPr="000F3341">
        <w:rPr>
          <w:b/>
          <w:bCs/>
          <w:iCs/>
          <w:color w:val="000000"/>
          <w:lang w:val="fr-FR"/>
        </w:rPr>
        <w:t>30B</w:t>
      </w:r>
      <w:r w:rsidRPr="000F3341">
        <w:rPr>
          <w:iCs/>
          <w:color w:val="000000"/>
          <w:lang w:val="fr-FR"/>
        </w:rPr>
        <w:t>, selon le cas.</w:t>
      </w:r>
    </w:p>
    <w:p w14:paraId="6CFF8B66" w14:textId="77777777" w:rsidR="006A52D5" w:rsidRPr="006A52D5" w:rsidRDefault="006A52D5" w:rsidP="006A52D5">
      <w:pPr>
        <w:spacing w:before="120"/>
        <w:rPr>
          <w:lang w:val="fr-CH"/>
        </w:rPr>
      </w:pPr>
      <w:r w:rsidRPr="006A52D5">
        <w:rPr>
          <w:b/>
          <w:bCs/>
          <w:lang w:val="fr-CH"/>
        </w:rPr>
        <w:t>Note</w:t>
      </w:r>
      <w:r w:rsidRPr="006A52D5">
        <w:rPr>
          <w:lang w:val="fr-CH"/>
        </w:rPr>
        <w:t>: La CMR-15 a pris la décision suivante concernant la Règle de procédure relative aux numéros </w:t>
      </w:r>
      <w:r w:rsidRPr="006A52D5">
        <w:rPr>
          <w:b/>
          <w:bCs/>
          <w:lang w:val="fr-CH"/>
        </w:rPr>
        <w:t>11.49</w:t>
      </w:r>
      <w:r w:rsidRPr="006A52D5">
        <w:rPr>
          <w:lang w:val="fr-CH"/>
        </w:rPr>
        <w:t xml:space="preserve"> et </w:t>
      </w:r>
      <w:r w:rsidRPr="006A52D5">
        <w:rPr>
          <w:b/>
          <w:bCs/>
          <w:lang w:val="fr-CH"/>
        </w:rPr>
        <w:t>11.49.1</w:t>
      </w:r>
      <w:r w:rsidRPr="006A52D5">
        <w:rPr>
          <w:lang w:val="fr-CH"/>
        </w:rPr>
        <w:t xml:space="preserve"> lors de la 12ème séance plénière, Par. 3.1 à 3.8 du Document CMR15/509, dans le cadre de l'approbation du Document CMR15/453:</w:t>
      </w:r>
    </w:p>
    <w:p w14:paraId="2293C44A" w14:textId="0B76C02D" w:rsidR="006A52D5" w:rsidRDefault="006A52D5" w:rsidP="00732677">
      <w:pPr>
        <w:spacing w:before="120"/>
        <w:rPr>
          <w:lang w:val="fr-FR"/>
        </w:rPr>
      </w:pPr>
      <w:r w:rsidRPr="006A52D5">
        <w:rPr>
          <w:i/>
          <w:iCs/>
          <w:lang w:val="fr-CH"/>
        </w:rPr>
        <w:t>«La CMR-15 a décidé d'inviter le Comité du Règlement des radiocommunications, lors de l'application du numéro </w:t>
      </w:r>
      <w:r w:rsidRPr="006A52D5">
        <w:rPr>
          <w:b/>
          <w:bCs/>
          <w:i/>
          <w:iCs/>
          <w:lang w:val="fr-CH"/>
        </w:rPr>
        <w:t>11.49</w:t>
      </w:r>
      <w:r w:rsidRPr="006A52D5">
        <w:rPr>
          <w:i/>
          <w:iCs/>
          <w:lang w:val="fr-CH"/>
        </w:rPr>
        <w:t xml:space="preserve"> révisé par la CMR-15, de tenir compte de toutes les circonstances atténuantes légitimes susceptibles d'empêcher une administration notificatrice de respecter le délai de six mois. Si le Bureau dispose de renseignements fiables selon lesquels l'utilisation d'une assignation de fréquence a été suspendue, mais que la période de six mois n'a pas été dépassée, le Bureau est encouragé, à titre de courtoisie, à rappeler à l'administration notificatrice qu'elle a l'obligation d'informer le Bureau de la suspension au titre du numéro </w:t>
      </w:r>
      <w:r w:rsidRPr="006A52D5">
        <w:rPr>
          <w:b/>
          <w:bCs/>
          <w:i/>
          <w:iCs/>
          <w:lang w:val="fr-CH"/>
        </w:rPr>
        <w:t>11.49</w:t>
      </w:r>
      <w:r w:rsidRPr="006A52D5">
        <w:rPr>
          <w:i/>
          <w:iCs/>
          <w:lang w:val="fr-CH"/>
        </w:rPr>
        <w:t>.»</w:t>
      </w:r>
      <w:r w:rsidRPr="00265A72">
        <w:rPr>
          <w:lang w:val="fr-FR"/>
        </w:rPr>
        <w:t xml:space="preserve"> </w:t>
      </w:r>
    </w:p>
    <w:p w14:paraId="65B74753" w14:textId="22053CB9" w:rsidR="00093869" w:rsidRDefault="00093869" w:rsidP="00732677">
      <w:pPr>
        <w:spacing w:before="120"/>
        <w:rPr>
          <w:lang w:val="fr-FR"/>
        </w:rPr>
      </w:pPr>
      <w:r>
        <w:rPr>
          <w:lang w:val="fr-FR"/>
        </w:rPr>
        <w:br w:type="page"/>
      </w:r>
    </w:p>
    <w:p w14:paraId="19DE04A8" w14:textId="77777777" w:rsidR="00FC33BC" w:rsidRPr="006D2E7F" w:rsidRDefault="00FC33BC" w:rsidP="005D588A">
      <w:pPr>
        <w:pStyle w:val="Heading8"/>
        <w:spacing w:before="360" w:line="250" w:lineRule="exact"/>
        <w:rPr>
          <w:bCs/>
          <w:color w:val="000000"/>
          <w:szCs w:val="24"/>
          <w:lang w:val="fr-FR"/>
        </w:rPr>
      </w:pPr>
      <w:r w:rsidRPr="006D2E7F">
        <w:rPr>
          <w:bCs/>
          <w:color w:val="000000"/>
          <w:szCs w:val="24"/>
          <w:lang w:val="fr-FR"/>
        </w:rPr>
        <w:lastRenderedPageBreak/>
        <w:t>11.</w:t>
      </w:r>
      <w:r>
        <w:rPr>
          <w:bCs/>
          <w:color w:val="000000"/>
          <w:szCs w:val="24"/>
          <w:lang w:val="fr-FR"/>
        </w:rPr>
        <w:t>50</w:t>
      </w:r>
    </w:p>
    <w:p w14:paraId="7565563A" w14:textId="77777777" w:rsidR="00FC33BC" w:rsidRPr="00FC33BC" w:rsidRDefault="00FC33BC" w:rsidP="006A52D5">
      <w:pPr>
        <w:spacing w:before="120"/>
        <w:rPr>
          <w:rFonts w:asciiTheme="majorBidi" w:hAnsiTheme="majorBidi" w:cstheme="majorBidi"/>
          <w:lang w:val="fr-CH"/>
        </w:rPr>
      </w:pPr>
      <w:r w:rsidRPr="00FC33BC">
        <w:rPr>
          <w:rFonts w:asciiTheme="majorBidi" w:hAnsiTheme="majorBidi" w:cstheme="majorBidi"/>
          <w:lang w:val="fr-CH"/>
        </w:rPr>
        <w:t xml:space="preserve">En vertu de cette disposition, le Bureau est chargé d'examiner périodiquement le Fichier de référence international des fréquences, en vue d'en maintenir ou d'en améliorer la précision, en s'attachant tout particulièrement aux conclusions, de façon à les adapter à l'évolution de la situation concernant les attributions après chaque conférence mondiale des radiocommunications. En ce qui concerne la deuxième partie de cette disposition, libellée comme suit: </w:t>
      </w:r>
      <w:r w:rsidRPr="007C4C7F">
        <w:rPr>
          <w:rFonts w:asciiTheme="majorBidi" w:hAnsiTheme="majorBidi" w:cstheme="majorBidi"/>
          <w:i/>
          <w:iCs/>
          <w:lang w:val="fr-CH"/>
        </w:rPr>
        <w:t>«… en s'attachant tout particulièrement aux …»</w:t>
      </w:r>
      <w:r w:rsidRPr="00FC33BC">
        <w:rPr>
          <w:rFonts w:asciiTheme="majorBidi" w:hAnsiTheme="majorBidi" w:cstheme="majorBidi"/>
          <w:lang w:val="fr-CH"/>
        </w:rPr>
        <w:t xml:space="preserve">, étant donné que les situations relatives aux attributions peuvent faire l'objet de modifications très diverses et qu'un nombre considérable de champs sont utilisés pour mémoriser les renseignements relatifs aux conclusions dans le Fichier de référence, le Comité a conclu que la manière la plus indiquée de donner des instructions au Bureau concernant l'examen des conclusions serait de déterminer les principaux éléments à prendre en compte pour cet examen. Le Comité a donc décidé que, lors de l'examen des conclusions au titre du numéro </w:t>
      </w:r>
      <w:r w:rsidRPr="00FC33BC">
        <w:rPr>
          <w:rFonts w:asciiTheme="majorBidi" w:hAnsiTheme="majorBidi" w:cstheme="majorBidi"/>
          <w:b/>
          <w:bCs/>
          <w:lang w:val="fr-CH"/>
        </w:rPr>
        <w:t>11.50</w:t>
      </w:r>
      <w:r w:rsidRPr="00FC33BC">
        <w:rPr>
          <w:rFonts w:asciiTheme="majorBidi" w:hAnsiTheme="majorBidi" w:cstheme="majorBidi"/>
          <w:lang w:val="fr-CH"/>
        </w:rPr>
        <w:t>, il conviendrait d'appliquer les principes fondamentaux ci-après, sauf si la Conférence en décide autrement:</w:t>
      </w:r>
    </w:p>
    <w:p w14:paraId="4BA9EDEC" w14:textId="77777777" w:rsidR="00FC33BC" w:rsidRPr="00FC33BC" w:rsidRDefault="00FC33BC" w:rsidP="006A52D5">
      <w:pPr>
        <w:spacing w:before="120"/>
        <w:rPr>
          <w:rFonts w:asciiTheme="majorBidi" w:hAnsiTheme="majorBidi" w:cstheme="majorBidi"/>
          <w:lang w:val="fr-CH"/>
        </w:rPr>
      </w:pPr>
      <w:r w:rsidRPr="00FC33BC">
        <w:rPr>
          <w:rFonts w:asciiTheme="majorBidi" w:hAnsiTheme="majorBidi" w:cstheme="majorBidi"/>
          <w:lang w:val="fr-CH"/>
        </w:rPr>
        <w:t>1</w:t>
      </w:r>
      <w:r w:rsidRPr="00FC33BC">
        <w:rPr>
          <w:rFonts w:asciiTheme="majorBidi" w:hAnsiTheme="majorBidi" w:cstheme="majorBidi"/>
          <w:lang w:val="fr-CH"/>
        </w:rPr>
        <w:tab/>
        <w:t>Lorsque des dispositions réglementaires, nouvelles ou modifiées, entrent en vigueur, le Bureau revoit et met à jour les conclusions relatives aux assignations inscrites concernées, en vue de mettre en évidence leur conformité aux dispositions réglementaires/attributions modifiées.</w:t>
      </w:r>
    </w:p>
    <w:p w14:paraId="51196481" w14:textId="77777777" w:rsidR="00FC33BC" w:rsidRPr="00FC33BC" w:rsidRDefault="00FC33BC" w:rsidP="006A52D5">
      <w:pPr>
        <w:spacing w:before="120"/>
        <w:rPr>
          <w:rFonts w:asciiTheme="majorBidi" w:hAnsiTheme="majorBidi" w:cstheme="majorBidi"/>
          <w:lang w:val="fr-CH"/>
        </w:rPr>
      </w:pPr>
      <w:r w:rsidRPr="00FC33BC">
        <w:rPr>
          <w:rFonts w:asciiTheme="majorBidi" w:hAnsiTheme="majorBidi" w:cstheme="majorBidi"/>
          <w:lang w:val="fr-CH"/>
        </w:rPr>
        <w:t>2</w:t>
      </w:r>
      <w:r w:rsidRPr="00FC33BC">
        <w:rPr>
          <w:rFonts w:asciiTheme="majorBidi" w:hAnsiTheme="majorBidi" w:cstheme="majorBidi"/>
          <w:lang w:val="fr-CH"/>
        </w:rPr>
        <w:tab/>
        <w:t>Avant de prendre de quelconques mesures, le Bureau se met en rapport avec chaque administration notificatrice concernée au sujet de l'examen des conclusions relatives aux assignations à l'examen et fournit des renseignements sur les mesures possibles, qui seront fondées sur les principes énoncés aux points 3 à 6 ci-dessous.</w:t>
      </w:r>
      <w:r w:rsidR="00192AD2">
        <w:rPr>
          <w:rFonts w:asciiTheme="majorBidi" w:hAnsiTheme="majorBidi" w:cstheme="majorBidi"/>
          <w:lang w:val="fr-CH"/>
        </w:rPr>
        <w:t xml:space="preserve"> </w:t>
      </w:r>
      <w:r w:rsidRPr="00FC33BC">
        <w:rPr>
          <w:rFonts w:asciiTheme="majorBidi" w:hAnsiTheme="majorBidi" w:cstheme="majorBidi"/>
          <w:lang w:val="fr-CH"/>
        </w:rPr>
        <w:t xml:space="preserve">Si aucune réponse n'est reçue dans le délai fixé par le Bureau (qui est en principe de 30 jours à </w:t>
      </w:r>
      <w:r w:rsidRPr="00192AD2">
        <w:rPr>
          <w:rFonts w:asciiTheme="majorBidi" w:hAnsiTheme="majorBidi" w:cstheme="majorBidi"/>
          <w:lang w:val="fr-CH"/>
        </w:rPr>
        <w:t xml:space="preserve">compter de la date de la communication du Bureau), le Bureau envoie un rappel. Si aucune réponse n'est reçue dans un délai de 30 jours à compter de la date du rappel, le Bureau met en </w:t>
      </w:r>
      <w:r w:rsidRPr="00FC33BC">
        <w:rPr>
          <w:rFonts w:asciiTheme="majorBidi" w:hAnsiTheme="majorBidi" w:cstheme="majorBidi"/>
          <w:lang w:val="fr-CH"/>
        </w:rPr>
        <w:t>oeuvre les mesures proposées.</w:t>
      </w:r>
    </w:p>
    <w:p w14:paraId="45085E35" w14:textId="77777777" w:rsidR="00FC33BC" w:rsidRPr="00FC33BC" w:rsidRDefault="00FC33BC" w:rsidP="00944BB7">
      <w:pPr>
        <w:spacing w:before="0"/>
        <w:rPr>
          <w:rFonts w:asciiTheme="majorBidi" w:hAnsiTheme="majorBidi" w:cstheme="majorBidi"/>
          <w:lang w:val="fr-CH"/>
        </w:rPr>
      </w:pPr>
      <w:r w:rsidRPr="00FC33BC">
        <w:rPr>
          <w:rFonts w:asciiTheme="majorBidi" w:hAnsiTheme="majorBidi" w:cstheme="majorBidi"/>
          <w:lang w:val="fr-CH"/>
        </w:rPr>
        <w:t>3</w:t>
      </w:r>
      <w:r w:rsidRPr="00FC33BC">
        <w:rPr>
          <w:rFonts w:asciiTheme="majorBidi" w:hAnsiTheme="majorBidi" w:cstheme="majorBidi"/>
          <w:lang w:val="fr-CH"/>
        </w:rPr>
        <w:tab/>
        <w:t xml:space="preserve">Lorsqu'une modification apportée à l'Article </w:t>
      </w:r>
      <w:r w:rsidRPr="00B73A8D">
        <w:rPr>
          <w:rFonts w:asciiTheme="majorBidi" w:hAnsiTheme="majorBidi" w:cstheme="majorBidi"/>
          <w:b/>
          <w:bCs/>
          <w:lang w:val="fr-CH"/>
        </w:rPr>
        <w:t>5</w:t>
      </w:r>
      <w:r w:rsidRPr="00FC33BC">
        <w:rPr>
          <w:rFonts w:asciiTheme="majorBidi" w:hAnsiTheme="majorBidi" w:cstheme="majorBidi"/>
          <w:lang w:val="fr-CH"/>
        </w:rPr>
        <w:t xml:space="preserve"> aboutit à la suppression d'une attribution à un service de radiocommunication, l'assignation inscrite concernée devrait être supprimée du Fichier de référence. Si l'administration notificatrice demande le maintien de l'assignation et indique que celle-ci sera exploitée conformément au numéro </w:t>
      </w:r>
      <w:r w:rsidRPr="00FC33BC">
        <w:rPr>
          <w:rFonts w:asciiTheme="majorBidi" w:hAnsiTheme="majorBidi" w:cstheme="majorBidi"/>
          <w:b/>
          <w:bCs/>
          <w:lang w:val="fr-CH"/>
        </w:rPr>
        <w:t>4.4</w:t>
      </w:r>
      <w:r w:rsidRPr="00FC33BC">
        <w:rPr>
          <w:rFonts w:asciiTheme="majorBidi" w:hAnsiTheme="majorBidi" w:cstheme="majorBidi"/>
          <w:lang w:val="fr-CH"/>
        </w:rPr>
        <w:t xml:space="preserve">, l'assignation est maintenue dans le Fichier de référence à titre d'information, conformément aux conditions énoncées au numéro </w:t>
      </w:r>
      <w:r w:rsidRPr="00FC33BC">
        <w:rPr>
          <w:rFonts w:asciiTheme="majorBidi" w:hAnsiTheme="majorBidi" w:cstheme="majorBidi"/>
          <w:b/>
          <w:bCs/>
          <w:lang w:val="fr-CH"/>
        </w:rPr>
        <w:t>8.5</w:t>
      </w:r>
      <w:r w:rsidRPr="00FC33BC">
        <w:rPr>
          <w:rFonts w:asciiTheme="majorBidi" w:hAnsiTheme="majorBidi" w:cstheme="majorBidi"/>
          <w:lang w:val="fr-CH"/>
        </w:rPr>
        <w:t>.</w:t>
      </w:r>
    </w:p>
    <w:p w14:paraId="6D12FC68" w14:textId="77777777" w:rsidR="00FC33BC" w:rsidRPr="00FC33BC" w:rsidRDefault="00FC33BC" w:rsidP="00944BB7">
      <w:pPr>
        <w:spacing w:before="40"/>
        <w:rPr>
          <w:rFonts w:asciiTheme="majorBidi" w:hAnsiTheme="majorBidi" w:cstheme="majorBidi"/>
          <w:lang w:val="fr-CH"/>
        </w:rPr>
      </w:pPr>
      <w:r w:rsidRPr="00FC33BC">
        <w:rPr>
          <w:rFonts w:asciiTheme="majorBidi" w:hAnsiTheme="majorBidi" w:cstheme="majorBidi"/>
          <w:lang w:val="fr-CH"/>
        </w:rPr>
        <w:t>4</w:t>
      </w:r>
      <w:r w:rsidRPr="00FC33BC">
        <w:rPr>
          <w:rFonts w:asciiTheme="majorBidi" w:hAnsiTheme="majorBidi" w:cstheme="majorBidi"/>
          <w:lang w:val="fr-CH"/>
        </w:rPr>
        <w:tab/>
        <w:t xml:space="preserve">Lorsqu'une modification apportée à l'Article </w:t>
      </w:r>
      <w:r w:rsidRPr="00FC33BC">
        <w:rPr>
          <w:rFonts w:asciiTheme="majorBidi" w:hAnsiTheme="majorBidi" w:cstheme="majorBidi"/>
          <w:b/>
          <w:bCs/>
          <w:lang w:val="fr-CH"/>
        </w:rPr>
        <w:t>5</w:t>
      </w:r>
      <w:r w:rsidRPr="00FC33BC">
        <w:rPr>
          <w:rFonts w:asciiTheme="majorBidi" w:hAnsiTheme="majorBidi" w:cstheme="majorBidi"/>
          <w:lang w:val="fr-CH"/>
        </w:rPr>
        <w:t xml:space="preserve"> a pour effet de conférer à la catégorie d'attribution un statut inférieur et que l'attribution reléguée à un statut inférieur n'est pas subordonnée à d'autres conditions, ou lorsque l'assignation inscrite satisfait à toutes les autres conditions auxquelles l'attribution reléguée à un statut inférieur est assujettie, l'assignation inscrite concernée obtient en conséquence un statut inférieur et l'assignation est maintenue dans le Fichier de référence, sauf si l'administration notificatrice demande sa suppression. </w:t>
      </w:r>
    </w:p>
    <w:p w14:paraId="3DFD5AA4" w14:textId="77777777" w:rsidR="00093869" w:rsidRDefault="00093869" w:rsidP="00944BB7">
      <w:pPr>
        <w:spacing w:before="40"/>
        <w:rPr>
          <w:rFonts w:asciiTheme="majorBidi" w:hAnsiTheme="majorBidi" w:cstheme="majorBidi"/>
          <w:lang w:val="fr-CH"/>
        </w:rPr>
      </w:pPr>
      <w:r>
        <w:rPr>
          <w:rFonts w:asciiTheme="majorBidi" w:hAnsiTheme="majorBidi" w:cstheme="majorBidi"/>
          <w:lang w:val="fr-CH"/>
        </w:rPr>
        <w:br w:type="page"/>
      </w:r>
    </w:p>
    <w:p w14:paraId="0C6A03DE" w14:textId="3BE43CCD" w:rsidR="00FC33BC" w:rsidRPr="00FC33BC" w:rsidRDefault="00FC33BC" w:rsidP="00944BB7">
      <w:pPr>
        <w:spacing w:before="40"/>
        <w:rPr>
          <w:rFonts w:asciiTheme="majorBidi" w:hAnsiTheme="majorBidi" w:cstheme="majorBidi"/>
          <w:lang w:val="fr-CH"/>
        </w:rPr>
      </w:pPr>
      <w:r w:rsidRPr="00FC33BC">
        <w:rPr>
          <w:rFonts w:asciiTheme="majorBidi" w:hAnsiTheme="majorBidi" w:cstheme="majorBidi"/>
          <w:lang w:val="fr-CH"/>
        </w:rPr>
        <w:lastRenderedPageBreak/>
        <w:t xml:space="preserve">Lorsque l'attribution reléguée à un statut inférieur est subordonnée à d'autres conditions, et que les conditions relatives à l'examen réglementaire au titre du numéro </w:t>
      </w:r>
      <w:r w:rsidRPr="00FC33BC">
        <w:rPr>
          <w:rFonts w:asciiTheme="majorBidi" w:hAnsiTheme="majorBidi" w:cstheme="majorBidi"/>
          <w:b/>
          <w:bCs/>
          <w:lang w:val="fr-CH"/>
        </w:rPr>
        <w:t>11.31</w:t>
      </w:r>
      <w:r w:rsidRPr="00FC33BC">
        <w:rPr>
          <w:rFonts w:asciiTheme="majorBidi" w:hAnsiTheme="majorBidi" w:cstheme="majorBidi"/>
          <w:lang w:val="fr-CH"/>
        </w:rPr>
        <w:t xml:space="preserve"> (limites de puissance, restrictions imposées à l'exploitation nationale, nécessité de rechercher un accord conformément au numéro </w:t>
      </w:r>
      <w:r w:rsidRPr="00FC33BC">
        <w:rPr>
          <w:rFonts w:asciiTheme="majorBidi" w:hAnsiTheme="majorBidi" w:cstheme="majorBidi"/>
          <w:b/>
          <w:bCs/>
          <w:lang w:val="fr-CH"/>
        </w:rPr>
        <w:t>9.21</w:t>
      </w:r>
      <w:r w:rsidRPr="00FC33BC">
        <w:rPr>
          <w:rFonts w:asciiTheme="majorBidi" w:hAnsiTheme="majorBidi" w:cstheme="majorBidi"/>
          <w:lang w:val="fr-CH"/>
        </w:rPr>
        <w:t xml:space="preserve">, distances de séparation par exemple, etc.) ne sont pas respectées, le Bureau propose à l'administration notificatrice de supprimer l'assignation, ou propose que les caractéristiques de cette assignation soient modifiées de façon à être conformes aux nouvelles conditions. Si l'administration demande le maintien de l'assignation, dont les caractéristiques restent inchangées, et indique que celle-ci sera exploitée conformément au numéro </w:t>
      </w:r>
      <w:r w:rsidRPr="00FC33BC">
        <w:rPr>
          <w:rFonts w:asciiTheme="majorBidi" w:hAnsiTheme="majorBidi" w:cstheme="majorBidi"/>
          <w:b/>
          <w:bCs/>
          <w:lang w:val="fr-CH"/>
        </w:rPr>
        <w:t>4.4</w:t>
      </w:r>
      <w:r w:rsidRPr="00FC33BC">
        <w:rPr>
          <w:rFonts w:asciiTheme="majorBidi" w:hAnsiTheme="majorBidi" w:cstheme="majorBidi"/>
          <w:lang w:val="fr-CH"/>
        </w:rPr>
        <w:t xml:space="preserve">, l'assignation est maintenue dans le Fichier de référence à titre d'information, conformément aux conditions énoncées au numéro </w:t>
      </w:r>
      <w:r w:rsidRPr="00FC33BC">
        <w:rPr>
          <w:rFonts w:asciiTheme="majorBidi" w:hAnsiTheme="majorBidi" w:cstheme="majorBidi"/>
          <w:b/>
          <w:bCs/>
          <w:lang w:val="fr-CH"/>
        </w:rPr>
        <w:t>8.5</w:t>
      </w:r>
      <w:r w:rsidRPr="00FC33BC">
        <w:rPr>
          <w:rFonts w:asciiTheme="majorBidi" w:hAnsiTheme="majorBidi" w:cstheme="majorBidi"/>
          <w:lang w:val="fr-CH"/>
        </w:rPr>
        <w:t>.</w:t>
      </w:r>
      <w:r w:rsidR="00944BB7">
        <w:rPr>
          <w:rFonts w:asciiTheme="majorBidi" w:hAnsiTheme="majorBidi" w:cstheme="majorBidi"/>
          <w:lang w:val="fr-CH"/>
        </w:rPr>
        <w:t xml:space="preserve"> </w:t>
      </w:r>
      <w:r w:rsidRPr="00FC33BC">
        <w:rPr>
          <w:rFonts w:asciiTheme="majorBidi" w:hAnsiTheme="majorBidi" w:cstheme="majorBidi"/>
          <w:lang w:val="fr-CH"/>
        </w:rPr>
        <w:t xml:space="preserve">En ce qui concerne l'application des procédures de coordination pertinentes, le Bureau propose à l'administration notificatrice de supprimer l'assignation ou de la présenter à nouveau, aux fins de l'application de ces procédures. Pour ce qui est de l'examen au titre du numéro </w:t>
      </w:r>
      <w:r w:rsidRPr="00FC33BC">
        <w:rPr>
          <w:rFonts w:asciiTheme="majorBidi" w:hAnsiTheme="majorBidi" w:cstheme="majorBidi"/>
          <w:b/>
          <w:bCs/>
          <w:lang w:val="fr-CH"/>
        </w:rPr>
        <w:t>11.32</w:t>
      </w:r>
      <w:r w:rsidRPr="00FC33BC">
        <w:rPr>
          <w:rFonts w:asciiTheme="majorBidi" w:hAnsiTheme="majorBidi" w:cstheme="majorBidi"/>
          <w:lang w:val="fr-CH"/>
        </w:rPr>
        <w:t xml:space="preserve">, l'assignation inscrite, dont les caractéristiques restent inchangées, est considérée comme ayant mené à bonne fin, à compter de la date de son inscription initiale dans le Fichier de référence, les procédures de coordination applicables vis-à-vis des services bénéficiant d'attributions avec égalité des droits. </w:t>
      </w:r>
    </w:p>
    <w:p w14:paraId="0CB4DF90" w14:textId="18CCAAF2" w:rsidR="00DF6DA5" w:rsidRDefault="00FC33BC" w:rsidP="00106B7C">
      <w:pPr>
        <w:spacing w:before="40"/>
        <w:rPr>
          <w:rFonts w:asciiTheme="majorBidi" w:hAnsiTheme="majorBidi" w:cstheme="majorBidi"/>
          <w:lang w:val="fr-CH"/>
        </w:rPr>
      </w:pPr>
      <w:r w:rsidRPr="00FC33BC">
        <w:rPr>
          <w:rFonts w:asciiTheme="majorBidi" w:hAnsiTheme="majorBidi" w:cstheme="majorBidi"/>
          <w:lang w:val="fr-CH"/>
        </w:rPr>
        <w:t>5</w:t>
      </w:r>
      <w:r w:rsidRPr="00FC33BC">
        <w:rPr>
          <w:rFonts w:asciiTheme="majorBidi" w:hAnsiTheme="majorBidi" w:cstheme="majorBidi"/>
          <w:lang w:val="fr-CH"/>
        </w:rPr>
        <w:tab/>
      </w:r>
      <w:r w:rsidR="00944BB7" w:rsidRPr="00944BB7">
        <w:rPr>
          <w:rFonts w:asciiTheme="majorBidi" w:hAnsiTheme="majorBidi" w:cstheme="majorBidi"/>
          <w:lang w:val="fr-FR"/>
        </w:rPr>
        <w:t xml:space="preserve">Lorsqu'une modification apportée à l'Article </w:t>
      </w:r>
      <w:r w:rsidR="00944BB7" w:rsidRPr="00944BB7">
        <w:rPr>
          <w:rFonts w:asciiTheme="majorBidi" w:hAnsiTheme="majorBidi" w:cstheme="majorBidi"/>
          <w:b/>
          <w:bCs/>
          <w:lang w:val="fr-FR"/>
        </w:rPr>
        <w:t>5</w:t>
      </w:r>
      <w:r w:rsidR="00944BB7" w:rsidRPr="00944BB7">
        <w:rPr>
          <w:rFonts w:asciiTheme="majorBidi" w:hAnsiTheme="majorBidi" w:cstheme="majorBidi"/>
          <w:lang w:val="fr-FR"/>
        </w:rPr>
        <w:t xml:space="preserve"> aboutit à l'attribution à un nouveau service ou a pour effet de relever la catégorie d'un service existant, le Bureau attire l'attention de l'administration notificatrice sur l'assignation inscrite concernée, qui avait précédemment un statut inférieur ou qui avait été inscrite conformément aux conditions énoncées au numéro </w:t>
      </w:r>
      <w:r w:rsidR="00944BB7" w:rsidRPr="00944BB7">
        <w:rPr>
          <w:rFonts w:asciiTheme="majorBidi" w:hAnsiTheme="majorBidi" w:cstheme="majorBidi"/>
          <w:b/>
          <w:bCs/>
          <w:lang w:val="fr-FR"/>
        </w:rPr>
        <w:t>4.4</w:t>
      </w:r>
      <w:r w:rsidR="00944BB7" w:rsidRPr="00944BB7">
        <w:rPr>
          <w:rFonts w:asciiTheme="majorBidi" w:hAnsiTheme="majorBidi" w:cstheme="majorBidi"/>
          <w:lang w:val="fr-FR"/>
        </w:rPr>
        <w:t xml:space="preserve">, et propose à l'administration de soumettre une nouvelle assignation pour remplacer l'assignation précédente. Les procédures de coordination pertinentes s'appliquent à l'assignation nouvellement soumise, qui ne bénéficie d'aucune priorité particulière lors de ce processus. Le statut de l'assignation ne devrait être relevé que si toutes les dispositions pertinentes du RR ont été appliquées. Si, parallèlement à la nouvelle attribution ou au relèvement de l'attribution à un service (S2), la modification apportée à l'Article </w:t>
      </w:r>
      <w:r w:rsidR="00944BB7" w:rsidRPr="00944BB7">
        <w:rPr>
          <w:rFonts w:asciiTheme="majorBidi" w:hAnsiTheme="majorBidi" w:cstheme="majorBidi"/>
          <w:b/>
          <w:bCs/>
          <w:lang w:val="fr-FR"/>
        </w:rPr>
        <w:t>5</w:t>
      </w:r>
      <w:r w:rsidR="00944BB7" w:rsidRPr="00944BB7">
        <w:rPr>
          <w:rFonts w:asciiTheme="majorBidi" w:hAnsiTheme="majorBidi" w:cstheme="majorBidi"/>
          <w:lang w:val="fr-FR"/>
        </w:rPr>
        <w:t xml:space="preserve"> a également pour effet de relever la catégorie d'un autre service existant (S1) dans la même bande de fréquences, le Bureau attire l'attention de l'administration sur ses assignations concernant le service S1 inscrites dans le Fichier de référence international des fréquences ou soumises en vue de la coordination avant la décision de la conférence, et propose à l'administration de soumettre une nouvelle assignation pour remplacer l'assignation précédente dans un délai maximal de soumission de quatre mois. Le Bureau considère alors qu'une nouvelle soumission d'une assignation à un service S1 reçue dans les délais n'a pas à appliquer la procédure de coordination pertinente avec les assignations du nouveau service S2, ou du service S2 dont la catégorie a été relevée</w:t>
      </w:r>
      <w:r w:rsidRPr="00FC33BC">
        <w:rPr>
          <w:rFonts w:asciiTheme="majorBidi" w:hAnsiTheme="majorBidi" w:cstheme="majorBidi"/>
          <w:lang w:val="fr-CH"/>
        </w:rPr>
        <w:t>.</w:t>
      </w:r>
    </w:p>
    <w:p w14:paraId="11F13DE7" w14:textId="77777777" w:rsidR="00FC33BC" w:rsidRPr="00FC33BC" w:rsidRDefault="00FC33BC" w:rsidP="00B73A8D">
      <w:pPr>
        <w:spacing w:before="120"/>
        <w:rPr>
          <w:rFonts w:asciiTheme="majorBidi" w:hAnsiTheme="majorBidi" w:cstheme="majorBidi"/>
          <w:lang w:val="fr-CH"/>
        </w:rPr>
      </w:pPr>
      <w:r w:rsidRPr="00FC33BC">
        <w:rPr>
          <w:rFonts w:asciiTheme="majorBidi" w:hAnsiTheme="majorBidi" w:cstheme="majorBidi"/>
          <w:lang w:val="fr-CH"/>
        </w:rPr>
        <w:t>6</w:t>
      </w:r>
      <w:r w:rsidRPr="00FC33BC">
        <w:rPr>
          <w:rFonts w:asciiTheme="majorBidi" w:hAnsiTheme="majorBidi" w:cstheme="majorBidi"/>
          <w:lang w:val="fr-CH"/>
        </w:rPr>
        <w:tab/>
        <w:t xml:space="preserve">Lorsqu'une modification apportée à l'Article </w:t>
      </w:r>
      <w:r w:rsidRPr="00FC33BC">
        <w:rPr>
          <w:rFonts w:asciiTheme="majorBidi" w:hAnsiTheme="majorBidi" w:cstheme="majorBidi"/>
          <w:b/>
          <w:bCs/>
          <w:lang w:val="fr-CH"/>
        </w:rPr>
        <w:t>5</w:t>
      </w:r>
      <w:r w:rsidRPr="00FC33BC">
        <w:rPr>
          <w:rFonts w:asciiTheme="majorBidi" w:hAnsiTheme="majorBidi" w:cstheme="majorBidi"/>
          <w:lang w:val="fr-CH"/>
        </w:rPr>
        <w:t xml:space="preserve"> aboutit à la modification des conditions applicables à une attribution, sans que soit modifiée la catégorie d'attribution (restrictions réglementaires ou techniques additionnelles ou procédures de coordination nouvelles ou modifiées par exemple), les conclusions initiales relatives à l'assignation inscrite concernée ne peuvent être </w:t>
      </w:r>
      <w:r w:rsidRPr="00192AD2">
        <w:rPr>
          <w:rFonts w:asciiTheme="majorBidi" w:hAnsiTheme="majorBidi" w:cstheme="majorBidi"/>
          <w:lang w:val="fr-CH"/>
        </w:rPr>
        <w:t xml:space="preserve">maintenues qu'à condition d'être conformes aux nouvelles conditions. </w:t>
      </w:r>
      <w:r w:rsidRPr="00FC33BC">
        <w:rPr>
          <w:rFonts w:asciiTheme="majorBidi" w:hAnsiTheme="majorBidi" w:cstheme="majorBidi"/>
          <w:lang w:val="fr-CH"/>
        </w:rPr>
        <w:t xml:space="preserve">En pareil cas, le Bureau demande à l'administration notificatrice si les caractéristiques de l'assignation seront modifiées de manière à être conformes aux nouvelles conditions. Si l'administration notificatrice ne répond pas à la demande du Bureau (voir le </w:t>
      </w:r>
      <w:r w:rsidR="00B73A8D">
        <w:rPr>
          <w:rFonts w:asciiTheme="majorBidi" w:hAnsiTheme="majorBidi" w:cstheme="majorBidi"/>
          <w:lang w:val="fr-CH"/>
        </w:rPr>
        <w:t>point</w:t>
      </w:r>
      <w:r w:rsidRPr="00FC33BC">
        <w:rPr>
          <w:rFonts w:asciiTheme="majorBidi" w:hAnsiTheme="majorBidi" w:cstheme="majorBidi"/>
          <w:lang w:val="fr-CH"/>
        </w:rPr>
        <w:t xml:space="preserve"> 2 ci-dessus) </w:t>
      </w:r>
      <w:r w:rsidRPr="00192AD2">
        <w:rPr>
          <w:rFonts w:asciiTheme="majorBidi" w:hAnsiTheme="majorBidi" w:cstheme="majorBidi"/>
          <w:lang w:val="fr-FR"/>
        </w:rPr>
        <w:t xml:space="preserve">ou </w:t>
      </w:r>
      <w:r w:rsidRPr="00FC33BC">
        <w:rPr>
          <w:rFonts w:asciiTheme="majorBidi" w:hAnsiTheme="majorBidi" w:cstheme="majorBidi"/>
          <w:lang w:val="fr-CH"/>
        </w:rPr>
        <w:t>s</w:t>
      </w:r>
      <w:r w:rsidRPr="00192AD2">
        <w:rPr>
          <w:rFonts w:asciiTheme="majorBidi" w:hAnsiTheme="majorBidi" w:cstheme="majorBidi"/>
          <w:lang w:val="fr-CH"/>
        </w:rPr>
        <w:t xml:space="preserve">i les conditions ne sont pas respectées, le Bureau propose à l'administration notificatrice de supprimer l'assignation. Si l'administration demande le maintien de l'assignation, dont les caractéristiques restent </w:t>
      </w:r>
      <w:r w:rsidRPr="00FC33BC">
        <w:rPr>
          <w:rFonts w:asciiTheme="majorBidi" w:hAnsiTheme="majorBidi" w:cstheme="majorBidi"/>
          <w:lang w:val="fr-CH"/>
        </w:rPr>
        <w:t>inchangées, et indique que celle-ci sera exploitée conformément au numéro </w:t>
      </w:r>
      <w:r w:rsidRPr="00FC33BC">
        <w:rPr>
          <w:rFonts w:asciiTheme="majorBidi" w:hAnsiTheme="majorBidi" w:cstheme="majorBidi"/>
          <w:b/>
          <w:bCs/>
          <w:lang w:val="fr-CH"/>
        </w:rPr>
        <w:t>4.4</w:t>
      </w:r>
      <w:r w:rsidRPr="00FC33BC">
        <w:rPr>
          <w:rFonts w:asciiTheme="majorBidi" w:hAnsiTheme="majorBidi" w:cstheme="majorBidi"/>
          <w:lang w:val="fr-CH"/>
        </w:rPr>
        <w:t xml:space="preserve">, l'assignation est maintenue dans le Fichier de référence à titre d'information, conformément aux conditions énoncées au numéro </w:t>
      </w:r>
      <w:r w:rsidRPr="00FC33BC">
        <w:rPr>
          <w:rFonts w:asciiTheme="majorBidi" w:hAnsiTheme="majorBidi" w:cstheme="majorBidi"/>
          <w:b/>
          <w:bCs/>
          <w:lang w:val="fr-CH"/>
        </w:rPr>
        <w:t>8.5</w:t>
      </w:r>
      <w:r w:rsidRPr="00FC33BC">
        <w:rPr>
          <w:rFonts w:asciiTheme="majorBidi" w:hAnsiTheme="majorBidi" w:cstheme="majorBidi"/>
          <w:lang w:val="fr-CH"/>
        </w:rPr>
        <w:t>.</w:t>
      </w:r>
    </w:p>
    <w:p w14:paraId="11F7CD08" w14:textId="77777777" w:rsidR="000F5A20" w:rsidRDefault="000F5A20">
      <w:pPr>
        <w:tabs>
          <w:tab w:val="clear" w:pos="1134"/>
          <w:tab w:val="clear" w:pos="1871"/>
          <w:tab w:val="clear" w:pos="2268"/>
        </w:tabs>
        <w:overflowPunct/>
        <w:autoSpaceDE/>
        <w:autoSpaceDN/>
        <w:adjustRightInd/>
        <w:spacing w:before="0"/>
        <w:jc w:val="left"/>
        <w:textAlignment w:val="auto"/>
        <w:rPr>
          <w:rFonts w:asciiTheme="majorBidi" w:hAnsiTheme="majorBidi" w:cstheme="majorBidi"/>
          <w:lang w:val="fr-CH"/>
        </w:rPr>
      </w:pPr>
      <w:r>
        <w:rPr>
          <w:rFonts w:asciiTheme="majorBidi" w:hAnsiTheme="majorBidi" w:cstheme="majorBidi"/>
          <w:lang w:val="fr-CH"/>
        </w:rPr>
        <w:br w:type="page"/>
      </w:r>
    </w:p>
    <w:p w14:paraId="6EE08F4C" w14:textId="42820B49" w:rsidR="00FC33BC" w:rsidRPr="00FC33BC" w:rsidRDefault="00FC33BC" w:rsidP="00192AD2">
      <w:pPr>
        <w:spacing w:before="120"/>
        <w:rPr>
          <w:rFonts w:asciiTheme="majorBidi" w:hAnsiTheme="majorBidi" w:cstheme="majorBidi"/>
          <w:lang w:val="fr-CH"/>
        </w:rPr>
      </w:pPr>
      <w:r w:rsidRPr="00FC33BC">
        <w:rPr>
          <w:rFonts w:asciiTheme="majorBidi" w:hAnsiTheme="majorBidi" w:cstheme="majorBidi"/>
          <w:lang w:val="fr-CH"/>
        </w:rPr>
        <w:lastRenderedPageBreak/>
        <w:t xml:space="preserve">En ce qui concerne l'examen des assignations de fréquence du point de vue de leur conformité à un plan mondial ou régional conformément au numéro </w:t>
      </w:r>
      <w:r w:rsidRPr="00FC33BC">
        <w:rPr>
          <w:rFonts w:asciiTheme="majorBidi" w:hAnsiTheme="majorBidi" w:cstheme="majorBidi"/>
          <w:b/>
          <w:bCs/>
          <w:lang w:val="fr-CH"/>
        </w:rPr>
        <w:t>11.34</w:t>
      </w:r>
      <w:r w:rsidRPr="00FC33BC">
        <w:rPr>
          <w:rFonts w:asciiTheme="majorBidi" w:hAnsiTheme="majorBidi" w:cstheme="majorBidi"/>
          <w:lang w:val="fr-CH"/>
        </w:rPr>
        <w:t xml:space="preserve">, lorsque les conditions prévues dans le plan applicable sont modifiées, les conclusions initiales relatives à l'assignation inscrite ne peuvent être maintenues qu'à condition d'être conformes aux nouvelles conditions. Si les conditions ne sont pas respectées, l'assignation correspondante peut être maintenue dans le Fichier de référence avec une conclusion défavorable relativement au numéro </w:t>
      </w:r>
      <w:r w:rsidRPr="00FC33BC">
        <w:rPr>
          <w:rFonts w:asciiTheme="majorBidi" w:hAnsiTheme="majorBidi" w:cstheme="majorBidi"/>
          <w:b/>
          <w:bCs/>
          <w:lang w:val="fr-CH"/>
        </w:rPr>
        <w:t>11.34</w:t>
      </w:r>
      <w:r w:rsidRPr="00FC33BC">
        <w:rPr>
          <w:rFonts w:asciiTheme="majorBidi" w:hAnsiTheme="majorBidi" w:cstheme="majorBidi"/>
          <w:lang w:val="fr-CH"/>
        </w:rPr>
        <w:t>.</w:t>
      </w:r>
    </w:p>
    <w:p w14:paraId="37E64248" w14:textId="77777777" w:rsidR="00FC33BC" w:rsidRPr="00FC33BC" w:rsidRDefault="00FC33BC" w:rsidP="00192AD2">
      <w:pPr>
        <w:spacing w:before="120"/>
        <w:rPr>
          <w:rFonts w:asciiTheme="majorBidi" w:hAnsiTheme="majorBidi" w:cstheme="majorBidi"/>
          <w:lang w:val="fr-CH"/>
        </w:rPr>
      </w:pPr>
      <w:r w:rsidRPr="00FC33BC">
        <w:rPr>
          <w:rFonts w:asciiTheme="majorBidi" w:hAnsiTheme="majorBidi" w:cstheme="majorBidi"/>
          <w:lang w:val="fr-CH"/>
        </w:rPr>
        <w:t>7</w:t>
      </w:r>
      <w:r w:rsidRPr="00FC33BC">
        <w:rPr>
          <w:rFonts w:asciiTheme="majorBidi" w:hAnsiTheme="majorBidi" w:cstheme="majorBidi"/>
          <w:lang w:val="fr-CH"/>
        </w:rPr>
        <w:tab/>
        <w:t xml:space="preserve">Le Comité a noté que l'Article </w:t>
      </w:r>
      <w:r w:rsidRPr="00FC33BC">
        <w:rPr>
          <w:rFonts w:asciiTheme="majorBidi" w:hAnsiTheme="majorBidi" w:cstheme="majorBidi"/>
          <w:b/>
          <w:bCs/>
          <w:lang w:val="fr-CH"/>
        </w:rPr>
        <w:t>5</w:t>
      </w:r>
      <w:r w:rsidRPr="00FC33BC">
        <w:rPr>
          <w:rFonts w:asciiTheme="majorBidi" w:hAnsiTheme="majorBidi" w:cstheme="majorBidi"/>
          <w:lang w:val="fr-CH"/>
        </w:rPr>
        <w:t xml:space="preserve"> comprend un certain nombre de dispositions, par exemple </w:t>
      </w:r>
      <w:r w:rsidRPr="00192AD2">
        <w:rPr>
          <w:rFonts w:asciiTheme="majorBidi" w:hAnsiTheme="majorBidi" w:cstheme="majorBidi"/>
          <w:lang w:val="fr-CH"/>
        </w:rPr>
        <w:t xml:space="preserve">les numéros </w:t>
      </w:r>
      <w:r w:rsidRPr="00192AD2">
        <w:rPr>
          <w:rFonts w:asciiTheme="majorBidi" w:hAnsiTheme="majorBidi" w:cstheme="majorBidi"/>
          <w:b/>
          <w:bCs/>
          <w:lang w:val="fr-CH"/>
        </w:rPr>
        <w:t>5.175</w:t>
      </w:r>
      <w:r w:rsidRPr="00192AD2">
        <w:rPr>
          <w:rFonts w:asciiTheme="majorBidi" w:hAnsiTheme="majorBidi" w:cstheme="majorBidi"/>
          <w:lang w:val="fr-CH"/>
        </w:rPr>
        <w:t xml:space="preserve">, </w:t>
      </w:r>
      <w:r w:rsidRPr="00192AD2">
        <w:rPr>
          <w:rFonts w:asciiTheme="majorBidi" w:hAnsiTheme="majorBidi" w:cstheme="majorBidi"/>
          <w:b/>
          <w:bCs/>
          <w:lang w:val="fr-CH"/>
        </w:rPr>
        <w:t>5.188</w:t>
      </w:r>
      <w:r w:rsidRPr="00192AD2">
        <w:rPr>
          <w:rFonts w:asciiTheme="majorBidi" w:hAnsiTheme="majorBidi" w:cstheme="majorBidi"/>
          <w:lang w:val="fr-CH"/>
        </w:rPr>
        <w:t>, etc., sans</w:t>
      </w:r>
      <w:r w:rsidRPr="00FC33BC">
        <w:rPr>
          <w:rFonts w:asciiTheme="majorBidi" w:hAnsiTheme="majorBidi" w:cstheme="majorBidi"/>
          <w:lang w:val="fr-CH"/>
        </w:rPr>
        <w:t xml:space="preserve"> qu'il soit fait mention </w:t>
      </w:r>
      <w:r w:rsidRPr="00192AD2">
        <w:rPr>
          <w:rFonts w:asciiTheme="majorBidi" w:hAnsiTheme="majorBidi" w:cstheme="majorBidi"/>
          <w:lang w:val="fr-CH"/>
        </w:rPr>
        <w:t>du numéro </w:t>
      </w:r>
      <w:r w:rsidRPr="00192AD2">
        <w:rPr>
          <w:rFonts w:asciiTheme="majorBidi" w:hAnsiTheme="majorBidi" w:cstheme="majorBidi"/>
          <w:b/>
          <w:bCs/>
          <w:lang w:val="fr-CH"/>
        </w:rPr>
        <w:t>9.21</w:t>
      </w:r>
      <w:r w:rsidRPr="00192AD2">
        <w:rPr>
          <w:rFonts w:asciiTheme="majorBidi" w:hAnsiTheme="majorBidi" w:cstheme="majorBidi"/>
          <w:lang w:val="fr-CH"/>
        </w:rPr>
        <w:t xml:space="preserve">, aux termes </w:t>
      </w:r>
      <w:r w:rsidRPr="00FC33BC">
        <w:rPr>
          <w:rFonts w:asciiTheme="majorBidi" w:hAnsiTheme="majorBidi" w:cstheme="majorBidi"/>
          <w:lang w:val="fr-CH"/>
        </w:rPr>
        <w:t>desquelles une attribution à un service de radiocommunication est subordonnée à l'obtention de l'accord des administrations concernées. L'obtention d'un tel accord n'est régie ni par les procédures de l'Article </w:t>
      </w:r>
      <w:r w:rsidRPr="00FC33BC">
        <w:rPr>
          <w:rFonts w:asciiTheme="majorBidi" w:hAnsiTheme="majorBidi" w:cstheme="majorBidi"/>
          <w:b/>
          <w:bCs/>
          <w:lang w:val="fr-CH"/>
        </w:rPr>
        <w:t>9</w:t>
      </w:r>
      <w:r w:rsidRPr="00FC33BC">
        <w:rPr>
          <w:rFonts w:asciiTheme="majorBidi" w:hAnsiTheme="majorBidi" w:cstheme="majorBidi"/>
          <w:lang w:val="fr-CH"/>
        </w:rPr>
        <w:t>, ni par les Règles de procédure, et doit être traitée directement entre les administrations concernées. En outre, lorsqu'il examine les fiches de notification des assignations correspondantes, le Bureau ne vérifie pas ces accords. Dans ce contexte, le Comité a décidé qu'en cas de réexamen des conclusions concernant les assignations pertinentes, le Bureau ne tiendra pas compte de la présence ou de l'absence d'accords d'autres administrations lorsqu'il formulera de nouvelles conclusions.</w:t>
      </w:r>
    </w:p>
    <w:p w14:paraId="17899EBF" w14:textId="77777777" w:rsidR="00FC33BC" w:rsidRPr="00FC33BC" w:rsidRDefault="00FC33BC" w:rsidP="00192AD2">
      <w:pPr>
        <w:keepLines/>
        <w:spacing w:before="120"/>
        <w:rPr>
          <w:rFonts w:asciiTheme="majorBidi" w:hAnsiTheme="majorBidi" w:cstheme="majorBidi"/>
          <w:lang w:val="fr-CH"/>
        </w:rPr>
      </w:pPr>
      <w:r w:rsidRPr="00FC33BC">
        <w:rPr>
          <w:rFonts w:asciiTheme="majorBidi" w:hAnsiTheme="majorBidi" w:cstheme="majorBidi"/>
          <w:lang w:val="fr-CH"/>
        </w:rPr>
        <w:t>8</w:t>
      </w:r>
      <w:r w:rsidRPr="00FC33BC">
        <w:rPr>
          <w:rFonts w:asciiTheme="majorBidi" w:hAnsiTheme="majorBidi" w:cstheme="majorBidi"/>
          <w:lang w:val="fr-CH"/>
        </w:rPr>
        <w:tab/>
        <w:t>Une fois l'examen des conclusions effectué, les assignations de fréquence concernées, assorties des conclusions modifiées, sont publiées dans les Parties pertinentes de la Circulaire BR IFIC et une Note d'information est insérée dans la Circulaire BR IFIC, pour attirer l'attention des administrations sur l'examen des conclusions et exposer les motifs ainsi que la teneur de l'examen.</w:t>
      </w:r>
    </w:p>
    <w:p w14:paraId="159BD005" w14:textId="77777777" w:rsidR="00FC33BC" w:rsidRDefault="00FC33BC" w:rsidP="00667361">
      <w:pPr>
        <w:rPr>
          <w:color w:val="000000"/>
          <w:lang w:val="fr-FR"/>
        </w:rPr>
      </w:pPr>
    </w:p>
    <w:p w14:paraId="15880000" w14:textId="059160AA" w:rsidR="00667361" w:rsidRDefault="00667361" w:rsidP="00667361">
      <w:pPr>
        <w:jc w:val="center"/>
        <w:rPr>
          <w:lang w:val="fr-FR"/>
        </w:rPr>
      </w:pPr>
      <w:r w:rsidRPr="00277E7C">
        <w:rPr>
          <w:lang w:val="fr-FR"/>
        </w:rPr>
        <w:t>______________</w:t>
      </w:r>
      <w:r w:rsidR="00D07B24" w:rsidRPr="00277E7C">
        <w:rPr>
          <w:lang w:val="fr-FR"/>
        </w:rPr>
        <w:t>______</w:t>
      </w:r>
    </w:p>
    <w:p w14:paraId="35361387" w14:textId="6810AEE1" w:rsidR="00093869" w:rsidRDefault="00093869" w:rsidP="00667361">
      <w:pPr>
        <w:jc w:val="center"/>
        <w:rPr>
          <w:lang w:val="fr-FR"/>
        </w:rPr>
      </w:pPr>
    </w:p>
    <w:p w14:paraId="6311CB8C" w14:textId="473A5C3D" w:rsidR="00093869" w:rsidRDefault="00093869" w:rsidP="00667361">
      <w:pPr>
        <w:jc w:val="center"/>
        <w:rPr>
          <w:lang w:val="fr-FR"/>
        </w:rPr>
      </w:pPr>
    </w:p>
    <w:p w14:paraId="24F16116" w14:textId="7F3B0578" w:rsidR="00093869" w:rsidRDefault="00093869" w:rsidP="00667361">
      <w:pPr>
        <w:jc w:val="center"/>
        <w:rPr>
          <w:lang w:val="fr-FR"/>
        </w:rPr>
      </w:pPr>
    </w:p>
    <w:p w14:paraId="164DBBCA" w14:textId="7D2A7D8E" w:rsidR="00093869" w:rsidRDefault="00093869" w:rsidP="00667361">
      <w:pPr>
        <w:jc w:val="center"/>
        <w:rPr>
          <w:lang w:val="fr-FR"/>
        </w:rPr>
      </w:pPr>
    </w:p>
    <w:p w14:paraId="621F9C7B" w14:textId="339E98BF" w:rsidR="00093869" w:rsidRDefault="00093869" w:rsidP="00667361">
      <w:pPr>
        <w:jc w:val="center"/>
        <w:rPr>
          <w:lang w:val="fr-FR"/>
        </w:rPr>
      </w:pPr>
    </w:p>
    <w:p w14:paraId="6656AC5A" w14:textId="04C1A48F" w:rsidR="00093869" w:rsidRDefault="00093869" w:rsidP="00667361">
      <w:pPr>
        <w:jc w:val="center"/>
        <w:rPr>
          <w:lang w:val="fr-FR"/>
        </w:rPr>
      </w:pPr>
    </w:p>
    <w:p w14:paraId="13D2A611" w14:textId="57C2B529" w:rsidR="00093869" w:rsidRDefault="00093869" w:rsidP="00667361">
      <w:pPr>
        <w:jc w:val="center"/>
        <w:rPr>
          <w:lang w:val="fr-FR"/>
        </w:rPr>
      </w:pPr>
    </w:p>
    <w:p w14:paraId="63ACD10A" w14:textId="1028391D" w:rsidR="00093869" w:rsidRDefault="00093869" w:rsidP="00667361">
      <w:pPr>
        <w:jc w:val="center"/>
        <w:rPr>
          <w:lang w:val="fr-FR"/>
        </w:rPr>
      </w:pPr>
    </w:p>
    <w:p w14:paraId="7223D16B" w14:textId="0B6ED4F0" w:rsidR="00093869" w:rsidRDefault="00093869" w:rsidP="00667361">
      <w:pPr>
        <w:jc w:val="center"/>
        <w:rPr>
          <w:lang w:val="fr-FR"/>
        </w:rPr>
      </w:pPr>
    </w:p>
    <w:p w14:paraId="35EBBED9" w14:textId="3ABE20B8" w:rsidR="00093869" w:rsidRDefault="00093869" w:rsidP="00667361">
      <w:pPr>
        <w:jc w:val="center"/>
        <w:rPr>
          <w:lang w:val="fr-FR"/>
        </w:rPr>
      </w:pPr>
    </w:p>
    <w:p w14:paraId="2AFA0531" w14:textId="77777777" w:rsidR="00093869" w:rsidRPr="00277E7C" w:rsidRDefault="00093869" w:rsidP="00667361">
      <w:pPr>
        <w:jc w:val="center"/>
        <w:rPr>
          <w:lang w:val="fr-FR"/>
        </w:rPr>
      </w:pPr>
    </w:p>
    <w:p w14:paraId="1D74AB9C" w14:textId="77777777" w:rsidR="00D20D54" w:rsidRPr="00277E7C" w:rsidRDefault="00D20D54" w:rsidP="00667361">
      <w:pPr>
        <w:rPr>
          <w:color w:val="000000"/>
          <w:lang w:val="fr-FR"/>
        </w:rPr>
      </w:pPr>
    </w:p>
    <w:p w14:paraId="1FE84E93" w14:textId="77777777" w:rsidR="00CB0787" w:rsidRPr="00277E7C" w:rsidRDefault="00CB0787">
      <w:pPr>
        <w:rPr>
          <w:lang w:val="fr-FR"/>
        </w:rPr>
        <w:sectPr w:rsidR="00CB0787" w:rsidRPr="00277E7C" w:rsidSect="00717323">
          <w:headerReference w:type="even" r:id="rId16"/>
          <w:headerReference w:type="default" r:id="rId17"/>
          <w:footnotePr>
            <w:pos w:val="beneathText"/>
          </w:footnotePr>
          <w:pgSz w:w="11907" w:h="16840" w:code="9"/>
          <w:pgMar w:top="1134" w:right="851" w:bottom="851" w:left="1701" w:header="737" w:footer="482" w:gutter="0"/>
          <w:cols w:space="720"/>
          <w:vAlign w:val="both"/>
          <w:docGrid w:linePitch="326"/>
        </w:sectPr>
      </w:pPr>
    </w:p>
    <w:p w14:paraId="2E1B1B25" w14:textId="77777777" w:rsidR="00CB0787" w:rsidRPr="00277E7C" w:rsidRDefault="00CB0787" w:rsidP="000F3341">
      <w:pPr>
        <w:rPr>
          <w:lang w:val="fr-FR"/>
        </w:rPr>
      </w:pPr>
    </w:p>
    <w:sectPr w:rsidR="00CB0787" w:rsidRPr="00277E7C" w:rsidSect="009D1D46">
      <w:headerReference w:type="first" r:id="rId18"/>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5A5591" w14:textId="77777777" w:rsidR="000751EB" w:rsidRDefault="000751EB">
      <w:r>
        <w:separator/>
      </w:r>
    </w:p>
  </w:endnote>
  <w:endnote w:type="continuationSeparator" w:id="0">
    <w:p w14:paraId="4DF43383" w14:textId="77777777" w:rsidR="000751EB" w:rsidRDefault="000751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TimesNewRoman">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TimesNewRoman,Bold">
    <w:altName w:val="Times New Roman"/>
    <w:panose1 w:val="00000000000000000000"/>
    <w:charset w:val="00"/>
    <w:family w:val="roman"/>
    <w:notTrueType/>
    <w:pitch w:val="default"/>
    <w:sig w:usb0="00000000" w:usb1="080E0000" w:usb2="00000010" w:usb3="00000000" w:csb0="00040001" w:csb1="00000000"/>
  </w:font>
  <w:font w:name="Times New Roman Bold">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82085" w14:textId="77777777" w:rsidR="00717323" w:rsidRDefault="00717323" w:rsidP="00717323">
    <w:pPr>
      <w:pStyle w:val="Footer"/>
      <w:spacing w:before="100" w:beforeAutospacing="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3D2B9D" w14:textId="77777777" w:rsidR="000751EB" w:rsidRDefault="000751EB">
      <w:r>
        <w:rPr>
          <w:b/>
        </w:rPr>
        <w:t>_______________</w:t>
      </w:r>
    </w:p>
  </w:footnote>
  <w:footnote w:type="continuationSeparator" w:id="0">
    <w:p w14:paraId="1AE312A7" w14:textId="77777777" w:rsidR="000751EB" w:rsidRDefault="000751EB">
      <w:r>
        <w:continuationSeparator/>
      </w:r>
    </w:p>
  </w:footnote>
  <w:footnote w:id="1">
    <w:p w14:paraId="5E23B98E" w14:textId="77777777" w:rsidR="0036118B" w:rsidRDefault="0036118B" w:rsidP="00CC1169">
      <w:pPr>
        <w:pStyle w:val="FootnoteText"/>
        <w:rPr>
          <w:color w:val="000000"/>
          <w:lang w:val="fr-CH"/>
        </w:rPr>
      </w:pPr>
      <w:r>
        <w:rPr>
          <w:rStyle w:val="FootnoteReference"/>
          <w:color w:val="000000"/>
          <w:lang w:val="fr-CH"/>
        </w:rPr>
        <w:t>1</w:t>
      </w:r>
      <w:r>
        <w:rPr>
          <w:color w:val="000000"/>
          <w:lang w:val="fr-CH"/>
        </w:rPr>
        <w:tab/>
        <w:t>Les fréquences devant être utilisées en commun, énumérées dans la Chapitre VI de la Préface à la LIF, ne doivent pas être notifiées.</w:t>
      </w:r>
    </w:p>
  </w:footnote>
  <w:footnote w:id="2">
    <w:p w14:paraId="1B926856" w14:textId="77777777" w:rsidR="0036118B" w:rsidRDefault="0036118B" w:rsidP="00CC1169">
      <w:pPr>
        <w:pStyle w:val="FootnoteText"/>
        <w:rPr>
          <w:color w:val="000000"/>
          <w:lang w:val="fr-CH"/>
        </w:rPr>
      </w:pPr>
      <w:r>
        <w:rPr>
          <w:rStyle w:val="FootnoteReference"/>
          <w:color w:val="000000"/>
          <w:lang w:val="fr-CH"/>
        </w:rPr>
        <w:t>2</w:t>
      </w:r>
      <w:r>
        <w:rPr>
          <w:color w:val="000000"/>
          <w:lang w:val="fr-CH"/>
        </w:rPr>
        <w:tab/>
        <w:t>Les assignations de fréquence à des stations du service d'amateur ne doivent pas être notifiées (numéro </w:t>
      </w:r>
      <w:r>
        <w:rPr>
          <w:rStyle w:val="Artref0"/>
          <w:b/>
          <w:bCs/>
          <w:color w:val="000000"/>
          <w:lang w:val="fr-CH"/>
        </w:rPr>
        <w:t>11.14</w:t>
      </w:r>
      <w:r>
        <w:rPr>
          <w:color w:val="000000"/>
          <w:lang w:val="fr-CH"/>
        </w:rPr>
        <w:t>).</w:t>
      </w:r>
    </w:p>
  </w:footnote>
  <w:footnote w:id="3">
    <w:p w14:paraId="5AB9665C" w14:textId="77777777" w:rsidR="0036118B" w:rsidRDefault="0036118B" w:rsidP="00CC1169">
      <w:pPr>
        <w:pStyle w:val="FootnoteText"/>
        <w:rPr>
          <w:color w:val="000000"/>
          <w:lang w:val="fr-CH"/>
        </w:rPr>
      </w:pPr>
      <w:r>
        <w:rPr>
          <w:rStyle w:val="FootnoteReference"/>
          <w:color w:val="000000"/>
          <w:lang w:val="fr-CH"/>
        </w:rPr>
        <w:t>3</w:t>
      </w:r>
      <w:r>
        <w:rPr>
          <w:color w:val="000000"/>
          <w:lang w:val="fr-CH"/>
        </w:rPr>
        <w:tab/>
        <w:t>Les assignations de fréquence aux stations du service de radiodiffusion dans les bandes d'ondes déca</w:t>
      </w:r>
      <w:r>
        <w:rPr>
          <w:color w:val="000000"/>
          <w:lang w:val="fr-CH"/>
        </w:rPr>
        <w:softHyphen/>
        <w:t>métriques attribuées au service de radiodiffusion entre 5</w:t>
      </w:r>
      <w:r>
        <w:rPr>
          <w:rFonts w:ascii="Tms Rmn" w:hAnsi="Tms Rmn"/>
          <w:color w:val="000000"/>
          <w:sz w:val="12"/>
          <w:lang w:val="fr-CH"/>
        </w:rPr>
        <w:t> </w:t>
      </w:r>
      <w:r>
        <w:rPr>
          <w:color w:val="000000"/>
          <w:lang w:val="fr-CH"/>
        </w:rPr>
        <w:t>900 kHz et 26</w:t>
      </w:r>
      <w:r>
        <w:rPr>
          <w:rFonts w:ascii="Tms Rmn" w:hAnsi="Tms Rmn"/>
          <w:color w:val="000000"/>
          <w:sz w:val="12"/>
          <w:lang w:val="fr-CH"/>
        </w:rPr>
        <w:t> </w:t>
      </w:r>
      <w:r>
        <w:rPr>
          <w:color w:val="000000"/>
          <w:lang w:val="fr-CH"/>
        </w:rPr>
        <w:t>100 kHz qui relèvent de la procédure de l'Article </w:t>
      </w:r>
      <w:r>
        <w:rPr>
          <w:rStyle w:val="Artref0"/>
          <w:b/>
          <w:bCs/>
          <w:color w:val="000000"/>
          <w:lang w:val="fr-CH"/>
        </w:rPr>
        <w:t>12</w:t>
      </w:r>
      <w:r>
        <w:rPr>
          <w:color w:val="000000"/>
          <w:lang w:val="fr-CH"/>
        </w:rPr>
        <w:t xml:space="preserve"> ne doivent pas être notifiées aux termes de l'Article </w:t>
      </w:r>
      <w:r>
        <w:rPr>
          <w:rStyle w:val="Artref0"/>
          <w:b/>
          <w:bCs/>
          <w:color w:val="000000"/>
          <w:lang w:val="fr-CH"/>
        </w:rPr>
        <w:t>11</w:t>
      </w:r>
      <w:r>
        <w:rPr>
          <w:color w:val="000000"/>
          <w:lang w:val="fr-CH"/>
        </w:rPr>
        <w:t xml:space="preserve"> (voir le numéro </w:t>
      </w:r>
      <w:r>
        <w:rPr>
          <w:rStyle w:val="Artref0"/>
          <w:b/>
          <w:bCs/>
          <w:color w:val="000000"/>
          <w:lang w:val="fr-CH"/>
        </w:rPr>
        <w:t>11.14</w:t>
      </w:r>
      <w:r>
        <w:rPr>
          <w:color w:val="000000"/>
          <w:lang w:val="fr-CH"/>
        </w:rPr>
        <w:t>).</w:t>
      </w:r>
    </w:p>
  </w:footnote>
  <w:footnote w:id="4">
    <w:p w14:paraId="1598BD54" w14:textId="77777777" w:rsidR="0036118B" w:rsidRDefault="0036118B" w:rsidP="000E7C11">
      <w:pPr>
        <w:pStyle w:val="FootnoteText"/>
        <w:rPr>
          <w:lang w:val="fr-CH"/>
        </w:rPr>
      </w:pPr>
      <w:r>
        <w:rPr>
          <w:rStyle w:val="FootnoteReference"/>
          <w:lang w:val="fr-CH"/>
        </w:rPr>
        <w:t>4</w:t>
      </w:r>
      <w:r>
        <w:rPr>
          <w:lang w:val="fr-CH"/>
        </w:rPr>
        <w:tab/>
      </w:r>
      <w:r>
        <w:rPr>
          <w:color w:val="000000"/>
          <w:lang w:val="fr-CH"/>
        </w:rPr>
        <w:t>La p.i.r.e. indiquée dans les Tableaux 8c et 8d de l'Appendice </w:t>
      </w:r>
      <w:r>
        <w:rPr>
          <w:rStyle w:val="Appref"/>
          <w:b/>
          <w:bCs/>
          <w:color w:val="000000"/>
          <w:lang w:val="fr-CH"/>
        </w:rPr>
        <w:t>7</w:t>
      </w:r>
      <w:r>
        <w:rPr>
          <w:color w:val="000000"/>
          <w:lang w:val="fr-CH"/>
        </w:rPr>
        <w:t xml:space="preserve"> est calculée à partir d'une p.i.r.e. totale de 55 dBW.</w:t>
      </w:r>
    </w:p>
  </w:footnote>
  <w:footnote w:id="5">
    <w:p w14:paraId="3C745598" w14:textId="522580CB" w:rsidR="00444469" w:rsidRPr="00664075" w:rsidRDefault="0036118B" w:rsidP="00664075">
      <w:pPr>
        <w:pStyle w:val="FootnoteText"/>
        <w:rPr>
          <w:color w:val="000000"/>
          <w:lang w:val="fr-CH"/>
        </w:rPr>
      </w:pPr>
      <w:r>
        <w:rPr>
          <w:rStyle w:val="FootnoteReference"/>
          <w:lang w:val="fr-CH"/>
        </w:rPr>
        <w:t>5</w:t>
      </w:r>
      <w:r>
        <w:rPr>
          <w:lang w:val="fr-CH"/>
        </w:rPr>
        <w:tab/>
      </w:r>
      <w:r w:rsidR="00664075" w:rsidRPr="00664075">
        <w:rPr>
          <w:color w:val="000000"/>
          <w:lang w:val="fr-CH"/>
        </w:rPr>
        <w:t>En ce qui concerne l'application de cette disposition aux assignations du SRS, voir les commentaires concernant la Règle de procédure relative aux numéros </w:t>
      </w:r>
      <w:r w:rsidR="00664075" w:rsidRPr="00664075">
        <w:rPr>
          <w:b/>
          <w:bCs/>
          <w:color w:val="000000"/>
          <w:lang w:val="fr-CH"/>
        </w:rPr>
        <w:t xml:space="preserve">23.13B </w:t>
      </w:r>
      <w:r w:rsidR="00664075" w:rsidRPr="00664075">
        <w:rPr>
          <w:bCs/>
          <w:color w:val="000000"/>
          <w:lang w:val="fr-CH"/>
        </w:rPr>
        <w:t xml:space="preserve">et </w:t>
      </w:r>
      <w:r w:rsidR="00664075" w:rsidRPr="00664075">
        <w:rPr>
          <w:b/>
          <w:bCs/>
          <w:color w:val="000000"/>
          <w:lang w:val="fr-CH"/>
        </w:rPr>
        <w:t>23.13C</w:t>
      </w:r>
      <w:r w:rsidR="00664075" w:rsidRPr="00664075">
        <w:rPr>
          <w:color w:val="000000"/>
          <w:lang w:val="fr-CH"/>
        </w:rPr>
        <w:t>.</w:t>
      </w:r>
      <w:r w:rsidR="00664075" w:rsidRPr="00B50B2B">
        <w:rPr>
          <w:color w:val="000000"/>
          <w:sz w:val="16"/>
          <w:szCs w:val="16"/>
          <w:lang w:val="fr-CH"/>
        </w:rPr>
        <w:t>)</w:t>
      </w:r>
    </w:p>
  </w:footnote>
  <w:footnote w:id="6">
    <w:p w14:paraId="6FDBC9E0" w14:textId="77777777" w:rsidR="0036118B" w:rsidRDefault="0036118B" w:rsidP="000E7C11">
      <w:pPr>
        <w:pStyle w:val="FootnoteText"/>
        <w:rPr>
          <w:lang w:val="fr-CH"/>
        </w:rPr>
      </w:pPr>
      <w:r>
        <w:rPr>
          <w:rStyle w:val="FootnoteReference"/>
          <w:lang w:val="fr-CH"/>
        </w:rPr>
        <w:t>6</w:t>
      </w:r>
      <w:r>
        <w:rPr>
          <w:lang w:val="fr-CH"/>
        </w:rPr>
        <w:tab/>
      </w:r>
      <w:r>
        <w:rPr>
          <w:color w:val="000000"/>
          <w:lang w:val="fr-CH"/>
        </w:rPr>
        <w:t>Dans les bandes partagées par les services de radiocommunication de Terre et les services de radiocommuni</w:t>
      </w:r>
      <w:r>
        <w:rPr>
          <w:color w:val="000000"/>
          <w:lang w:val="fr-CH"/>
        </w:rPr>
        <w:softHyphen/>
        <w:t>cation spatiale, l'administration peut utiliser des répéteurs passifs du service fixe (faisceaux hertziens). Bien qu'en règle générale, le répéteur passif soit proche de la station d'émission ou de réception, il implique généra</w:t>
      </w:r>
      <w:r>
        <w:rPr>
          <w:color w:val="000000"/>
          <w:lang w:val="fr-CH"/>
        </w:rPr>
        <w:softHyphen/>
        <w:t>lement un changement important de la direction du rayonnement maximal qui peut affecter encore davantage l'orbite. C'est pourquoi le Comité a décidé de demander aux administrations de notifier les deux parties de la liaison en tant que stations distinctes, c'est-à-dire stations d'émission vers répéteur passif et répéteur passif vers stations de réception, et de traiter chacune des fiches de notification contenant les renseignements spécifiés à l'Appendice </w:t>
      </w:r>
      <w:r>
        <w:rPr>
          <w:rStyle w:val="Appref"/>
          <w:b/>
          <w:bCs/>
          <w:color w:val="000000"/>
          <w:lang w:val="fr-CH"/>
        </w:rPr>
        <w:t>4</w:t>
      </w:r>
      <w:r>
        <w:rPr>
          <w:color w:val="000000"/>
          <w:lang w:val="fr-CH"/>
        </w:rPr>
        <w:t xml:space="preserve"> en tant qu'assignation séparée représentant une station séparée.</w:t>
      </w:r>
    </w:p>
  </w:footnote>
  <w:footnote w:id="7">
    <w:p w14:paraId="5DDC7A8D" w14:textId="77777777" w:rsidR="0036118B" w:rsidRPr="00771562" w:rsidRDefault="0036118B" w:rsidP="000E7C11">
      <w:pPr>
        <w:pStyle w:val="FootnoteText"/>
        <w:rPr>
          <w:lang w:val="fr-CH"/>
        </w:rPr>
      </w:pPr>
      <w:r w:rsidRPr="00771562">
        <w:rPr>
          <w:rStyle w:val="FootnoteReference"/>
          <w:sz w:val="20"/>
          <w:lang w:val="fr-CH"/>
        </w:rPr>
        <w:t>7</w:t>
      </w:r>
      <w:r w:rsidRPr="00771562">
        <w:rPr>
          <w:lang w:val="fr-CH"/>
        </w:rPr>
        <w:tab/>
      </w:r>
      <w:r w:rsidRPr="00771562">
        <w:rPr>
          <w:color w:val="000000"/>
          <w:lang w:val="fr-CH"/>
        </w:rPr>
        <w:t xml:space="preserve">Voir les Règles de procédure relatives au numéro </w:t>
      </w:r>
      <w:r w:rsidRPr="00771562">
        <w:rPr>
          <w:rStyle w:val="Artref0"/>
          <w:b/>
          <w:bCs/>
          <w:color w:val="000000"/>
          <w:lang w:val="fr-CH"/>
        </w:rPr>
        <w:t>21.11</w:t>
      </w:r>
      <w:r w:rsidRPr="00771562">
        <w:rPr>
          <w:color w:val="000000"/>
          <w:lang w:val="fr-CH"/>
        </w:rPr>
        <w:t>.</w:t>
      </w:r>
    </w:p>
  </w:footnote>
  <w:footnote w:id="8">
    <w:p w14:paraId="6E566DE1" w14:textId="77777777" w:rsidR="0036118B" w:rsidRPr="00771562" w:rsidRDefault="0036118B" w:rsidP="000E7C11">
      <w:pPr>
        <w:pStyle w:val="FootnoteText"/>
        <w:rPr>
          <w:lang w:val="fr-CH"/>
        </w:rPr>
      </w:pPr>
      <w:r w:rsidRPr="00771562">
        <w:rPr>
          <w:rStyle w:val="FootnoteReference"/>
          <w:sz w:val="20"/>
          <w:lang w:val="fr-CH"/>
        </w:rPr>
        <w:t>8</w:t>
      </w:r>
      <w:r w:rsidRPr="00771562">
        <w:rPr>
          <w:lang w:val="fr-CH"/>
        </w:rPr>
        <w:tab/>
      </w:r>
      <w:r w:rsidRPr="00771562">
        <w:rPr>
          <w:color w:val="000000"/>
          <w:lang w:val="fr-CH"/>
        </w:rPr>
        <w:t xml:space="preserve">Voir les Règles de procédure relatives au numéro </w:t>
      </w:r>
      <w:r w:rsidRPr="00771562">
        <w:rPr>
          <w:rStyle w:val="Artref0"/>
          <w:b/>
          <w:bCs/>
          <w:color w:val="000000"/>
          <w:lang w:val="fr-CH"/>
        </w:rPr>
        <w:t>21.14</w:t>
      </w:r>
      <w:r w:rsidRPr="00E92F4D">
        <w:rPr>
          <w:color w:val="000000"/>
          <w:lang w:val="fr-CH"/>
        </w:rPr>
        <w:t>.</w:t>
      </w:r>
    </w:p>
  </w:footnote>
  <w:footnote w:id="9">
    <w:p w14:paraId="38088D2C" w14:textId="0AE93D17" w:rsidR="00750D80" w:rsidRPr="00771562" w:rsidRDefault="00750D80" w:rsidP="00771562">
      <w:pPr>
        <w:pStyle w:val="FootnoteText"/>
        <w:rPr>
          <w:lang w:val="fr-CH"/>
        </w:rPr>
      </w:pPr>
      <w:r w:rsidRPr="00664075">
        <w:rPr>
          <w:rStyle w:val="FootnoteReference"/>
          <w:lang w:val="fr-CH"/>
        </w:rPr>
        <w:t>9</w:t>
      </w:r>
      <w:r w:rsidRPr="00664075">
        <w:rPr>
          <w:lang w:val="fr-CH"/>
        </w:rPr>
        <w:t xml:space="preserve"> </w:t>
      </w:r>
      <w:r w:rsidRPr="00664075">
        <w:rPr>
          <w:lang w:val="fr-CH"/>
        </w:rPr>
        <w:tab/>
      </w:r>
      <w:r w:rsidRPr="00771562">
        <w:rPr>
          <w:b/>
          <w:bCs/>
          <w:lang w:val="fr-CH"/>
        </w:rPr>
        <w:t>Note</w:t>
      </w:r>
      <w:r w:rsidRPr="00771562">
        <w:rPr>
          <w:lang w:val="fr-CH"/>
        </w:rPr>
        <w:t xml:space="preserve">: La CMR-19 a pris la décision suivante, lors de la 8ème séance plénière, concernant la conformité des assignations de fréquence des systèmes à satellites non OSG du SFS aux limites de puissance surfacique de l'Article </w:t>
      </w:r>
      <w:r w:rsidRPr="00771562">
        <w:rPr>
          <w:b/>
          <w:bCs/>
          <w:lang w:val="fr-CH"/>
        </w:rPr>
        <w:t>21</w:t>
      </w:r>
      <w:r w:rsidRPr="00771562">
        <w:rPr>
          <w:lang w:val="fr-CH"/>
        </w:rPr>
        <w:t xml:space="preserve"> du RR applicables dans la bande de fréquences 17,7-19,3 GHz, voir les paragraphes 3.11 à 3.15 du Document CMR19/569, dans le cadre de l'approbation du Document CMR19/451:</w:t>
      </w:r>
    </w:p>
    <w:p w14:paraId="3B1CB4DD" w14:textId="77777777" w:rsidR="00750D80" w:rsidRPr="00771562" w:rsidRDefault="00750D80" w:rsidP="00771562">
      <w:pPr>
        <w:pStyle w:val="FootnoteText"/>
        <w:rPr>
          <w:lang w:val="fr-FR"/>
        </w:rPr>
      </w:pPr>
      <w:r w:rsidRPr="00771562">
        <w:rPr>
          <w:lang w:val="fr-CH"/>
        </w:rPr>
        <w:t>«</w:t>
      </w:r>
      <w:r w:rsidRPr="00715CFA">
        <w:rPr>
          <w:i/>
          <w:iCs/>
          <w:lang w:val="fr-CH"/>
        </w:rPr>
        <w:t xml:space="preserve">La CMR-19 (…) charge le Bureau des radiocommunications de formuler des conclusions favorables conditionnelles au titre des numéros </w:t>
      </w:r>
      <w:r w:rsidRPr="00715CFA">
        <w:rPr>
          <w:b/>
          <w:i/>
          <w:iCs/>
          <w:lang w:val="fr-CH"/>
        </w:rPr>
        <w:t>9.35/11.31</w:t>
      </w:r>
      <w:r w:rsidRPr="00715CFA">
        <w:rPr>
          <w:i/>
          <w:iCs/>
          <w:lang w:val="fr-CH"/>
        </w:rPr>
        <w:t xml:space="preserve"> du RR lorsqu'il examinera la conformité des assignations de fréquence des systèmes à satellites non OSG du SFS aux limites de puissance surfacique de l'Article </w:t>
      </w:r>
      <w:r w:rsidRPr="00715CFA">
        <w:rPr>
          <w:b/>
          <w:i/>
          <w:iCs/>
          <w:lang w:val="fr-CH"/>
        </w:rPr>
        <w:t>21</w:t>
      </w:r>
      <w:r w:rsidRPr="00715CFA">
        <w:rPr>
          <w:i/>
          <w:iCs/>
          <w:lang w:val="fr-CH"/>
        </w:rPr>
        <w:t xml:space="preserve"> du RR applicables dans la bande de fréquences 17,7-19,3 GHz, si l'administration notificatrice soumet une demande en ce sens. Cette pratique s'applique aux systèmes à satellites non OSG du SFS pour lesquels des demandes de coordination ont été reçues entre le 23 novembre 2019 et le dernier jour de la CMR-23</w:t>
      </w:r>
      <w:r w:rsidRPr="00771562">
        <w:rPr>
          <w:lang w:val="fr-CH"/>
        </w:rPr>
        <w:t>».</w:t>
      </w:r>
    </w:p>
  </w:footnote>
  <w:footnote w:id="10">
    <w:p w14:paraId="0B2EAB3C" w14:textId="5CDDE00A" w:rsidR="00750D80" w:rsidRDefault="00750D80" w:rsidP="000E7C11">
      <w:pPr>
        <w:pStyle w:val="FootnoteText"/>
        <w:rPr>
          <w:lang w:val="fr-CH"/>
        </w:rPr>
      </w:pPr>
      <w:r w:rsidRPr="00664075">
        <w:rPr>
          <w:rStyle w:val="FootnoteReference"/>
          <w:lang w:val="fr-CH"/>
        </w:rPr>
        <w:t>10</w:t>
      </w:r>
      <w:r w:rsidRPr="00664075">
        <w:rPr>
          <w:lang w:val="fr-CH"/>
        </w:rPr>
        <w:t xml:space="preserve"> </w:t>
      </w:r>
      <w:r>
        <w:rPr>
          <w:lang w:val="fr-CH"/>
        </w:rPr>
        <w:tab/>
      </w:r>
      <w:r>
        <w:rPr>
          <w:color w:val="000000"/>
          <w:lang w:val="fr-CH"/>
        </w:rPr>
        <w:t xml:space="preserve">Dans le cas où il n'est pas en mesure de publier les données de notification au titre du numéro </w:t>
      </w:r>
      <w:r>
        <w:rPr>
          <w:rStyle w:val="Artref0"/>
          <w:b/>
          <w:bCs/>
          <w:color w:val="000000"/>
          <w:lang w:val="fr-CH"/>
        </w:rPr>
        <w:t>11.28</w:t>
      </w:r>
      <w:r>
        <w:rPr>
          <w:color w:val="000000"/>
          <w:lang w:val="fr-CH"/>
        </w:rPr>
        <w:t xml:space="preserve"> dans un délai de trois ans à compter de la date de notification, le Bureau doit tenir compte d'une observation reçue trois mois après la date de publication.</w:t>
      </w:r>
    </w:p>
  </w:footnote>
  <w:footnote w:id="11">
    <w:p w14:paraId="29E50A8C" w14:textId="77777777" w:rsidR="0036118B" w:rsidRPr="00B866B3" w:rsidRDefault="0036118B" w:rsidP="00B866B3">
      <w:pPr>
        <w:pStyle w:val="FootnoteText"/>
        <w:rPr>
          <w:lang w:val="fr-CH"/>
        </w:rPr>
      </w:pPr>
      <w:r w:rsidRPr="00B866B3">
        <w:rPr>
          <w:rStyle w:val="FootnoteReference"/>
          <w:lang w:val="fr-CH"/>
        </w:rPr>
        <w:t>*</w:t>
      </w:r>
      <w:r w:rsidRPr="00B866B3">
        <w:rPr>
          <w:lang w:val="fr-CH"/>
        </w:rPr>
        <w:t xml:space="preserve"> </w:t>
      </w:r>
      <w:r>
        <w:rPr>
          <w:lang w:val="fr-CH"/>
        </w:rPr>
        <w:tab/>
      </w:r>
      <w:r w:rsidRPr="00081977">
        <w:rPr>
          <w:i/>
          <w:iCs/>
          <w:lang w:val="fr-CH"/>
        </w:rPr>
        <w:t>Note du Secrétariat:</w:t>
      </w:r>
      <w:r w:rsidRPr="00081977">
        <w:rPr>
          <w:lang w:val="fr-CH"/>
        </w:rPr>
        <w:t xml:space="preserve"> Cette R</w:t>
      </w:r>
      <w:r>
        <w:rPr>
          <w:lang w:val="fr-CH"/>
        </w:rPr>
        <w:t>ésolution a été abrogée par la CMR-95.</w:t>
      </w:r>
    </w:p>
  </w:footnote>
  <w:footnote w:id="12">
    <w:p w14:paraId="52D275B9" w14:textId="77777777" w:rsidR="0036118B" w:rsidRPr="00D72F29" w:rsidRDefault="0036118B" w:rsidP="00D72F29">
      <w:pPr>
        <w:pStyle w:val="FootnoteText"/>
        <w:rPr>
          <w:lang w:val="fr-CH"/>
        </w:rPr>
      </w:pPr>
      <w:r w:rsidRPr="00EE1889">
        <w:rPr>
          <w:rStyle w:val="FootnoteReference"/>
          <w:lang w:val="fr-CH"/>
        </w:rPr>
        <w:t>*</w:t>
      </w:r>
      <w:r w:rsidRPr="00EE1889">
        <w:rPr>
          <w:lang w:val="fr-CH"/>
        </w:rPr>
        <w:t xml:space="preserve"> </w:t>
      </w:r>
      <w:r>
        <w:rPr>
          <w:lang w:val="fr-CH"/>
        </w:rPr>
        <w:tab/>
      </w:r>
      <w:r w:rsidRPr="00081977">
        <w:rPr>
          <w:i/>
          <w:iCs/>
          <w:lang w:val="fr-CH"/>
        </w:rPr>
        <w:t>Note du Secrétariat:</w:t>
      </w:r>
      <w:r w:rsidRPr="00081977">
        <w:rPr>
          <w:lang w:val="fr-CH"/>
        </w:rPr>
        <w:t xml:space="preserve"> Cette R</w:t>
      </w:r>
      <w:r>
        <w:rPr>
          <w:lang w:val="fr-CH"/>
        </w:rPr>
        <w:t>ésolution a été abrogée par la CMR-95.</w:t>
      </w:r>
    </w:p>
  </w:footnote>
  <w:footnote w:id="13">
    <w:p w14:paraId="7002474C" w14:textId="1C6ED7A7" w:rsidR="00150476" w:rsidRPr="006418BF" w:rsidRDefault="00150476" w:rsidP="00000D68">
      <w:pPr>
        <w:pStyle w:val="FootnoteText"/>
        <w:rPr>
          <w:lang w:val="fr-CH"/>
        </w:rPr>
      </w:pPr>
      <w:r w:rsidRPr="00664075">
        <w:rPr>
          <w:rStyle w:val="FootnoteReference"/>
          <w:lang w:val="fr-CH"/>
        </w:rPr>
        <w:t>11</w:t>
      </w:r>
      <w:r w:rsidRPr="006418BF">
        <w:rPr>
          <w:lang w:val="fr-CH"/>
        </w:rPr>
        <w:t xml:space="preserve"> </w:t>
      </w:r>
      <w:r w:rsidRPr="006418BF">
        <w:rPr>
          <w:sz w:val="18"/>
          <w:szCs w:val="14"/>
          <w:lang w:val="fr-CH"/>
        </w:rPr>
        <w:tab/>
      </w:r>
      <w:r w:rsidRPr="006418BF">
        <w:rPr>
          <w:lang w:val="fr-CH"/>
        </w:rPr>
        <w:t>Applicable également au § 4.1.3 ou 4.1.3</w:t>
      </w:r>
      <w:r w:rsidRPr="006418BF">
        <w:rPr>
          <w:i/>
          <w:iCs/>
          <w:lang w:val="fr-CH"/>
        </w:rPr>
        <w:t>bis</w:t>
      </w:r>
      <w:r w:rsidRPr="006418BF">
        <w:rPr>
          <w:lang w:val="fr-CH"/>
        </w:rPr>
        <w:t xml:space="preserve"> ou 4.2.6 ou 4.2.6</w:t>
      </w:r>
      <w:r w:rsidRPr="006418BF">
        <w:rPr>
          <w:i/>
          <w:iCs/>
          <w:lang w:val="fr-CH"/>
        </w:rPr>
        <w:t>bis</w:t>
      </w:r>
      <w:r w:rsidRPr="006418BF">
        <w:rPr>
          <w:lang w:val="fr-CH"/>
        </w:rPr>
        <w:t xml:space="preserve"> de l'Article </w:t>
      </w:r>
      <w:r w:rsidRPr="00B60F4B">
        <w:rPr>
          <w:lang w:val="fr-CH"/>
        </w:rPr>
        <w:t>4</w:t>
      </w:r>
      <w:r w:rsidRPr="006418BF">
        <w:rPr>
          <w:lang w:val="fr-CH"/>
        </w:rPr>
        <w:t xml:space="preserve"> des Appendices </w:t>
      </w:r>
      <w:r w:rsidRPr="006418BF">
        <w:rPr>
          <w:b/>
          <w:bCs/>
          <w:lang w:val="fr-CH"/>
        </w:rPr>
        <w:t>30</w:t>
      </w:r>
      <w:r w:rsidRPr="006418BF">
        <w:rPr>
          <w:lang w:val="fr-CH"/>
        </w:rPr>
        <w:t xml:space="preserve"> et </w:t>
      </w:r>
      <w:r w:rsidRPr="006418BF">
        <w:rPr>
          <w:b/>
          <w:bCs/>
          <w:lang w:val="fr-CH"/>
        </w:rPr>
        <w:t>30A</w:t>
      </w:r>
      <w:r w:rsidRPr="006418BF">
        <w:rPr>
          <w:lang w:val="fr-CH"/>
        </w:rPr>
        <w:t xml:space="preserve"> et aux § 6.1 ou 6.31</w:t>
      </w:r>
      <w:r w:rsidRPr="006418BF">
        <w:rPr>
          <w:i/>
          <w:iCs/>
          <w:lang w:val="fr-CH"/>
        </w:rPr>
        <w:t>bis</w:t>
      </w:r>
      <w:r w:rsidRPr="006418BF">
        <w:rPr>
          <w:lang w:val="fr-CH"/>
        </w:rPr>
        <w:t xml:space="preserve">, et 6.33 de l'Article </w:t>
      </w:r>
      <w:r w:rsidRPr="00B60F4B">
        <w:rPr>
          <w:lang w:val="fr-CH"/>
        </w:rPr>
        <w:t>6</w:t>
      </w:r>
      <w:r w:rsidRPr="006418BF">
        <w:rPr>
          <w:lang w:val="fr-CH"/>
        </w:rPr>
        <w:t xml:space="preserve"> de l'Appendice </w:t>
      </w:r>
      <w:r w:rsidRPr="006418BF">
        <w:rPr>
          <w:b/>
          <w:bCs/>
          <w:lang w:val="fr-CH"/>
        </w:rPr>
        <w:t>30B</w:t>
      </w:r>
      <w:r w:rsidRPr="006418BF">
        <w:rPr>
          <w:lang w:val="fr-CH"/>
        </w:rPr>
        <w:t>.</w:t>
      </w:r>
    </w:p>
  </w:footnote>
  <w:footnote w:id="14">
    <w:p w14:paraId="4DE62908" w14:textId="7A75373F" w:rsidR="00150476" w:rsidRPr="006418BF" w:rsidRDefault="00150476" w:rsidP="00000D68">
      <w:pPr>
        <w:pStyle w:val="FootnoteText"/>
        <w:rPr>
          <w:lang w:val="fr-CH"/>
        </w:rPr>
      </w:pPr>
      <w:r w:rsidRPr="00664075">
        <w:rPr>
          <w:rStyle w:val="FootnoteReference"/>
          <w:lang w:val="fr-CH"/>
        </w:rPr>
        <w:t>12</w:t>
      </w:r>
      <w:r w:rsidRPr="006418BF">
        <w:rPr>
          <w:lang w:val="fr-CH"/>
        </w:rPr>
        <w:t xml:space="preserve"> </w:t>
      </w:r>
      <w:r w:rsidRPr="006418BF">
        <w:rPr>
          <w:lang w:val="fr-CH"/>
        </w:rPr>
        <w:tab/>
        <w:t xml:space="preserve">Applicable également au § 5.3.1 de l'Article </w:t>
      </w:r>
      <w:r w:rsidRPr="00B60F4B">
        <w:rPr>
          <w:lang w:val="fr-CH"/>
        </w:rPr>
        <w:t>5</w:t>
      </w:r>
      <w:r w:rsidRPr="006418BF">
        <w:rPr>
          <w:lang w:val="fr-CH"/>
        </w:rPr>
        <w:t xml:space="preserve"> des Appendices </w:t>
      </w:r>
      <w:r w:rsidRPr="006418BF">
        <w:rPr>
          <w:b/>
          <w:bCs/>
          <w:lang w:val="fr-CH"/>
        </w:rPr>
        <w:t>30</w:t>
      </w:r>
      <w:r w:rsidRPr="006418BF">
        <w:rPr>
          <w:lang w:val="fr-CH"/>
        </w:rPr>
        <w:t xml:space="preserve"> et </w:t>
      </w:r>
      <w:r w:rsidRPr="006418BF">
        <w:rPr>
          <w:b/>
          <w:bCs/>
          <w:lang w:val="fr-CH"/>
        </w:rPr>
        <w:t>30A</w:t>
      </w:r>
      <w:r w:rsidRPr="006418BF">
        <w:rPr>
          <w:lang w:val="fr-CH"/>
        </w:rPr>
        <w:t xml:space="preserve"> et au § 8.16 de l'Article </w:t>
      </w:r>
      <w:r w:rsidRPr="00B60F4B">
        <w:rPr>
          <w:lang w:val="fr-CH"/>
        </w:rPr>
        <w:t>8</w:t>
      </w:r>
      <w:r w:rsidRPr="006418BF">
        <w:rPr>
          <w:lang w:val="fr-CH"/>
        </w:rPr>
        <w:t xml:space="preserve"> de l'Appendice </w:t>
      </w:r>
      <w:r w:rsidRPr="006418BF">
        <w:rPr>
          <w:b/>
          <w:bCs/>
          <w:lang w:val="fr-CH"/>
        </w:rPr>
        <w:t>30B</w:t>
      </w:r>
      <w:r w:rsidRPr="006418BF">
        <w:rPr>
          <w:lang w:val="fr-CH"/>
        </w:rPr>
        <w:t>.</w:t>
      </w:r>
    </w:p>
  </w:footnote>
  <w:footnote w:id="15">
    <w:p w14:paraId="6F77E926" w14:textId="4AA4BC06" w:rsidR="00150476" w:rsidRPr="006418BF" w:rsidRDefault="00150476" w:rsidP="00000D68">
      <w:pPr>
        <w:pStyle w:val="FootnoteText"/>
        <w:rPr>
          <w:lang w:val="fr-CH"/>
        </w:rPr>
      </w:pPr>
      <w:r w:rsidRPr="00664075">
        <w:rPr>
          <w:rStyle w:val="FootnoteReference"/>
          <w:lang w:val="fr-CH"/>
        </w:rPr>
        <w:t>13</w:t>
      </w:r>
      <w:r w:rsidRPr="006418BF">
        <w:rPr>
          <w:lang w:val="fr-CH"/>
        </w:rPr>
        <w:t xml:space="preserve"> </w:t>
      </w:r>
      <w:r w:rsidRPr="006418BF">
        <w:rPr>
          <w:lang w:val="fr-CH"/>
        </w:rPr>
        <w:tab/>
        <w:t>Applicable également au § 4.1.3 ou 4.1.3</w:t>
      </w:r>
      <w:r w:rsidRPr="006418BF">
        <w:rPr>
          <w:i/>
          <w:iCs/>
          <w:lang w:val="fr-CH"/>
        </w:rPr>
        <w:t>bis</w:t>
      </w:r>
      <w:r w:rsidRPr="006418BF">
        <w:rPr>
          <w:lang w:val="fr-CH"/>
        </w:rPr>
        <w:t xml:space="preserve"> ou 4.2.6 ou 4.2.6</w:t>
      </w:r>
      <w:r w:rsidRPr="006418BF">
        <w:rPr>
          <w:i/>
          <w:iCs/>
          <w:lang w:val="fr-CH"/>
        </w:rPr>
        <w:t>bis</w:t>
      </w:r>
      <w:r w:rsidRPr="006418BF">
        <w:rPr>
          <w:lang w:val="fr-CH"/>
        </w:rPr>
        <w:t xml:space="preserve"> de l'Article </w:t>
      </w:r>
      <w:r w:rsidRPr="00B60F4B">
        <w:rPr>
          <w:lang w:val="fr-CH"/>
        </w:rPr>
        <w:t>4</w:t>
      </w:r>
      <w:r w:rsidRPr="006418BF">
        <w:rPr>
          <w:lang w:val="fr-CH"/>
        </w:rPr>
        <w:t xml:space="preserve"> des Appendices </w:t>
      </w:r>
      <w:r w:rsidRPr="006418BF">
        <w:rPr>
          <w:b/>
          <w:bCs/>
          <w:lang w:val="fr-CH"/>
        </w:rPr>
        <w:t>30</w:t>
      </w:r>
      <w:r w:rsidRPr="006418BF">
        <w:rPr>
          <w:lang w:val="fr-CH"/>
        </w:rPr>
        <w:t xml:space="preserve"> et </w:t>
      </w:r>
      <w:r w:rsidRPr="006418BF">
        <w:rPr>
          <w:b/>
          <w:bCs/>
          <w:lang w:val="fr-CH"/>
        </w:rPr>
        <w:t>30A</w:t>
      </w:r>
      <w:r w:rsidRPr="006418BF">
        <w:rPr>
          <w:lang w:val="fr-CH"/>
        </w:rPr>
        <w:t xml:space="preserve"> et au § 6.33 de l'Article </w:t>
      </w:r>
      <w:r w:rsidRPr="00B60F4B">
        <w:rPr>
          <w:lang w:val="fr-CH"/>
        </w:rPr>
        <w:t>6</w:t>
      </w:r>
      <w:r w:rsidRPr="006418BF">
        <w:rPr>
          <w:lang w:val="fr-CH"/>
        </w:rPr>
        <w:t xml:space="preserve"> de l'Appendice </w:t>
      </w:r>
      <w:r w:rsidRPr="006418BF">
        <w:rPr>
          <w:b/>
          <w:bCs/>
          <w:lang w:val="fr-CH"/>
        </w:rPr>
        <w:t>30B</w:t>
      </w:r>
      <w:r w:rsidRPr="006418BF">
        <w:rPr>
          <w:lang w:val="fr-CH"/>
        </w:rPr>
        <w:t>.</w:t>
      </w:r>
    </w:p>
  </w:footnote>
  <w:footnote w:id="16">
    <w:p w14:paraId="667F2610" w14:textId="7E3FC6A4" w:rsidR="00150476" w:rsidRPr="000F3341" w:rsidRDefault="00150476" w:rsidP="00520B7A">
      <w:pPr>
        <w:pStyle w:val="FootnoteText"/>
        <w:rPr>
          <w:lang w:val="fr-CH"/>
        </w:rPr>
      </w:pPr>
      <w:r w:rsidRPr="00664075">
        <w:rPr>
          <w:rStyle w:val="FootnoteReference"/>
          <w:lang w:val="fr-CH"/>
        </w:rPr>
        <w:t>14</w:t>
      </w:r>
      <w:r w:rsidRPr="000F3341">
        <w:rPr>
          <w:lang w:val="fr-CH"/>
        </w:rPr>
        <w:t xml:space="preserve"> </w:t>
      </w:r>
      <w:r w:rsidRPr="000F3341">
        <w:rPr>
          <w:lang w:val="fr-CH"/>
        </w:rPr>
        <w:tab/>
        <w:t xml:space="preserve">Applicable également aux § 5.2.10 et 5.2.11 de l'Article </w:t>
      </w:r>
      <w:r w:rsidRPr="00B60F4B">
        <w:rPr>
          <w:lang w:val="fr-CH"/>
        </w:rPr>
        <w:t>5</w:t>
      </w:r>
      <w:r w:rsidRPr="000F3341">
        <w:rPr>
          <w:lang w:val="fr-CH"/>
        </w:rPr>
        <w:t xml:space="preserve"> des Appendices </w:t>
      </w:r>
      <w:r w:rsidRPr="000F3341">
        <w:rPr>
          <w:b/>
          <w:bCs/>
          <w:lang w:val="fr-CH"/>
        </w:rPr>
        <w:t>30</w:t>
      </w:r>
      <w:r w:rsidRPr="000F3341">
        <w:rPr>
          <w:lang w:val="fr-CH"/>
        </w:rPr>
        <w:t xml:space="preserve"> et </w:t>
      </w:r>
      <w:r w:rsidRPr="000F3341">
        <w:rPr>
          <w:b/>
          <w:bCs/>
          <w:lang w:val="fr-CH"/>
        </w:rPr>
        <w:t>30A</w:t>
      </w:r>
      <w:r w:rsidRPr="000F3341">
        <w:rPr>
          <w:lang w:val="fr-CH"/>
        </w:rPr>
        <w:t xml:space="preserve"> et au § 8.17 de l'Article</w:t>
      </w:r>
      <w:r>
        <w:rPr>
          <w:lang w:val="fr-CH"/>
        </w:rPr>
        <w:t> </w:t>
      </w:r>
      <w:r w:rsidRPr="00520B7A">
        <w:rPr>
          <w:lang w:val="fr-CH"/>
        </w:rPr>
        <w:t>8</w:t>
      </w:r>
      <w:r w:rsidRPr="000F3341">
        <w:rPr>
          <w:lang w:val="fr-CH"/>
        </w:rPr>
        <w:t xml:space="preserve"> de l'Appendice </w:t>
      </w:r>
      <w:r w:rsidRPr="000F3341">
        <w:rPr>
          <w:b/>
          <w:bCs/>
          <w:lang w:val="fr-CH"/>
        </w:rPr>
        <w:t>30B</w:t>
      </w:r>
      <w:r w:rsidRPr="000F3341">
        <w:rPr>
          <w:lang w:val="fr-CH"/>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36118B" w14:paraId="5D6B4AD3" w14:textId="77777777" w:rsidTr="00786B67">
      <w:trPr>
        <w:cantSplit/>
      </w:trPr>
      <w:tc>
        <w:tcPr>
          <w:tcW w:w="1701" w:type="dxa"/>
          <w:tcBorders>
            <w:top w:val="single" w:sz="6" w:space="0" w:color="auto"/>
            <w:left w:val="single" w:sz="6" w:space="0" w:color="auto"/>
            <w:bottom w:val="single" w:sz="6" w:space="0" w:color="auto"/>
            <w:right w:val="single" w:sz="6" w:space="0" w:color="auto"/>
          </w:tcBorders>
        </w:tcPr>
        <w:p w14:paraId="3B2270AF" w14:textId="77777777" w:rsidR="0036118B" w:rsidRDefault="0036118B" w:rsidP="00770007">
          <w:pPr>
            <w:pStyle w:val="HeaderRegProc"/>
            <w:rPr>
              <w:lang w:val="fr-CH"/>
            </w:rPr>
          </w:pPr>
          <w:r>
            <w:rPr>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3349BCD2" w14:textId="798CEF87" w:rsidR="0036118B" w:rsidRDefault="0036118B" w:rsidP="0077000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D3054B">
            <w:rPr>
              <w:lang w:val="fr-CH"/>
            </w:rPr>
            <w:t>AR</w:t>
          </w:r>
          <w:r>
            <w:rPr>
              <w:lang w:val="fr-CH"/>
            </w:rPr>
            <w:fldChar w:fldCharType="end"/>
          </w:r>
          <w:r>
            <w:t>11</w:t>
          </w:r>
        </w:p>
      </w:tc>
      <w:tc>
        <w:tcPr>
          <w:tcW w:w="1701" w:type="dxa"/>
          <w:tcBorders>
            <w:top w:val="single" w:sz="6" w:space="0" w:color="auto"/>
            <w:left w:val="single" w:sz="6" w:space="0" w:color="auto"/>
            <w:bottom w:val="single" w:sz="6" w:space="0" w:color="auto"/>
            <w:right w:val="single" w:sz="6" w:space="0" w:color="auto"/>
          </w:tcBorders>
        </w:tcPr>
        <w:p w14:paraId="2EDD9690" w14:textId="77777777" w:rsidR="0036118B" w:rsidRDefault="0036118B" w:rsidP="00770007">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5E5D6BA" w14:textId="21306A88" w:rsidR="0036118B" w:rsidRDefault="0036118B" w:rsidP="00682E85">
          <w:pPr>
            <w:pStyle w:val="HeaderRegProc"/>
            <w:rPr>
              <w:lang w:val="fr-CH"/>
            </w:rPr>
          </w:pPr>
          <w:r>
            <w:rPr>
              <w:lang w:val="fr-CH"/>
            </w:rPr>
            <w:t>r</w:t>
          </w:r>
          <w:r w:rsidR="00BD20F4">
            <w:rPr>
              <w:lang w:val="fr-CH"/>
            </w:rPr>
            <w:t>é</w:t>
          </w:r>
          <w:r>
            <w:rPr>
              <w:lang w:val="fr-CH"/>
            </w:rPr>
            <w:t>v.</w:t>
          </w:r>
          <w:r w:rsidR="00B461E3">
            <w:rPr>
              <w:lang w:val="fr-CH"/>
            </w:rPr>
            <w:t xml:space="preserve"> </w:t>
          </w:r>
          <w:r w:rsidR="00526050">
            <w:rPr>
              <w:lang w:val="fr-CH"/>
            </w:rPr>
            <w:t>-</w:t>
          </w:r>
        </w:p>
      </w:tc>
    </w:tr>
  </w:tbl>
  <w:p w14:paraId="782275C3" w14:textId="77777777" w:rsidR="0036118B" w:rsidRDefault="0036118B">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F6B19" w14:textId="77777777" w:rsidR="0036118B" w:rsidRDefault="0036118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36118B" w14:paraId="4AED2583" w14:textId="77777777" w:rsidTr="001F0904">
      <w:trPr>
        <w:cantSplit/>
        <w:jc w:val="right"/>
      </w:trPr>
      <w:tc>
        <w:tcPr>
          <w:tcW w:w="1701" w:type="dxa"/>
          <w:tcBorders>
            <w:top w:val="single" w:sz="6" w:space="0" w:color="auto"/>
            <w:left w:val="single" w:sz="6" w:space="0" w:color="auto"/>
            <w:bottom w:val="single" w:sz="6" w:space="0" w:color="auto"/>
            <w:right w:val="single" w:sz="6" w:space="0" w:color="auto"/>
          </w:tcBorders>
        </w:tcPr>
        <w:p w14:paraId="4BBD3028" w14:textId="77777777" w:rsidR="0036118B" w:rsidRDefault="0036118B" w:rsidP="00FC272E">
          <w:pPr>
            <w:pStyle w:val="HeaderRegProc"/>
            <w:jc w:val="left"/>
            <w:rPr>
              <w:color w:val="000000"/>
              <w:lang w:val="fr-CH"/>
            </w:rPr>
          </w:pPr>
          <w:r>
            <w:rPr>
              <w:color w:val="000000"/>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33ED399C" w14:textId="2BD6A4A8" w:rsidR="0036118B" w:rsidRDefault="0036118B" w:rsidP="00FC272E">
          <w:pPr>
            <w:pStyle w:val="HeaderRegProc"/>
            <w:jc w:val="left"/>
            <w:rPr>
              <w:color w:val="000000"/>
              <w:lang w:val="fr-CH"/>
            </w:rPr>
          </w:pPr>
          <w:r>
            <w:rPr>
              <w:color w:val="000000"/>
              <w:lang w:val="fr-CH"/>
            </w:rPr>
            <w:fldChar w:fldCharType="begin"/>
          </w:r>
          <w:r>
            <w:rPr>
              <w:color w:val="000000"/>
              <w:lang w:val="fr-CH"/>
            </w:rPr>
            <w:instrText xml:space="preserve"> DOCPROPERTY "Header" \* MERGEFORMAT </w:instrText>
          </w:r>
          <w:r>
            <w:rPr>
              <w:color w:val="000000"/>
              <w:lang w:val="fr-CH"/>
            </w:rPr>
            <w:fldChar w:fldCharType="separate"/>
          </w:r>
          <w:r w:rsidR="00D3054B">
            <w:rPr>
              <w:color w:val="000000"/>
              <w:lang w:val="fr-CH"/>
            </w:rPr>
            <w:t>AR</w:t>
          </w:r>
          <w:r>
            <w:rPr>
              <w:color w:val="000000"/>
              <w:lang w:val="fr-CH"/>
            </w:rPr>
            <w:fldChar w:fldCharType="end"/>
          </w:r>
          <w:r>
            <w:rPr>
              <w:color w:val="000000"/>
            </w:rPr>
            <w:fldChar w:fldCharType="begin"/>
          </w:r>
          <w:r>
            <w:rPr>
              <w:color w:val="000000"/>
              <w:lang w:val="fr-CH"/>
            </w:rPr>
            <w:instrText>styleref href2</w:instrText>
          </w:r>
          <w:r>
            <w:rPr>
              <w:color w:val="000000"/>
            </w:rPr>
            <w:fldChar w:fldCharType="separate"/>
          </w:r>
          <w:r w:rsidR="00D3054B">
            <w:rPr>
              <w:noProof/>
              <w:color w:val="000000"/>
              <w:lang w:val="fr-CH"/>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2EC7EFAA" w14:textId="77777777" w:rsidR="0036118B" w:rsidRDefault="0036118B" w:rsidP="001F0904">
          <w:pPr>
            <w:pStyle w:val="HeaderRegProc"/>
            <w:jc w:val="left"/>
            <w:rPr>
              <w:color w:val="000000"/>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31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7420601" w14:textId="2F1E8622" w:rsidR="0036118B" w:rsidRDefault="0036118B" w:rsidP="001F0904">
          <w:pPr>
            <w:pStyle w:val="HeaderRegProc"/>
            <w:jc w:val="left"/>
            <w:rPr>
              <w:color w:val="000000"/>
              <w:lang w:val="fr-CH"/>
            </w:rPr>
          </w:pPr>
          <w:r>
            <w:rPr>
              <w:color w:val="000000"/>
              <w:lang w:val="fr-CH"/>
            </w:rPr>
            <w:t>rév.</w:t>
          </w:r>
          <w:r w:rsidR="00B461E3">
            <w:rPr>
              <w:color w:val="000000"/>
              <w:lang w:val="fr-CH"/>
            </w:rPr>
            <w:t xml:space="preserve"> </w:t>
          </w:r>
          <w:r>
            <w:rPr>
              <w:color w:val="000000"/>
              <w:lang w:val="fr-CH"/>
            </w:rPr>
            <w:t>-</w:t>
          </w:r>
        </w:p>
      </w:tc>
    </w:tr>
  </w:tbl>
  <w:p w14:paraId="06C4E191" w14:textId="77777777" w:rsidR="0036118B" w:rsidRDefault="003611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664075" w14:paraId="41724BFA" w14:textId="77777777" w:rsidTr="001F0904">
      <w:trPr>
        <w:cantSplit/>
        <w:jc w:val="right"/>
      </w:trPr>
      <w:tc>
        <w:tcPr>
          <w:tcW w:w="1701" w:type="dxa"/>
          <w:tcBorders>
            <w:top w:val="single" w:sz="6" w:space="0" w:color="auto"/>
            <w:left w:val="single" w:sz="6" w:space="0" w:color="auto"/>
            <w:bottom w:val="single" w:sz="6" w:space="0" w:color="auto"/>
            <w:right w:val="single" w:sz="6" w:space="0" w:color="auto"/>
          </w:tcBorders>
        </w:tcPr>
        <w:p w14:paraId="4B968AC2" w14:textId="77777777" w:rsidR="00664075" w:rsidRDefault="00664075" w:rsidP="00FC272E">
          <w:pPr>
            <w:pStyle w:val="HeaderRegProc"/>
            <w:jc w:val="left"/>
            <w:rPr>
              <w:color w:val="000000"/>
              <w:lang w:val="fr-CH"/>
            </w:rPr>
          </w:pPr>
          <w:r>
            <w:rPr>
              <w:color w:val="000000"/>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695608B2" w14:textId="71945118" w:rsidR="00664075" w:rsidRDefault="00664075" w:rsidP="00FC272E">
          <w:pPr>
            <w:pStyle w:val="HeaderRegProc"/>
            <w:jc w:val="left"/>
            <w:rPr>
              <w:color w:val="000000"/>
              <w:lang w:val="fr-CH"/>
            </w:rPr>
          </w:pPr>
          <w:r>
            <w:rPr>
              <w:color w:val="000000"/>
              <w:lang w:val="fr-CH"/>
            </w:rPr>
            <w:fldChar w:fldCharType="begin"/>
          </w:r>
          <w:r>
            <w:rPr>
              <w:color w:val="000000"/>
              <w:lang w:val="fr-CH"/>
            </w:rPr>
            <w:instrText xml:space="preserve"> DOCPROPERTY "Header" \* MERGEFORMAT </w:instrText>
          </w:r>
          <w:r>
            <w:rPr>
              <w:color w:val="000000"/>
              <w:lang w:val="fr-CH"/>
            </w:rPr>
            <w:fldChar w:fldCharType="separate"/>
          </w:r>
          <w:r w:rsidR="00D3054B">
            <w:rPr>
              <w:color w:val="000000"/>
              <w:lang w:val="fr-CH"/>
            </w:rPr>
            <w:t>AR</w:t>
          </w:r>
          <w:r>
            <w:rPr>
              <w:color w:val="000000"/>
              <w:lang w:val="fr-CH"/>
            </w:rPr>
            <w:fldChar w:fldCharType="end"/>
          </w:r>
          <w:r>
            <w:rPr>
              <w:color w:val="000000"/>
            </w:rPr>
            <w:fldChar w:fldCharType="begin"/>
          </w:r>
          <w:r>
            <w:rPr>
              <w:color w:val="000000"/>
              <w:lang w:val="fr-CH"/>
            </w:rPr>
            <w:instrText>styleref href2</w:instrText>
          </w:r>
          <w:r>
            <w:rPr>
              <w:color w:val="000000"/>
            </w:rPr>
            <w:fldChar w:fldCharType="separate"/>
          </w:r>
          <w:r w:rsidR="00D3054B">
            <w:rPr>
              <w:noProof/>
              <w:color w:val="000000"/>
              <w:lang w:val="fr-CH"/>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249874CD" w14:textId="77777777" w:rsidR="00664075" w:rsidRDefault="00664075" w:rsidP="001F0904">
          <w:pPr>
            <w:pStyle w:val="HeaderRegProc"/>
            <w:jc w:val="left"/>
            <w:rPr>
              <w:color w:val="000000"/>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31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7C591AD" w14:textId="77777777" w:rsidR="00664075" w:rsidRDefault="00664075" w:rsidP="001F0904">
          <w:pPr>
            <w:pStyle w:val="HeaderRegProc"/>
            <w:jc w:val="left"/>
            <w:rPr>
              <w:color w:val="000000"/>
              <w:lang w:val="fr-CH"/>
            </w:rPr>
          </w:pPr>
          <w:r>
            <w:rPr>
              <w:color w:val="000000"/>
              <w:lang w:val="fr-CH"/>
            </w:rPr>
            <w:t>rév.-</w:t>
          </w:r>
        </w:p>
      </w:tc>
    </w:tr>
  </w:tbl>
  <w:p w14:paraId="58D97D27" w14:textId="77777777" w:rsidR="00664075" w:rsidRDefault="0066407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D96A92" w14:paraId="54720F79" w14:textId="77777777" w:rsidTr="001F0904">
      <w:trPr>
        <w:cantSplit/>
        <w:jc w:val="right"/>
      </w:trPr>
      <w:tc>
        <w:tcPr>
          <w:tcW w:w="1701" w:type="dxa"/>
          <w:tcBorders>
            <w:top w:val="single" w:sz="6" w:space="0" w:color="auto"/>
            <w:left w:val="single" w:sz="6" w:space="0" w:color="auto"/>
            <w:bottom w:val="single" w:sz="6" w:space="0" w:color="auto"/>
            <w:right w:val="single" w:sz="6" w:space="0" w:color="auto"/>
          </w:tcBorders>
        </w:tcPr>
        <w:p w14:paraId="1CE85946" w14:textId="77777777" w:rsidR="00D96A92" w:rsidRDefault="00D96A92" w:rsidP="00FC272E">
          <w:pPr>
            <w:pStyle w:val="HeaderRegProc"/>
            <w:jc w:val="left"/>
            <w:rPr>
              <w:color w:val="000000"/>
              <w:lang w:val="fr-CH"/>
            </w:rPr>
          </w:pPr>
          <w:r>
            <w:rPr>
              <w:color w:val="000000"/>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18B599FD" w14:textId="477222CD" w:rsidR="00D96A92" w:rsidRDefault="00D96A92" w:rsidP="00FC272E">
          <w:pPr>
            <w:pStyle w:val="HeaderRegProc"/>
            <w:jc w:val="left"/>
            <w:rPr>
              <w:color w:val="000000"/>
              <w:lang w:val="fr-CH"/>
            </w:rPr>
          </w:pPr>
          <w:r>
            <w:rPr>
              <w:color w:val="000000"/>
              <w:lang w:val="fr-CH"/>
            </w:rPr>
            <w:fldChar w:fldCharType="begin"/>
          </w:r>
          <w:r>
            <w:rPr>
              <w:color w:val="000000"/>
              <w:lang w:val="fr-CH"/>
            </w:rPr>
            <w:instrText xml:space="preserve"> DOCPROPERTY "Header" \* MERGEFORMAT </w:instrText>
          </w:r>
          <w:r>
            <w:rPr>
              <w:color w:val="000000"/>
              <w:lang w:val="fr-CH"/>
            </w:rPr>
            <w:fldChar w:fldCharType="separate"/>
          </w:r>
          <w:r w:rsidR="00D3054B">
            <w:rPr>
              <w:color w:val="000000"/>
              <w:lang w:val="fr-CH"/>
            </w:rPr>
            <w:t>AR</w:t>
          </w:r>
          <w:r>
            <w:rPr>
              <w:color w:val="000000"/>
              <w:lang w:val="fr-CH"/>
            </w:rPr>
            <w:fldChar w:fldCharType="end"/>
          </w:r>
          <w:r>
            <w:rPr>
              <w:color w:val="000000"/>
            </w:rPr>
            <w:fldChar w:fldCharType="begin"/>
          </w:r>
          <w:r>
            <w:rPr>
              <w:color w:val="000000"/>
              <w:lang w:val="fr-CH"/>
            </w:rPr>
            <w:instrText>styleref href2</w:instrText>
          </w:r>
          <w:r>
            <w:rPr>
              <w:color w:val="000000"/>
            </w:rPr>
            <w:fldChar w:fldCharType="separate"/>
          </w:r>
          <w:r w:rsidR="00D3054B">
            <w:rPr>
              <w:noProof/>
              <w:color w:val="000000"/>
              <w:lang w:val="fr-CH"/>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9E1444C" w14:textId="7FF2A748" w:rsidR="00D96A92" w:rsidRDefault="00D96A92" w:rsidP="001F0904">
          <w:pPr>
            <w:pStyle w:val="HeaderRegProc"/>
            <w:jc w:val="left"/>
            <w:rPr>
              <w:color w:val="000000"/>
              <w:lang w:val="fr-CH"/>
            </w:rPr>
          </w:pPr>
          <w:r>
            <w:rPr>
              <w:lang w:val="fr-FR"/>
            </w:rPr>
            <w:t xml:space="preserve">page </w:t>
          </w:r>
          <w:r w:rsidR="00CD386F">
            <w:rPr>
              <w:rStyle w:val="PageNumber"/>
            </w:rPr>
            <w:fldChar w:fldCharType="begin"/>
          </w:r>
          <w:r w:rsidR="00CD386F">
            <w:rPr>
              <w:rStyle w:val="PageNumber"/>
            </w:rPr>
            <w:instrText xml:space="preserve"> PAGE </w:instrText>
          </w:r>
          <w:r w:rsidR="00CD386F">
            <w:rPr>
              <w:rStyle w:val="PageNumber"/>
            </w:rPr>
            <w:fldChar w:fldCharType="separate"/>
          </w:r>
          <w:r w:rsidR="00CD386F">
            <w:rPr>
              <w:rStyle w:val="PageNumber"/>
            </w:rPr>
            <w:t>16</w:t>
          </w:r>
          <w:r w:rsidR="00CD386F">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205D2BB" w14:textId="4838019A" w:rsidR="00D96A92" w:rsidRDefault="00D96A92" w:rsidP="001F0904">
          <w:pPr>
            <w:pStyle w:val="HeaderRegProc"/>
            <w:jc w:val="left"/>
            <w:rPr>
              <w:color w:val="000000"/>
              <w:lang w:val="fr-CH"/>
            </w:rPr>
          </w:pPr>
          <w:r>
            <w:rPr>
              <w:color w:val="000000"/>
              <w:lang w:val="fr-CH"/>
            </w:rPr>
            <w:t>rév. -</w:t>
          </w:r>
        </w:p>
      </w:tc>
    </w:tr>
  </w:tbl>
  <w:p w14:paraId="36C86FFF" w14:textId="77777777" w:rsidR="00D96A92" w:rsidRDefault="00D96A9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A12C0" w14:paraId="416F3236" w14:textId="77777777" w:rsidTr="00786B67">
      <w:trPr>
        <w:cantSplit/>
      </w:trPr>
      <w:tc>
        <w:tcPr>
          <w:tcW w:w="1701" w:type="dxa"/>
          <w:tcBorders>
            <w:top w:val="single" w:sz="6" w:space="0" w:color="auto"/>
            <w:left w:val="single" w:sz="6" w:space="0" w:color="auto"/>
            <w:bottom w:val="single" w:sz="6" w:space="0" w:color="auto"/>
            <w:right w:val="single" w:sz="6" w:space="0" w:color="auto"/>
          </w:tcBorders>
        </w:tcPr>
        <w:p w14:paraId="241949FD" w14:textId="77777777" w:rsidR="00BA12C0" w:rsidRDefault="00BA12C0" w:rsidP="00770007">
          <w:pPr>
            <w:pStyle w:val="HeaderRegProc"/>
            <w:rPr>
              <w:lang w:val="fr-CH"/>
            </w:rPr>
          </w:pPr>
          <w:r>
            <w:rPr>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79382B27" w14:textId="367CD53B" w:rsidR="00BA12C0" w:rsidRDefault="00BA12C0" w:rsidP="0077000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D3054B">
            <w:rPr>
              <w:lang w:val="fr-CH"/>
            </w:rPr>
            <w:t>AR</w:t>
          </w:r>
          <w:r>
            <w:rPr>
              <w:lang w:val="fr-CH"/>
            </w:rPr>
            <w:fldChar w:fldCharType="end"/>
          </w:r>
          <w:r>
            <w:t>11</w:t>
          </w:r>
        </w:p>
      </w:tc>
      <w:tc>
        <w:tcPr>
          <w:tcW w:w="1701" w:type="dxa"/>
          <w:tcBorders>
            <w:top w:val="single" w:sz="6" w:space="0" w:color="auto"/>
            <w:left w:val="single" w:sz="6" w:space="0" w:color="auto"/>
            <w:bottom w:val="single" w:sz="6" w:space="0" w:color="auto"/>
            <w:right w:val="single" w:sz="6" w:space="0" w:color="auto"/>
          </w:tcBorders>
        </w:tcPr>
        <w:p w14:paraId="7ADC60E3" w14:textId="190F9713" w:rsidR="00BA12C0" w:rsidRDefault="00BA12C0" w:rsidP="00770007">
          <w:pPr>
            <w:pStyle w:val="HeaderRegProc"/>
            <w:rPr>
              <w:lang w:val="fr-CH"/>
            </w:rPr>
          </w:pPr>
          <w:r>
            <w:rPr>
              <w:lang w:val="fr-CH"/>
            </w:rPr>
            <w:t xml:space="preserve">page </w:t>
          </w:r>
          <w:r w:rsidR="00CD386F">
            <w:rPr>
              <w:rStyle w:val="PageNumber"/>
            </w:rPr>
            <w:fldChar w:fldCharType="begin"/>
          </w:r>
          <w:r w:rsidR="00CD386F">
            <w:rPr>
              <w:rStyle w:val="PageNumber"/>
            </w:rPr>
            <w:instrText xml:space="preserve"> PAGE </w:instrText>
          </w:r>
          <w:r w:rsidR="00CD386F">
            <w:rPr>
              <w:rStyle w:val="PageNumber"/>
            </w:rPr>
            <w:fldChar w:fldCharType="separate"/>
          </w:r>
          <w:r w:rsidR="00CD386F">
            <w:rPr>
              <w:rStyle w:val="PageNumber"/>
            </w:rPr>
            <w:t>16</w:t>
          </w:r>
          <w:r w:rsidR="00CD386F">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37DF00E" w14:textId="1F95C857" w:rsidR="00BA12C0" w:rsidRDefault="00BA12C0" w:rsidP="00682E85">
          <w:pPr>
            <w:pStyle w:val="HeaderRegProc"/>
            <w:rPr>
              <w:lang w:val="fr-CH"/>
            </w:rPr>
          </w:pPr>
          <w:r>
            <w:rPr>
              <w:lang w:val="fr-CH"/>
            </w:rPr>
            <w:t>r</w:t>
          </w:r>
          <w:r w:rsidR="00EC5F67">
            <w:rPr>
              <w:lang w:val="fr-CH"/>
            </w:rPr>
            <w:t>é</w:t>
          </w:r>
          <w:r>
            <w:rPr>
              <w:lang w:val="fr-CH"/>
            </w:rPr>
            <w:t>v.</w:t>
          </w:r>
          <w:r>
            <w:t xml:space="preserve"> </w:t>
          </w:r>
          <w:r w:rsidR="00CD386F">
            <w:t>-</w:t>
          </w:r>
        </w:p>
      </w:tc>
    </w:tr>
  </w:tbl>
  <w:p w14:paraId="61E61576" w14:textId="77777777" w:rsidR="00BA12C0" w:rsidRDefault="00BA12C0">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0F5A20" w14:paraId="1D966A74" w14:textId="77777777" w:rsidTr="001F0904">
      <w:trPr>
        <w:cantSplit/>
        <w:jc w:val="right"/>
      </w:trPr>
      <w:tc>
        <w:tcPr>
          <w:tcW w:w="1701" w:type="dxa"/>
          <w:tcBorders>
            <w:top w:val="single" w:sz="6" w:space="0" w:color="auto"/>
            <w:left w:val="single" w:sz="6" w:space="0" w:color="auto"/>
            <w:bottom w:val="single" w:sz="6" w:space="0" w:color="auto"/>
            <w:right w:val="single" w:sz="6" w:space="0" w:color="auto"/>
          </w:tcBorders>
        </w:tcPr>
        <w:p w14:paraId="007999DC" w14:textId="77777777" w:rsidR="000F5A20" w:rsidRDefault="000F5A20" w:rsidP="00FC272E">
          <w:pPr>
            <w:pStyle w:val="HeaderRegProc"/>
            <w:jc w:val="left"/>
            <w:rPr>
              <w:color w:val="000000"/>
              <w:lang w:val="fr-CH"/>
            </w:rPr>
          </w:pPr>
          <w:r>
            <w:rPr>
              <w:color w:val="000000"/>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54104C76" w14:textId="6D58AD0C" w:rsidR="000F5A20" w:rsidRDefault="000F5A20" w:rsidP="00FC272E">
          <w:pPr>
            <w:pStyle w:val="HeaderRegProc"/>
            <w:jc w:val="left"/>
            <w:rPr>
              <w:color w:val="000000"/>
              <w:lang w:val="fr-CH"/>
            </w:rPr>
          </w:pPr>
          <w:r>
            <w:rPr>
              <w:color w:val="000000"/>
              <w:lang w:val="fr-CH"/>
            </w:rPr>
            <w:fldChar w:fldCharType="begin"/>
          </w:r>
          <w:r>
            <w:rPr>
              <w:color w:val="000000"/>
              <w:lang w:val="fr-CH"/>
            </w:rPr>
            <w:instrText xml:space="preserve"> DOCPROPERTY "Header" \* MERGEFORMAT </w:instrText>
          </w:r>
          <w:r>
            <w:rPr>
              <w:color w:val="000000"/>
              <w:lang w:val="fr-CH"/>
            </w:rPr>
            <w:fldChar w:fldCharType="separate"/>
          </w:r>
          <w:r w:rsidR="00D3054B">
            <w:rPr>
              <w:color w:val="000000"/>
              <w:lang w:val="fr-CH"/>
            </w:rPr>
            <w:t>AR</w:t>
          </w:r>
          <w:r>
            <w:rPr>
              <w:color w:val="000000"/>
              <w:lang w:val="fr-CH"/>
            </w:rPr>
            <w:fldChar w:fldCharType="end"/>
          </w:r>
          <w:r>
            <w:rPr>
              <w:color w:val="000000"/>
            </w:rPr>
            <w:fldChar w:fldCharType="begin"/>
          </w:r>
          <w:r>
            <w:rPr>
              <w:color w:val="000000"/>
              <w:lang w:val="fr-CH"/>
            </w:rPr>
            <w:instrText>styleref href2</w:instrText>
          </w:r>
          <w:r>
            <w:rPr>
              <w:color w:val="000000"/>
            </w:rPr>
            <w:fldChar w:fldCharType="separate"/>
          </w:r>
          <w:r w:rsidR="00D3054B">
            <w:rPr>
              <w:noProof/>
              <w:color w:val="000000"/>
              <w:lang w:val="fr-CH"/>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105225E9" w14:textId="4AEA18EC" w:rsidR="000F5A20" w:rsidRDefault="000F5A20" w:rsidP="001F0904">
          <w:pPr>
            <w:pStyle w:val="HeaderRegProc"/>
            <w:jc w:val="left"/>
            <w:rPr>
              <w:color w:val="000000"/>
              <w:lang w:val="fr-CH"/>
            </w:rPr>
          </w:pPr>
          <w:r>
            <w:rPr>
              <w:lang w:val="fr-FR"/>
            </w:rPr>
            <w:t xml:space="preserve">page </w:t>
          </w:r>
          <w:r>
            <w:rPr>
              <w:rStyle w:val="PageNumber"/>
            </w:rPr>
            <w:t>25</w:t>
          </w:r>
        </w:p>
      </w:tc>
      <w:tc>
        <w:tcPr>
          <w:tcW w:w="1701" w:type="dxa"/>
          <w:tcBorders>
            <w:top w:val="single" w:sz="6" w:space="0" w:color="auto"/>
            <w:left w:val="single" w:sz="6" w:space="0" w:color="auto"/>
            <w:bottom w:val="single" w:sz="6" w:space="0" w:color="auto"/>
            <w:right w:val="single" w:sz="6" w:space="0" w:color="auto"/>
          </w:tcBorders>
        </w:tcPr>
        <w:p w14:paraId="3A850ED2" w14:textId="77777777" w:rsidR="000F5A20" w:rsidRDefault="000F5A20" w:rsidP="001F0904">
          <w:pPr>
            <w:pStyle w:val="HeaderRegProc"/>
            <w:jc w:val="left"/>
            <w:rPr>
              <w:color w:val="000000"/>
              <w:lang w:val="fr-CH"/>
            </w:rPr>
          </w:pPr>
          <w:r>
            <w:rPr>
              <w:color w:val="000000"/>
              <w:lang w:val="fr-CH"/>
            </w:rPr>
            <w:t>rév. 2</w:t>
          </w:r>
        </w:p>
      </w:tc>
    </w:tr>
  </w:tbl>
  <w:p w14:paraId="2E7EA7A7" w14:textId="77777777" w:rsidR="000F5A20" w:rsidRDefault="000F5A20">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A12C0" w14:paraId="232E5FE8" w14:textId="77777777" w:rsidTr="001F0904">
      <w:trPr>
        <w:cantSplit/>
        <w:jc w:val="right"/>
      </w:trPr>
      <w:tc>
        <w:tcPr>
          <w:tcW w:w="1701" w:type="dxa"/>
          <w:tcBorders>
            <w:top w:val="single" w:sz="6" w:space="0" w:color="auto"/>
            <w:left w:val="single" w:sz="6" w:space="0" w:color="auto"/>
            <w:bottom w:val="single" w:sz="6" w:space="0" w:color="auto"/>
            <w:right w:val="single" w:sz="6" w:space="0" w:color="auto"/>
          </w:tcBorders>
        </w:tcPr>
        <w:p w14:paraId="598377DC" w14:textId="77777777" w:rsidR="00BA12C0" w:rsidRDefault="00BA12C0" w:rsidP="00FC272E">
          <w:pPr>
            <w:pStyle w:val="HeaderRegProc"/>
            <w:jc w:val="left"/>
            <w:rPr>
              <w:color w:val="000000"/>
              <w:lang w:val="fr-CH"/>
            </w:rPr>
          </w:pPr>
          <w:r>
            <w:rPr>
              <w:color w:val="000000"/>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239A080B" w14:textId="7A96F721" w:rsidR="00BA12C0" w:rsidRDefault="00BA12C0" w:rsidP="00FC272E">
          <w:pPr>
            <w:pStyle w:val="HeaderRegProc"/>
            <w:jc w:val="left"/>
            <w:rPr>
              <w:color w:val="000000"/>
              <w:lang w:val="fr-CH"/>
            </w:rPr>
          </w:pPr>
          <w:r>
            <w:rPr>
              <w:color w:val="000000"/>
              <w:lang w:val="fr-CH"/>
            </w:rPr>
            <w:fldChar w:fldCharType="begin"/>
          </w:r>
          <w:r>
            <w:rPr>
              <w:color w:val="000000"/>
              <w:lang w:val="fr-CH"/>
            </w:rPr>
            <w:instrText xml:space="preserve"> DOCPROPERTY "Header" \* MERGEFORMAT </w:instrText>
          </w:r>
          <w:r>
            <w:rPr>
              <w:color w:val="000000"/>
              <w:lang w:val="fr-CH"/>
            </w:rPr>
            <w:fldChar w:fldCharType="separate"/>
          </w:r>
          <w:r w:rsidR="00D3054B">
            <w:rPr>
              <w:color w:val="000000"/>
              <w:lang w:val="fr-CH"/>
            </w:rPr>
            <w:t>AR</w:t>
          </w:r>
          <w:r>
            <w:rPr>
              <w:color w:val="000000"/>
              <w:lang w:val="fr-CH"/>
            </w:rPr>
            <w:fldChar w:fldCharType="end"/>
          </w:r>
          <w:r>
            <w:rPr>
              <w:color w:val="000000"/>
            </w:rPr>
            <w:fldChar w:fldCharType="begin"/>
          </w:r>
          <w:r>
            <w:rPr>
              <w:color w:val="000000"/>
              <w:lang w:val="fr-CH"/>
            </w:rPr>
            <w:instrText>styleref href2</w:instrText>
          </w:r>
          <w:r>
            <w:rPr>
              <w:color w:val="000000"/>
            </w:rPr>
            <w:fldChar w:fldCharType="separate"/>
          </w:r>
          <w:r w:rsidR="00D3054B">
            <w:rPr>
              <w:noProof/>
              <w:color w:val="000000"/>
              <w:lang w:val="fr-CH"/>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67335A1F" w14:textId="0E537CCD" w:rsidR="00BA12C0" w:rsidRDefault="00BA12C0" w:rsidP="001F0904">
          <w:pPr>
            <w:pStyle w:val="HeaderRegProc"/>
            <w:jc w:val="left"/>
            <w:rPr>
              <w:color w:val="000000"/>
              <w:lang w:val="fr-CH"/>
            </w:rPr>
          </w:pPr>
          <w:r>
            <w:rPr>
              <w:lang w:val="fr-FR"/>
            </w:rPr>
            <w:t xml:space="preserve">page </w:t>
          </w:r>
          <w:r w:rsidR="00CD386F">
            <w:rPr>
              <w:rStyle w:val="PageNumber"/>
            </w:rPr>
            <w:fldChar w:fldCharType="begin"/>
          </w:r>
          <w:r w:rsidR="00CD386F">
            <w:rPr>
              <w:rStyle w:val="PageNumber"/>
            </w:rPr>
            <w:instrText xml:space="preserve"> PAGE </w:instrText>
          </w:r>
          <w:r w:rsidR="00CD386F">
            <w:rPr>
              <w:rStyle w:val="PageNumber"/>
            </w:rPr>
            <w:fldChar w:fldCharType="separate"/>
          </w:r>
          <w:r w:rsidR="00CD386F">
            <w:rPr>
              <w:rStyle w:val="PageNumber"/>
            </w:rPr>
            <w:t>16</w:t>
          </w:r>
          <w:r w:rsidR="00CD386F">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8154615" w14:textId="794FB311" w:rsidR="00BA12C0" w:rsidRDefault="00BA12C0" w:rsidP="001F0904">
          <w:pPr>
            <w:pStyle w:val="HeaderRegProc"/>
            <w:jc w:val="left"/>
            <w:rPr>
              <w:color w:val="000000"/>
              <w:lang w:val="fr-CH"/>
            </w:rPr>
          </w:pPr>
          <w:r>
            <w:rPr>
              <w:color w:val="000000"/>
              <w:lang w:val="fr-CH"/>
            </w:rPr>
            <w:t>rév.</w:t>
          </w:r>
          <w:r w:rsidR="000F5A20">
            <w:rPr>
              <w:color w:val="000000"/>
              <w:lang w:val="fr-CH"/>
            </w:rPr>
            <w:t xml:space="preserve"> </w:t>
          </w:r>
          <w:r>
            <w:rPr>
              <w:color w:val="000000"/>
              <w:lang w:val="fr-CH"/>
            </w:rPr>
            <w:t>-</w:t>
          </w:r>
        </w:p>
      </w:tc>
    </w:tr>
  </w:tbl>
  <w:p w14:paraId="45221DAC" w14:textId="77777777" w:rsidR="00BA12C0" w:rsidRDefault="00BA12C0">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0E11F7" w14:paraId="426F55FB" w14:textId="77777777" w:rsidTr="00717323">
      <w:trPr>
        <w:cantSplit/>
        <w:trHeight w:val="170"/>
      </w:trPr>
      <w:tc>
        <w:tcPr>
          <w:tcW w:w="1701" w:type="dxa"/>
          <w:tcBorders>
            <w:top w:val="single" w:sz="6" w:space="0" w:color="auto"/>
            <w:left w:val="single" w:sz="6" w:space="0" w:color="auto"/>
            <w:bottom w:val="single" w:sz="6" w:space="0" w:color="auto"/>
            <w:right w:val="single" w:sz="6" w:space="0" w:color="auto"/>
          </w:tcBorders>
        </w:tcPr>
        <w:p w14:paraId="19E15094" w14:textId="77777777" w:rsidR="000E11F7" w:rsidRDefault="000E11F7" w:rsidP="00770007">
          <w:pPr>
            <w:pStyle w:val="HeaderRegProc"/>
            <w:rPr>
              <w:lang w:val="fr-CH"/>
            </w:rPr>
          </w:pPr>
          <w:r>
            <w:rPr>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73DCFEA7" w14:textId="7E8AEEC3" w:rsidR="000E11F7" w:rsidRDefault="000E11F7" w:rsidP="0077000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D3054B">
            <w:rPr>
              <w:lang w:val="fr-CH"/>
            </w:rPr>
            <w:t>AR</w:t>
          </w:r>
          <w:r>
            <w:rPr>
              <w:lang w:val="fr-CH"/>
            </w:rPr>
            <w:fldChar w:fldCharType="end"/>
          </w:r>
          <w:r>
            <w:t>11</w:t>
          </w:r>
        </w:p>
      </w:tc>
      <w:tc>
        <w:tcPr>
          <w:tcW w:w="1701" w:type="dxa"/>
          <w:tcBorders>
            <w:top w:val="single" w:sz="6" w:space="0" w:color="auto"/>
            <w:left w:val="single" w:sz="6" w:space="0" w:color="auto"/>
            <w:bottom w:val="single" w:sz="6" w:space="0" w:color="auto"/>
            <w:right w:val="single" w:sz="6" w:space="0" w:color="auto"/>
          </w:tcBorders>
        </w:tcPr>
        <w:p w14:paraId="0022320D" w14:textId="45D0F041" w:rsidR="000E11F7" w:rsidRDefault="000E11F7" w:rsidP="00770007">
          <w:pPr>
            <w:pStyle w:val="HeaderRegProc"/>
            <w:rPr>
              <w:lang w:val="fr-CH"/>
            </w:rPr>
          </w:pPr>
          <w:r>
            <w:rPr>
              <w:lang w:val="fr-CH"/>
            </w:rPr>
            <w:t xml:space="preserve">page </w:t>
          </w:r>
          <w:r w:rsidR="00151C72">
            <w:rPr>
              <w:rStyle w:val="PageNumber"/>
            </w:rPr>
            <w:fldChar w:fldCharType="begin"/>
          </w:r>
          <w:r w:rsidR="00151C72">
            <w:rPr>
              <w:rStyle w:val="PageNumber"/>
            </w:rPr>
            <w:instrText xml:space="preserve"> PAGE </w:instrText>
          </w:r>
          <w:r w:rsidR="00151C72">
            <w:rPr>
              <w:rStyle w:val="PageNumber"/>
            </w:rPr>
            <w:fldChar w:fldCharType="separate"/>
          </w:r>
          <w:r w:rsidR="00151C72">
            <w:rPr>
              <w:rStyle w:val="PageNumber"/>
            </w:rPr>
            <w:t>16</w:t>
          </w:r>
          <w:r w:rsidR="00151C72">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AE6C70F" w14:textId="6D7F6453" w:rsidR="000E11F7" w:rsidRDefault="000E11F7" w:rsidP="00682E85">
          <w:pPr>
            <w:pStyle w:val="HeaderRegProc"/>
            <w:rPr>
              <w:lang w:val="fr-CH"/>
            </w:rPr>
          </w:pPr>
          <w:r>
            <w:rPr>
              <w:lang w:val="fr-CH"/>
            </w:rPr>
            <w:t>r</w:t>
          </w:r>
          <w:r w:rsidR="00EC5F67">
            <w:rPr>
              <w:lang w:val="fr-CH"/>
            </w:rPr>
            <w:t>é</w:t>
          </w:r>
          <w:r>
            <w:rPr>
              <w:lang w:val="fr-CH"/>
            </w:rPr>
            <w:t>v.</w:t>
          </w:r>
          <w:r w:rsidR="000F5A20">
            <w:rPr>
              <w:lang w:val="fr-CH"/>
            </w:rPr>
            <w:t xml:space="preserve"> </w:t>
          </w:r>
          <w:r>
            <w:t>-</w:t>
          </w:r>
        </w:p>
      </w:tc>
    </w:tr>
  </w:tbl>
  <w:p w14:paraId="444243A4" w14:textId="77777777" w:rsidR="000E11F7" w:rsidRPr="00ED6E0E" w:rsidRDefault="000E11F7" w:rsidP="00717323">
    <w:pPr>
      <w:pStyle w:val="Header"/>
      <w:spacing w:before="120"/>
      <w:rPr>
        <w:sz w:val="16"/>
        <w:szCs w:val="16"/>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0E11F7" w14:paraId="2CDA1A17" w14:textId="77777777" w:rsidTr="001F0904">
      <w:trPr>
        <w:cantSplit/>
        <w:jc w:val="right"/>
      </w:trPr>
      <w:tc>
        <w:tcPr>
          <w:tcW w:w="1701" w:type="dxa"/>
          <w:tcBorders>
            <w:top w:val="single" w:sz="6" w:space="0" w:color="auto"/>
            <w:left w:val="single" w:sz="6" w:space="0" w:color="auto"/>
            <w:bottom w:val="single" w:sz="6" w:space="0" w:color="auto"/>
            <w:right w:val="single" w:sz="6" w:space="0" w:color="auto"/>
          </w:tcBorders>
        </w:tcPr>
        <w:p w14:paraId="4FD5B9A8" w14:textId="77777777" w:rsidR="000E11F7" w:rsidRDefault="000E11F7" w:rsidP="00FC272E">
          <w:pPr>
            <w:pStyle w:val="HeaderRegProc"/>
            <w:jc w:val="left"/>
            <w:rPr>
              <w:color w:val="000000"/>
              <w:lang w:val="fr-CH"/>
            </w:rPr>
          </w:pPr>
          <w:r>
            <w:rPr>
              <w:color w:val="000000"/>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55403A12" w14:textId="2653B587" w:rsidR="000E11F7" w:rsidRDefault="000E11F7" w:rsidP="00FC272E">
          <w:pPr>
            <w:pStyle w:val="HeaderRegProc"/>
            <w:jc w:val="left"/>
            <w:rPr>
              <w:color w:val="000000"/>
              <w:lang w:val="fr-CH"/>
            </w:rPr>
          </w:pPr>
          <w:r>
            <w:rPr>
              <w:color w:val="000000"/>
              <w:lang w:val="fr-CH"/>
            </w:rPr>
            <w:fldChar w:fldCharType="begin"/>
          </w:r>
          <w:r>
            <w:rPr>
              <w:color w:val="000000"/>
              <w:lang w:val="fr-CH"/>
            </w:rPr>
            <w:instrText xml:space="preserve"> DOCPROPERTY "Header" \* MERGEFORMAT </w:instrText>
          </w:r>
          <w:r>
            <w:rPr>
              <w:color w:val="000000"/>
              <w:lang w:val="fr-CH"/>
            </w:rPr>
            <w:fldChar w:fldCharType="separate"/>
          </w:r>
          <w:r w:rsidR="00D3054B">
            <w:rPr>
              <w:color w:val="000000"/>
              <w:lang w:val="fr-CH"/>
            </w:rPr>
            <w:t>AR</w:t>
          </w:r>
          <w:r>
            <w:rPr>
              <w:color w:val="000000"/>
              <w:lang w:val="fr-CH"/>
            </w:rPr>
            <w:fldChar w:fldCharType="end"/>
          </w:r>
          <w:r>
            <w:rPr>
              <w:color w:val="000000"/>
            </w:rPr>
            <w:fldChar w:fldCharType="begin"/>
          </w:r>
          <w:r>
            <w:rPr>
              <w:color w:val="000000"/>
              <w:lang w:val="fr-CH"/>
            </w:rPr>
            <w:instrText>styleref href2</w:instrText>
          </w:r>
          <w:r>
            <w:rPr>
              <w:color w:val="000000"/>
            </w:rPr>
            <w:fldChar w:fldCharType="separate"/>
          </w:r>
          <w:r w:rsidR="00D3054B">
            <w:rPr>
              <w:noProof/>
              <w:color w:val="000000"/>
              <w:lang w:val="fr-CH"/>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1C00AECA" w14:textId="249173E6" w:rsidR="000E11F7" w:rsidRDefault="000E11F7" w:rsidP="001F0904">
          <w:pPr>
            <w:pStyle w:val="HeaderRegProc"/>
            <w:jc w:val="left"/>
            <w:rPr>
              <w:color w:val="000000"/>
              <w:lang w:val="fr-CH"/>
            </w:rPr>
          </w:pPr>
          <w:r>
            <w:rPr>
              <w:lang w:val="fr-FR"/>
            </w:rPr>
            <w:t xml:space="preserve">page </w:t>
          </w:r>
          <w:r w:rsidR="00151C72">
            <w:rPr>
              <w:rStyle w:val="PageNumber"/>
            </w:rPr>
            <w:fldChar w:fldCharType="begin"/>
          </w:r>
          <w:r w:rsidR="00151C72">
            <w:rPr>
              <w:rStyle w:val="PageNumber"/>
            </w:rPr>
            <w:instrText xml:space="preserve"> PAGE </w:instrText>
          </w:r>
          <w:r w:rsidR="00151C72">
            <w:rPr>
              <w:rStyle w:val="PageNumber"/>
            </w:rPr>
            <w:fldChar w:fldCharType="separate"/>
          </w:r>
          <w:r w:rsidR="00151C72">
            <w:rPr>
              <w:rStyle w:val="PageNumber"/>
            </w:rPr>
            <w:t>16</w:t>
          </w:r>
          <w:r w:rsidR="00151C72">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13E4496" w14:textId="430835C0" w:rsidR="000E11F7" w:rsidRDefault="000E11F7" w:rsidP="001F0904">
          <w:pPr>
            <w:pStyle w:val="HeaderRegProc"/>
            <w:jc w:val="left"/>
            <w:rPr>
              <w:color w:val="000000"/>
              <w:lang w:val="fr-CH"/>
            </w:rPr>
          </w:pPr>
          <w:r>
            <w:rPr>
              <w:color w:val="000000"/>
              <w:lang w:val="fr-CH"/>
            </w:rPr>
            <w:t>rév.</w:t>
          </w:r>
          <w:r w:rsidR="000F5A20">
            <w:rPr>
              <w:color w:val="000000"/>
              <w:lang w:val="fr-CH"/>
            </w:rPr>
            <w:t xml:space="preserve"> </w:t>
          </w:r>
          <w:r>
            <w:rPr>
              <w:color w:val="000000"/>
              <w:lang w:val="fr-CH"/>
            </w:rPr>
            <w:t>-</w:t>
          </w:r>
        </w:p>
      </w:tc>
    </w:tr>
  </w:tbl>
  <w:p w14:paraId="4627B7E7" w14:textId="77777777" w:rsidR="000E11F7" w:rsidRDefault="000E11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225C4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312D5C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D80C33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17A08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604E8F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5A69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0E255F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02B2D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F3EA38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5ACBDA4"/>
    <w:lvl w:ilvl="0">
      <w:start w:val="1"/>
      <w:numFmt w:val="bullet"/>
      <w:lvlText w:val=""/>
      <w:lvlJc w:val="left"/>
      <w:pPr>
        <w:tabs>
          <w:tab w:val="num" w:pos="360"/>
        </w:tabs>
        <w:ind w:left="360" w:hanging="360"/>
      </w:pPr>
      <w:rPr>
        <w:rFonts w:ascii="Symbol" w:hAnsi="Symbol" w:hint="default"/>
      </w:rPr>
    </w:lvl>
  </w:abstractNum>
  <w:num w:numId="1" w16cid:durableId="1668245437">
    <w:abstractNumId w:val="0"/>
  </w:num>
  <w:num w:numId="2" w16cid:durableId="164706985">
    <w:abstractNumId w:val="1"/>
  </w:num>
  <w:num w:numId="3" w16cid:durableId="1048800084">
    <w:abstractNumId w:val="2"/>
  </w:num>
  <w:num w:numId="4" w16cid:durableId="1835099921">
    <w:abstractNumId w:val="3"/>
  </w:num>
  <w:num w:numId="5" w16cid:durableId="1416629584">
    <w:abstractNumId w:val="8"/>
  </w:num>
  <w:num w:numId="6" w16cid:durableId="1242640013">
    <w:abstractNumId w:val="4"/>
  </w:num>
  <w:num w:numId="7" w16cid:durableId="257830903">
    <w:abstractNumId w:val="5"/>
  </w:num>
  <w:num w:numId="8" w16cid:durableId="543831582">
    <w:abstractNumId w:val="6"/>
  </w:num>
  <w:num w:numId="9" w16cid:durableId="306473551">
    <w:abstractNumId w:val="7"/>
  </w:num>
  <w:num w:numId="10" w16cid:durableId="1982535105">
    <w:abstractNumId w:val="9"/>
  </w:num>
  <w:num w:numId="11" w16cid:durableId="328366286">
    <w:abstractNumId w:val="8"/>
  </w:num>
  <w:num w:numId="12" w16cid:durableId="1621063256">
    <w:abstractNumId w:val="3"/>
  </w:num>
  <w:num w:numId="13" w16cid:durableId="1156334734">
    <w:abstractNumId w:val="2"/>
  </w:num>
  <w:num w:numId="14" w16cid:durableId="1347901565">
    <w:abstractNumId w:val="1"/>
  </w:num>
  <w:num w:numId="15" w16cid:durableId="808401704">
    <w:abstractNumId w:val="0"/>
  </w:num>
  <w:num w:numId="16" w16cid:durableId="1188257839">
    <w:abstractNumId w:val="8"/>
  </w:num>
  <w:num w:numId="17" w16cid:durableId="1840194033">
    <w:abstractNumId w:val="3"/>
  </w:num>
  <w:num w:numId="18" w16cid:durableId="980115735">
    <w:abstractNumId w:val="2"/>
  </w:num>
  <w:num w:numId="19" w16cid:durableId="316883810">
    <w:abstractNumId w:val="1"/>
  </w:num>
  <w:num w:numId="20" w16cid:durableId="2530572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mirrorMargins/>
  <w:attachedTemplate r:id="rId1"/>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472D5"/>
    <w:rsid w:val="00000D68"/>
    <w:rsid w:val="00003A85"/>
    <w:rsid w:val="00011DD6"/>
    <w:rsid w:val="00014F87"/>
    <w:rsid w:val="00045A37"/>
    <w:rsid w:val="000472D5"/>
    <w:rsid w:val="00064159"/>
    <w:rsid w:val="000751EB"/>
    <w:rsid w:val="00093869"/>
    <w:rsid w:val="000B15B3"/>
    <w:rsid w:val="000B2AA2"/>
    <w:rsid w:val="000C6D0C"/>
    <w:rsid w:val="000D76C5"/>
    <w:rsid w:val="000E11F7"/>
    <w:rsid w:val="000E7C11"/>
    <w:rsid w:val="000F3341"/>
    <w:rsid w:val="000F5A20"/>
    <w:rsid w:val="00106B7C"/>
    <w:rsid w:val="00121A73"/>
    <w:rsid w:val="00123673"/>
    <w:rsid w:val="00150476"/>
    <w:rsid w:val="00150800"/>
    <w:rsid w:val="00151C72"/>
    <w:rsid w:val="00152406"/>
    <w:rsid w:val="00153665"/>
    <w:rsid w:val="00155CBF"/>
    <w:rsid w:val="001567A8"/>
    <w:rsid w:val="0016027F"/>
    <w:rsid w:val="00166862"/>
    <w:rsid w:val="001729EB"/>
    <w:rsid w:val="0017649B"/>
    <w:rsid w:val="001853FF"/>
    <w:rsid w:val="00192AD2"/>
    <w:rsid w:val="001B1A90"/>
    <w:rsid w:val="001B2615"/>
    <w:rsid w:val="001D590D"/>
    <w:rsid w:val="001F0904"/>
    <w:rsid w:val="00200CC7"/>
    <w:rsid w:val="00200D1F"/>
    <w:rsid w:val="00202EDD"/>
    <w:rsid w:val="00206BD5"/>
    <w:rsid w:val="0021773A"/>
    <w:rsid w:val="0023244B"/>
    <w:rsid w:val="00251F52"/>
    <w:rsid w:val="0025625F"/>
    <w:rsid w:val="002641D0"/>
    <w:rsid w:val="00265A72"/>
    <w:rsid w:val="00277E7C"/>
    <w:rsid w:val="00291A70"/>
    <w:rsid w:val="00297398"/>
    <w:rsid w:val="002B34B2"/>
    <w:rsid w:val="002B3ADF"/>
    <w:rsid w:val="002C02D5"/>
    <w:rsid w:val="002C1865"/>
    <w:rsid w:val="002E1F0B"/>
    <w:rsid w:val="002E2687"/>
    <w:rsid w:val="002E379E"/>
    <w:rsid w:val="002F2B9C"/>
    <w:rsid w:val="003068AD"/>
    <w:rsid w:val="0031324B"/>
    <w:rsid w:val="00316B06"/>
    <w:rsid w:val="0031780E"/>
    <w:rsid w:val="00345F4D"/>
    <w:rsid w:val="003573D2"/>
    <w:rsid w:val="00357718"/>
    <w:rsid w:val="0036118B"/>
    <w:rsid w:val="0036249D"/>
    <w:rsid w:val="00365252"/>
    <w:rsid w:val="003654A4"/>
    <w:rsid w:val="003663BF"/>
    <w:rsid w:val="00373685"/>
    <w:rsid w:val="003A5954"/>
    <w:rsid w:val="00430025"/>
    <w:rsid w:val="00444469"/>
    <w:rsid w:val="0046069E"/>
    <w:rsid w:val="00463EB7"/>
    <w:rsid w:val="004713E6"/>
    <w:rsid w:val="004819FA"/>
    <w:rsid w:val="004854D6"/>
    <w:rsid w:val="004B6BC9"/>
    <w:rsid w:val="004E564E"/>
    <w:rsid w:val="00520B7A"/>
    <w:rsid w:val="005251DE"/>
    <w:rsid w:val="00526050"/>
    <w:rsid w:val="005277FA"/>
    <w:rsid w:val="00543FCF"/>
    <w:rsid w:val="0055144A"/>
    <w:rsid w:val="00571112"/>
    <w:rsid w:val="005820E7"/>
    <w:rsid w:val="005849C8"/>
    <w:rsid w:val="005A3609"/>
    <w:rsid w:val="005B2544"/>
    <w:rsid w:val="005B26C5"/>
    <w:rsid w:val="005C54F0"/>
    <w:rsid w:val="005D588A"/>
    <w:rsid w:val="005F0C2B"/>
    <w:rsid w:val="005F2D50"/>
    <w:rsid w:val="006034D4"/>
    <w:rsid w:val="00603B50"/>
    <w:rsid w:val="0061020A"/>
    <w:rsid w:val="006272F1"/>
    <w:rsid w:val="006530CA"/>
    <w:rsid w:val="00664075"/>
    <w:rsid w:val="00667361"/>
    <w:rsid w:val="00682E85"/>
    <w:rsid w:val="00697798"/>
    <w:rsid w:val="006A52D5"/>
    <w:rsid w:val="006B091F"/>
    <w:rsid w:val="006D2E7F"/>
    <w:rsid w:val="006E085F"/>
    <w:rsid w:val="006E577D"/>
    <w:rsid w:val="00706CF8"/>
    <w:rsid w:val="00711421"/>
    <w:rsid w:val="00711CFC"/>
    <w:rsid w:val="00715CFA"/>
    <w:rsid w:val="00717323"/>
    <w:rsid w:val="00732677"/>
    <w:rsid w:val="00750D80"/>
    <w:rsid w:val="0076068A"/>
    <w:rsid w:val="00770007"/>
    <w:rsid w:val="00771562"/>
    <w:rsid w:val="00781C27"/>
    <w:rsid w:val="00785248"/>
    <w:rsid w:val="00786B67"/>
    <w:rsid w:val="007940FB"/>
    <w:rsid w:val="007B37F7"/>
    <w:rsid w:val="007B3E0F"/>
    <w:rsid w:val="007C23E7"/>
    <w:rsid w:val="007C4C7F"/>
    <w:rsid w:val="007D1AE0"/>
    <w:rsid w:val="007D4369"/>
    <w:rsid w:val="007E768D"/>
    <w:rsid w:val="007F55C2"/>
    <w:rsid w:val="008031B9"/>
    <w:rsid w:val="00804A35"/>
    <w:rsid w:val="008169B0"/>
    <w:rsid w:val="00824A3E"/>
    <w:rsid w:val="0082529A"/>
    <w:rsid w:val="00843FB7"/>
    <w:rsid w:val="008516AA"/>
    <w:rsid w:val="00873941"/>
    <w:rsid w:val="008758F6"/>
    <w:rsid w:val="00876A05"/>
    <w:rsid w:val="00892AB5"/>
    <w:rsid w:val="008A48E1"/>
    <w:rsid w:val="008B23CF"/>
    <w:rsid w:val="008C4C13"/>
    <w:rsid w:val="008C6AA9"/>
    <w:rsid w:val="008D05B2"/>
    <w:rsid w:val="008E52A2"/>
    <w:rsid w:val="00910402"/>
    <w:rsid w:val="00910E82"/>
    <w:rsid w:val="00923A16"/>
    <w:rsid w:val="0092605C"/>
    <w:rsid w:val="00932942"/>
    <w:rsid w:val="00934C44"/>
    <w:rsid w:val="00944BB7"/>
    <w:rsid w:val="00963257"/>
    <w:rsid w:val="00967D3A"/>
    <w:rsid w:val="00975364"/>
    <w:rsid w:val="009828CF"/>
    <w:rsid w:val="00997C32"/>
    <w:rsid w:val="009B7C80"/>
    <w:rsid w:val="009D1D46"/>
    <w:rsid w:val="009D59F0"/>
    <w:rsid w:val="00A03B23"/>
    <w:rsid w:val="00A06297"/>
    <w:rsid w:val="00A83089"/>
    <w:rsid w:val="00A97591"/>
    <w:rsid w:val="00AD67C4"/>
    <w:rsid w:val="00AF441F"/>
    <w:rsid w:val="00B04273"/>
    <w:rsid w:val="00B05EB1"/>
    <w:rsid w:val="00B066BD"/>
    <w:rsid w:val="00B17B6F"/>
    <w:rsid w:val="00B3145B"/>
    <w:rsid w:val="00B44C27"/>
    <w:rsid w:val="00B461E3"/>
    <w:rsid w:val="00B4752D"/>
    <w:rsid w:val="00B50B2B"/>
    <w:rsid w:val="00B60F4B"/>
    <w:rsid w:val="00B61F96"/>
    <w:rsid w:val="00B73A8D"/>
    <w:rsid w:val="00B866B3"/>
    <w:rsid w:val="00BA12C0"/>
    <w:rsid w:val="00BB6285"/>
    <w:rsid w:val="00BC0842"/>
    <w:rsid w:val="00BD20F4"/>
    <w:rsid w:val="00BD5FB3"/>
    <w:rsid w:val="00BF2633"/>
    <w:rsid w:val="00C05C09"/>
    <w:rsid w:val="00C21977"/>
    <w:rsid w:val="00C37705"/>
    <w:rsid w:val="00C446AA"/>
    <w:rsid w:val="00C465E0"/>
    <w:rsid w:val="00C55B01"/>
    <w:rsid w:val="00C67B40"/>
    <w:rsid w:val="00C8044A"/>
    <w:rsid w:val="00C847FA"/>
    <w:rsid w:val="00C84AFA"/>
    <w:rsid w:val="00C92907"/>
    <w:rsid w:val="00C96279"/>
    <w:rsid w:val="00CA4B13"/>
    <w:rsid w:val="00CB06AF"/>
    <w:rsid w:val="00CB0787"/>
    <w:rsid w:val="00CC1169"/>
    <w:rsid w:val="00CC7B36"/>
    <w:rsid w:val="00CD386F"/>
    <w:rsid w:val="00CE1C5E"/>
    <w:rsid w:val="00CE4657"/>
    <w:rsid w:val="00CF3D45"/>
    <w:rsid w:val="00D07B24"/>
    <w:rsid w:val="00D20D54"/>
    <w:rsid w:val="00D2141E"/>
    <w:rsid w:val="00D24864"/>
    <w:rsid w:val="00D24F31"/>
    <w:rsid w:val="00D25157"/>
    <w:rsid w:val="00D3054B"/>
    <w:rsid w:val="00D72F29"/>
    <w:rsid w:val="00D86018"/>
    <w:rsid w:val="00D91376"/>
    <w:rsid w:val="00D94BB4"/>
    <w:rsid w:val="00D96A92"/>
    <w:rsid w:val="00DC7B3A"/>
    <w:rsid w:val="00DD0B7A"/>
    <w:rsid w:val="00DD63CF"/>
    <w:rsid w:val="00DF6DA5"/>
    <w:rsid w:val="00E175FB"/>
    <w:rsid w:val="00E2436B"/>
    <w:rsid w:val="00E358BE"/>
    <w:rsid w:val="00E430A4"/>
    <w:rsid w:val="00E51D95"/>
    <w:rsid w:val="00E7389C"/>
    <w:rsid w:val="00E92F4D"/>
    <w:rsid w:val="00EB63AF"/>
    <w:rsid w:val="00EC5D5A"/>
    <w:rsid w:val="00EC5F67"/>
    <w:rsid w:val="00ED6E0E"/>
    <w:rsid w:val="00EE1889"/>
    <w:rsid w:val="00EE2E03"/>
    <w:rsid w:val="00EF7F56"/>
    <w:rsid w:val="00F53741"/>
    <w:rsid w:val="00F5791F"/>
    <w:rsid w:val="00F57FBB"/>
    <w:rsid w:val="00F67718"/>
    <w:rsid w:val="00F855A3"/>
    <w:rsid w:val="00F909A4"/>
    <w:rsid w:val="00F919DB"/>
    <w:rsid w:val="00F92A52"/>
    <w:rsid w:val="00FC272E"/>
    <w:rsid w:val="00FC33BC"/>
    <w:rsid w:val="00FE22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65DEA3"/>
  <w15:docId w15:val="{02BBC6F2-8B36-46CE-B3F6-DD2DA68AD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020A"/>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9D1D46"/>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9D1D46"/>
    <w:pPr>
      <w:spacing w:before="480"/>
      <w:outlineLvl w:val="1"/>
    </w:pPr>
    <w:rPr>
      <w:sz w:val="26"/>
    </w:rPr>
  </w:style>
  <w:style w:type="paragraph" w:styleId="Heading3">
    <w:name w:val="heading 3"/>
    <w:basedOn w:val="Heading1"/>
    <w:next w:val="Normal"/>
    <w:qFormat/>
    <w:rsid w:val="009D1D46"/>
    <w:pPr>
      <w:spacing w:before="360"/>
      <w:outlineLvl w:val="2"/>
    </w:pPr>
    <w:rPr>
      <w:sz w:val="24"/>
    </w:rPr>
  </w:style>
  <w:style w:type="paragraph" w:styleId="Heading4">
    <w:name w:val="heading 4"/>
    <w:basedOn w:val="Heading3"/>
    <w:next w:val="Normal"/>
    <w:qFormat/>
    <w:rsid w:val="009D1D46"/>
    <w:pPr>
      <w:outlineLvl w:val="3"/>
    </w:pPr>
  </w:style>
  <w:style w:type="paragraph" w:styleId="Heading5">
    <w:name w:val="heading 5"/>
    <w:basedOn w:val="Heading3"/>
    <w:next w:val="Normal"/>
    <w:qFormat/>
    <w:rsid w:val="009D1D46"/>
    <w:pPr>
      <w:outlineLvl w:val="4"/>
    </w:pPr>
  </w:style>
  <w:style w:type="paragraph" w:styleId="Heading6">
    <w:name w:val="heading 6"/>
    <w:basedOn w:val="Heading3"/>
    <w:next w:val="Normal"/>
    <w:qFormat/>
    <w:rsid w:val="009D1D46"/>
    <w:pPr>
      <w:outlineLvl w:val="5"/>
    </w:pPr>
  </w:style>
  <w:style w:type="paragraph" w:styleId="Heading7">
    <w:name w:val="heading 7"/>
    <w:basedOn w:val="Heading3"/>
    <w:next w:val="Normal"/>
    <w:qFormat/>
    <w:rsid w:val="009D1D46"/>
    <w:pPr>
      <w:outlineLvl w:val="6"/>
    </w:pPr>
  </w:style>
  <w:style w:type="paragraph" w:styleId="Heading8">
    <w:name w:val="heading 8"/>
    <w:basedOn w:val="Heading3"/>
    <w:next w:val="Normal"/>
    <w:qFormat/>
    <w:rsid w:val="009D1D46"/>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9D1D46"/>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9D1D46"/>
    <w:rPr>
      <w:vertAlign w:val="superscript"/>
    </w:rPr>
  </w:style>
  <w:style w:type="paragraph" w:styleId="TOC8">
    <w:name w:val="toc 8"/>
    <w:basedOn w:val="Normal"/>
    <w:next w:val="Normal"/>
    <w:semiHidden/>
    <w:rsid w:val="009D1D46"/>
    <w:pPr>
      <w:tabs>
        <w:tab w:val="left" w:pos="7711"/>
        <w:tab w:val="right" w:leader="dot" w:pos="9725"/>
      </w:tabs>
      <w:ind w:left="6350"/>
    </w:pPr>
  </w:style>
  <w:style w:type="paragraph" w:styleId="TOC7">
    <w:name w:val="toc 7"/>
    <w:basedOn w:val="Normal"/>
    <w:next w:val="Normal"/>
    <w:semiHidden/>
    <w:rsid w:val="009D1D46"/>
    <w:pPr>
      <w:tabs>
        <w:tab w:val="left" w:pos="6350"/>
        <w:tab w:val="right" w:leader="dot" w:pos="9725"/>
      </w:tabs>
      <w:ind w:left="5103"/>
    </w:pPr>
  </w:style>
  <w:style w:type="paragraph" w:styleId="TOC6">
    <w:name w:val="toc 6"/>
    <w:basedOn w:val="TOC4"/>
    <w:next w:val="Normal"/>
    <w:semiHidden/>
    <w:rsid w:val="009D1D46"/>
    <w:pPr>
      <w:ind w:left="3913"/>
    </w:pPr>
  </w:style>
  <w:style w:type="paragraph" w:styleId="TOC4">
    <w:name w:val="toc 4"/>
    <w:basedOn w:val="TOC3"/>
    <w:next w:val="Normal"/>
    <w:semiHidden/>
    <w:rsid w:val="009D1D46"/>
    <w:pPr>
      <w:tabs>
        <w:tab w:val="clear" w:pos="2268"/>
      </w:tabs>
      <w:spacing w:before="80"/>
      <w:ind w:left="3119" w:hanging="851"/>
    </w:pPr>
  </w:style>
  <w:style w:type="paragraph" w:styleId="TOC3">
    <w:name w:val="toc 3"/>
    <w:basedOn w:val="TOC2"/>
    <w:next w:val="Normal"/>
    <w:semiHidden/>
    <w:rsid w:val="009D1D46"/>
    <w:pPr>
      <w:tabs>
        <w:tab w:val="clear" w:pos="1985"/>
        <w:tab w:val="left" w:pos="2268"/>
      </w:tabs>
      <w:ind w:left="2268" w:hanging="2268"/>
    </w:pPr>
  </w:style>
  <w:style w:type="paragraph" w:styleId="TOC2">
    <w:name w:val="toc 2"/>
    <w:basedOn w:val="TOC1"/>
    <w:next w:val="Normal"/>
    <w:semiHidden/>
    <w:rsid w:val="009D1D46"/>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9D1D46"/>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9D1D46"/>
    <w:pPr>
      <w:tabs>
        <w:tab w:val="clear" w:pos="2268"/>
        <w:tab w:val="left" w:pos="3062"/>
      </w:tabs>
      <w:ind w:left="3062" w:hanging="3062"/>
    </w:pPr>
  </w:style>
  <w:style w:type="paragraph" w:styleId="Index1">
    <w:name w:val="index 1"/>
    <w:basedOn w:val="Normal"/>
    <w:next w:val="Normal"/>
    <w:semiHidden/>
    <w:rsid w:val="009D1D46"/>
  </w:style>
  <w:style w:type="paragraph" w:styleId="Footer">
    <w:name w:val="footer"/>
    <w:basedOn w:val="Normal"/>
    <w:rsid w:val="009D1D46"/>
    <w:pPr>
      <w:tabs>
        <w:tab w:val="left" w:pos="567"/>
        <w:tab w:val="center" w:pos="3742"/>
        <w:tab w:val="right" w:pos="6974"/>
      </w:tabs>
    </w:pPr>
  </w:style>
  <w:style w:type="paragraph" w:styleId="Header">
    <w:name w:val="header"/>
    <w:aliases w:val="encabezado"/>
    <w:basedOn w:val="Normal"/>
    <w:rsid w:val="009D1D46"/>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 (Latin) +H...,Footnote Reference/"/>
    <w:basedOn w:val="DefaultParagraphFont"/>
    <w:rsid w:val="009D1D46"/>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Footnote Text Char1"/>
    <w:basedOn w:val="Normal"/>
    <w:link w:val="FootnoteTextChar"/>
    <w:rsid w:val="009D1D46"/>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9D1D46"/>
    <w:pPr>
      <w:spacing w:before="120"/>
      <w:ind w:left="1134"/>
    </w:pPr>
  </w:style>
  <w:style w:type="paragraph" w:customStyle="1" w:styleId="TableLegend">
    <w:name w:val="Table_Legend"/>
    <w:basedOn w:val="TableText"/>
    <w:next w:val="Normal"/>
    <w:rsid w:val="009D1D46"/>
    <w:pPr>
      <w:keepNext/>
      <w:tabs>
        <w:tab w:val="left" w:pos="284"/>
        <w:tab w:val="left" w:pos="567"/>
        <w:tab w:val="left" w:pos="851"/>
        <w:tab w:val="left" w:pos="1134"/>
      </w:tabs>
      <w:spacing w:before="120" w:after="0"/>
    </w:pPr>
  </w:style>
  <w:style w:type="paragraph" w:customStyle="1" w:styleId="TableText">
    <w:name w:val="Table_Text"/>
    <w:basedOn w:val="Normal"/>
    <w:rsid w:val="009D1D46"/>
    <w:pPr>
      <w:tabs>
        <w:tab w:val="clear" w:pos="1134"/>
        <w:tab w:val="clear" w:pos="1871"/>
        <w:tab w:val="clear" w:pos="2268"/>
      </w:tabs>
      <w:spacing w:before="40" w:after="40"/>
    </w:pPr>
    <w:rPr>
      <w:sz w:val="20"/>
    </w:rPr>
  </w:style>
  <w:style w:type="paragraph" w:customStyle="1" w:styleId="TableTitle">
    <w:name w:val="Table_Title"/>
    <w:basedOn w:val="Table"/>
    <w:next w:val="TableText"/>
    <w:rsid w:val="009D1D46"/>
    <w:pPr>
      <w:spacing w:before="0"/>
    </w:pPr>
    <w:rPr>
      <w:b/>
    </w:rPr>
  </w:style>
  <w:style w:type="paragraph" w:customStyle="1" w:styleId="Table">
    <w:name w:val="Table_#"/>
    <w:basedOn w:val="Normal"/>
    <w:next w:val="TableTitle"/>
    <w:rsid w:val="009D1D46"/>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rsid w:val="009D1D46"/>
    <w:pPr>
      <w:tabs>
        <w:tab w:val="clear" w:pos="2268"/>
        <w:tab w:val="left" w:pos="2608"/>
        <w:tab w:val="left" w:pos="3345"/>
      </w:tabs>
      <w:spacing w:before="120"/>
      <w:ind w:left="454" w:hanging="454"/>
    </w:pPr>
  </w:style>
  <w:style w:type="paragraph" w:customStyle="1" w:styleId="enumlev2">
    <w:name w:val="enumlev2"/>
    <w:basedOn w:val="enumlev1"/>
    <w:rsid w:val="009D1D46"/>
    <w:pPr>
      <w:tabs>
        <w:tab w:val="left" w:pos="907"/>
      </w:tabs>
      <w:ind w:left="908"/>
    </w:pPr>
  </w:style>
  <w:style w:type="paragraph" w:customStyle="1" w:styleId="enumlev3">
    <w:name w:val="enumlev3"/>
    <w:basedOn w:val="enumlev2"/>
    <w:rsid w:val="009D1D46"/>
    <w:pPr>
      <w:tabs>
        <w:tab w:val="clear" w:pos="1134"/>
        <w:tab w:val="clear" w:pos="1871"/>
        <w:tab w:val="clear" w:pos="2608"/>
        <w:tab w:val="left" w:pos="1361"/>
      </w:tabs>
      <w:ind w:left="1361"/>
    </w:pPr>
  </w:style>
  <w:style w:type="paragraph" w:customStyle="1" w:styleId="Figure">
    <w:name w:val="Figure"/>
    <w:basedOn w:val="Normal"/>
    <w:rsid w:val="009D1D46"/>
    <w:pPr>
      <w:keepNext/>
      <w:keepLines/>
      <w:spacing w:before="240"/>
      <w:jc w:val="center"/>
    </w:pPr>
  </w:style>
  <w:style w:type="paragraph" w:customStyle="1" w:styleId="FigureLegend">
    <w:name w:val="Figure_Legend"/>
    <w:basedOn w:val="TableLegend"/>
    <w:next w:val="Figure0"/>
    <w:rsid w:val="009D1D46"/>
  </w:style>
  <w:style w:type="paragraph" w:customStyle="1" w:styleId="Figure0">
    <w:name w:val="Figure_#"/>
    <w:basedOn w:val="Table"/>
    <w:next w:val="FigureTitle"/>
    <w:rsid w:val="009D1D46"/>
  </w:style>
  <w:style w:type="paragraph" w:customStyle="1" w:styleId="FigureTitle">
    <w:name w:val="Figure_Title"/>
    <w:basedOn w:val="TableTitle"/>
    <w:next w:val="Normal"/>
    <w:rsid w:val="009D1D46"/>
    <w:pPr>
      <w:spacing w:after="720"/>
    </w:pPr>
  </w:style>
  <w:style w:type="paragraph" w:customStyle="1" w:styleId="Annex">
    <w:name w:val="Annex_#"/>
    <w:basedOn w:val="Art"/>
    <w:next w:val="AnnexRef"/>
    <w:rsid w:val="009D1D46"/>
  </w:style>
  <w:style w:type="paragraph" w:customStyle="1" w:styleId="Art">
    <w:name w:val="Art_#"/>
    <w:basedOn w:val="Normal"/>
    <w:next w:val="Arttitle"/>
    <w:rsid w:val="009D1D46"/>
    <w:pPr>
      <w:keepNext/>
      <w:keepLines/>
      <w:spacing w:before="720"/>
      <w:jc w:val="center"/>
    </w:pPr>
    <w:rPr>
      <w:sz w:val="28"/>
    </w:rPr>
  </w:style>
  <w:style w:type="paragraph" w:customStyle="1" w:styleId="Arttitle">
    <w:name w:val="Art_title"/>
    <w:next w:val="Normalaftertitle"/>
    <w:rsid w:val="009D1D46"/>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9D1D46"/>
    <w:pPr>
      <w:spacing w:before="360"/>
    </w:pPr>
  </w:style>
  <w:style w:type="paragraph" w:customStyle="1" w:styleId="AnnexRef">
    <w:name w:val="Annex_Ref"/>
    <w:basedOn w:val="Normal"/>
    <w:rsid w:val="009D1D46"/>
    <w:pPr>
      <w:jc w:val="center"/>
    </w:pPr>
  </w:style>
  <w:style w:type="paragraph" w:customStyle="1" w:styleId="AnnexTitle">
    <w:name w:val="Annex_Title"/>
    <w:basedOn w:val="Arttitle"/>
    <w:next w:val="Normal"/>
    <w:rsid w:val="009D1D46"/>
    <w:pPr>
      <w:spacing w:after="0"/>
    </w:pPr>
  </w:style>
  <w:style w:type="paragraph" w:customStyle="1" w:styleId="Appendix">
    <w:name w:val="Appendix_#"/>
    <w:basedOn w:val="Art"/>
    <w:next w:val="AppendixTitle"/>
    <w:rsid w:val="009D1D46"/>
  </w:style>
  <w:style w:type="paragraph" w:customStyle="1" w:styleId="AppendixTitle">
    <w:name w:val="Appendix_Title"/>
    <w:basedOn w:val="Arttitle"/>
    <w:next w:val="Normal"/>
    <w:rsid w:val="009D1D46"/>
  </w:style>
  <w:style w:type="paragraph" w:customStyle="1" w:styleId="headfoot">
    <w:name w:val="head_foot"/>
    <w:basedOn w:val="Normal"/>
    <w:next w:val="Normalaftertitle"/>
    <w:rsid w:val="009D1D46"/>
    <w:pPr>
      <w:spacing w:before="0"/>
    </w:pPr>
    <w:rPr>
      <w:color w:val="0000FF"/>
      <w:sz w:val="20"/>
    </w:rPr>
  </w:style>
  <w:style w:type="paragraph" w:customStyle="1" w:styleId="AppendixRef">
    <w:name w:val="Appendix_Ref"/>
    <w:basedOn w:val="AnnexRef"/>
    <w:next w:val="AppendixTitle"/>
    <w:rsid w:val="009D1D46"/>
  </w:style>
  <w:style w:type="paragraph" w:customStyle="1" w:styleId="RefTitle">
    <w:name w:val="Ref_Title"/>
    <w:basedOn w:val="Normal"/>
    <w:next w:val="RefText"/>
    <w:rsid w:val="009D1D46"/>
    <w:pPr>
      <w:spacing w:before="480"/>
      <w:jc w:val="left"/>
    </w:pPr>
    <w:rPr>
      <w:b/>
    </w:rPr>
  </w:style>
  <w:style w:type="paragraph" w:customStyle="1" w:styleId="RefText">
    <w:name w:val="Ref_Text"/>
    <w:basedOn w:val="Normal"/>
    <w:rsid w:val="009D1D46"/>
  </w:style>
  <w:style w:type="paragraph" w:customStyle="1" w:styleId="listitem">
    <w:name w:val="listitem"/>
    <w:basedOn w:val="Normal"/>
    <w:rsid w:val="009D1D46"/>
    <w:pPr>
      <w:keepLines/>
      <w:spacing w:before="0"/>
      <w:jc w:val="left"/>
    </w:pPr>
  </w:style>
  <w:style w:type="paragraph" w:customStyle="1" w:styleId="TableRef">
    <w:name w:val="Table_Ref"/>
    <w:basedOn w:val="Normal"/>
    <w:next w:val="TableTitle"/>
    <w:rsid w:val="009D1D46"/>
    <w:pPr>
      <w:keepNext/>
      <w:spacing w:before="567"/>
      <w:jc w:val="center"/>
    </w:pPr>
    <w:rPr>
      <w:sz w:val="18"/>
    </w:rPr>
  </w:style>
  <w:style w:type="paragraph" w:customStyle="1" w:styleId="Signcountry">
    <w:name w:val="Sign_country"/>
    <w:basedOn w:val="Normal"/>
    <w:next w:val="SignPart"/>
    <w:rsid w:val="009D1D46"/>
    <w:pPr>
      <w:keepNext/>
      <w:keepLines/>
      <w:spacing w:before="240" w:after="57"/>
      <w:jc w:val="left"/>
    </w:pPr>
    <w:rPr>
      <w:b/>
    </w:rPr>
  </w:style>
  <w:style w:type="paragraph" w:customStyle="1" w:styleId="SignPart">
    <w:name w:val="Sign_Part"/>
    <w:basedOn w:val="Signcountry"/>
    <w:rsid w:val="009D1D46"/>
    <w:pPr>
      <w:keepNext w:val="0"/>
      <w:keepLines w:val="0"/>
      <w:spacing w:before="0"/>
      <w:ind w:left="284"/>
    </w:pPr>
    <w:rPr>
      <w:b w:val="0"/>
      <w:smallCaps/>
    </w:rPr>
  </w:style>
  <w:style w:type="paragraph" w:customStyle="1" w:styleId="Chap">
    <w:name w:val="Chap_#"/>
    <w:basedOn w:val="Art"/>
    <w:next w:val="Chaptitle"/>
    <w:rsid w:val="009D1D46"/>
    <w:pPr>
      <w:spacing w:before="1200"/>
    </w:pPr>
    <w:rPr>
      <w:sz w:val="32"/>
    </w:rPr>
  </w:style>
  <w:style w:type="paragraph" w:customStyle="1" w:styleId="Chaptitle">
    <w:name w:val="Chap_title"/>
    <w:basedOn w:val="Arttitle"/>
    <w:next w:val="Art"/>
    <w:rsid w:val="009D1D46"/>
    <w:rPr>
      <w:sz w:val="32"/>
    </w:rPr>
  </w:style>
  <w:style w:type="paragraph" w:customStyle="1" w:styleId="Protfin">
    <w:name w:val="Prot_fin"/>
    <w:basedOn w:val="Normal"/>
    <w:next w:val="Normalaftertitle"/>
    <w:rsid w:val="009D1D46"/>
    <w:pPr>
      <w:pageBreakBefore/>
      <w:spacing w:before="720" w:after="240"/>
      <w:jc w:val="center"/>
    </w:pPr>
    <w:rPr>
      <w:b/>
    </w:rPr>
  </w:style>
  <w:style w:type="paragraph" w:customStyle="1" w:styleId="Prot">
    <w:name w:val="Prot_#"/>
    <w:basedOn w:val="Normal"/>
    <w:next w:val="Protlang"/>
    <w:rsid w:val="009D1D46"/>
    <w:pPr>
      <w:keepNext/>
      <w:spacing w:before="240"/>
      <w:jc w:val="center"/>
    </w:pPr>
  </w:style>
  <w:style w:type="paragraph" w:customStyle="1" w:styleId="Protlang">
    <w:name w:val="Prot_lang"/>
    <w:basedOn w:val="Prot"/>
    <w:next w:val="Protpays"/>
    <w:rsid w:val="009D1D46"/>
    <w:pPr>
      <w:keepLines/>
      <w:framePr w:hSpace="181" w:vSpace="181" w:wrap="auto" w:hAnchor="text" w:xAlign="right"/>
      <w:spacing w:before="0"/>
      <w:jc w:val="right"/>
    </w:pPr>
    <w:rPr>
      <w:i/>
      <w:sz w:val="18"/>
    </w:rPr>
  </w:style>
  <w:style w:type="paragraph" w:customStyle="1" w:styleId="Protpays">
    <w:name w:val="Prot_pays"/>
    <w:basedOn w:val="Protlang"/>
    <w:next w:val="headfoot"/>
    <w:rsid w:val="009D1D46"/>
    <w:pPr>
      <w:framePr w:wrap="auto"/>
      <w:spacing w:before="113" w:line="199" w:lineRule="exact"/>
      <w:jc w:val="left"/>
    </w:pPr>
  </w:style>
  <w:style w:type="paragraph" w:customStyle="1" w:styleId="Prottexte">
    <w:name w:val="Prot_texte"/>
    <w:basedOn w:val="Protlang"/>
    <w:rsid w:val="009D1D46"/>
    <w:pPr>
      <w:keepNext w:val="0"/>
      <w:keepLines w:val="0"/>
      <w:framePr w:wrap="auto"/>
      <w:spacing w:before="113" w:line="199" w:lineRule="exact"/>
      <w:jc w:val="both"/>
    </w:pPr>
    <w:rPr>
      <w:i w:val="0"/>
    </w:rPr>
  </w:style>
  <w:style w:type="paragraph" w:customStyle="1" w:styleId="Protcall">
    <w:name w:val="Prot_call"/>
    <w:basedOn w:val="Prottexte"/>
    <w:next w:val="Prottexte"/>
    <w:rsid w:val="009D1D46"/>
    <w:pPr>
      <w:keepNext/>
      <w:keepLines/>
      <w:framePr w:wrap="auto" w:xAlign="left"/>
      <w:spacing w:before="170"/>
      <w:ind w:left="794"/>
      <w:jc w:val="left"/>
    </w:pPr>
    <w:rPr>
      <w:i/>
    </w:rPr>
  </w:style>
  <w:style w:type="paragraph" w:customStyle="1" w:styleId="Res">
    <w:name w:val="Res_#"/>
    <w:basedOn w:val="Art"/>
    <w:next w:val="Restitle"/>
    <w:rsid w:val="009D1D46"/>
  </w:style>
  <w:style w:type="paragraph" w:customStyle="1" w:styleId="Restitle">
    <w:name w:val="Res_title"/>
    <w:basedOn w:val="Arttitle"/>
    <w:next w:val="headfoot"/>
    <w:rsid w:val="009D1D46"/>
    <w:pPr>
      <w:spacing w:after="120"/>
    </w:pPr>
  </w:style>
  <w:style w:type="paragraph" w:customStyle="1" w:styleId="Rec">
    <w:name w:val="Rec_#"/>
    <w:basedOn w:val="Res"/>
    <w:next w:val="Rectitle"/>
    <w:rsid w:val="009D1D46"/>
  </w:style>
  <w:style w:type="paragraph" w:customStyle="1" w:styleId="Rectitle">
    <w:name w:val="Rec_title"/>
    <w:basedOn w:val="Restitle"/>
    <w:next w:val="headfoot"/>
    <w:rsid w:val="009D1D46"/>
  </w:style>
  <w:style w:type="paragraph" w:customStyle="1" w:styleId="Equation">
    <w:name w:val="Equation"/>
    <w:basedOn w:val="Normal"/>
    <w:rsid w:val="009D1D46"/>
    <w:pPr>
      <w:tabs>
        <w:tab w:val="clear" w:pos="1871"/>
        <w:tab w:val="clear" w:pos="2268"/>
        <w:tab w:val="center" w:pos="4678"/>
        <w:tab w:val="right" w:pos="9356"/>
      </w:tabs>
      <w:jc w:val="left"/>
    </w:pPr>
  </w:style>
  <w:style w:type="paragraph" w:customStyle="1" w:styleId="Note">
    <w:name w:val="Note"/>
    <w:basedOn w:val="Normal"/>
    <w:link w:val="NoteChar"/>
    <w:rsid w:val="009D1D46"/>
    <w:pPr>
      <w:tabs>
        <w:tab w:val="left" w:pos="284"/>
      </w:tabs>
      <w:spacing w:before="160"/>
    </w:pPr>
    <w:rPr>
      <w:sz w:val="20"/>
    </w:rPr>
  </w:style>
  <w:style w:type="paragraph" w:customStyle="1" w:styleId="Signcountry0">
    <w:name w:val="Sign country"/>
    <w:basedOn w:val="Normal"/>
    <w:next w:val="Signpart0"/>
    <w:rsid w:val="009D1D46"/>
    <w:pPr>
      <w:keepNext/>
      <w:keepLines/>
      <w:spacing w:before="240" w:after="57"/>
      <w:jc w:val="left"/>
    </w:pPr>
    <w:rPr>
      <w:b/>
    </w:rPr>
  </w:style>
  <w:style w:type="paragraph" w:customStyle="1" w:styleId="Signpart0">
    <w:name w:val="Sign part"/>
    <w:basedOn w:val="Signcountry0"/>
    <w:rsid w:val="009D1D46"/>
    <w:pPr>
      <w:keepNext w:val="0"/>
      <w:keepLines w:val="0"/>
      <w:spacing w:before="0"/>
      <w:ind w:left="284"/>
    </w:pPr>
    <w:rPr>
      <w:b w:val="0"/>
      <w:smallCaps/>
    </w:rPr>
  </w:style>
  <w:style w:type="paragraph" w:customStyle="1" w:styleId="Section1">
    <w:name w:val="Section_1"/>
    <w:basedOn w:val="Normal"/>
    <w:rsid w:val="009D1D46"/>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9D1D46"/>
    <w:pPr>
      <w:pageBreakBefore/>
      <w:spacing w:before="720" w:after="240"/>
      <w:jc w:val="center"/>
    </w:pPr>
    <w:rPr>
      <w:b/>
    </w:rPr>
  </w:style>
  <w:style w:type="paragraph" w:customStyle="1" w:styleId="Prot0">
    <w:name w:val="Prot #"/>
    <w:basedOn w:val="Normal"/>
    <w:next w:val="Protlang0"/>
    <w:rsid w:val="009D1D46"/>
    <w:pPr>
      <w:keepNext/>
      <w:spacing w:before="240"/>
      <w:jc w:val="center"/>
    </w:pPr>
  </w:style>
  <w:style w:type="paragraph" w:customStyle="1" w:styleId="Protlang0">
    <w:name w:val="Prot lang"/>
    <w:basedOn w:val="Prot0"/>
    <w:next w:val="Protpays0"/>
    <w:rsid w:val="009D1D46"/>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9D1D46"/>
    <w:pPr>
      <w:framePr w:wrap="auto"/>
      <w:spacing w:before="113" w:line="199" w:lineRule="exact"/>
      <w:jc w:val="left"/>
    </w:pPr>
  </w:style>
  <w:style w:type="paragraph" w:customStyle="1" w:styleId="Prottexte0">
    <w:name w:val="Prot texte"/>
    <w:basedOn w:val="Protlang0"/>
    <w:rsid w:val="009D1D46"/>
    <w:pPr>
      <w:keepNext w:val="0"/>
      <w:keepLines w:val="0"/>
      <w:framePr w:wrap="auto"/>
      <w:spacing w:before="113" w:line="199" w:lineRule="exact"/>
      <w:jc w:val="both"/>
    </w:pPr>
    <w:rPr>
      <w:i w:val="0"/>
    </w:rPr>
  </w:style>
  <w:style w:type="paragraph" w:customStyle="1" w:styleId="Protcall0">
    <w:name w:val="Prot call"/>
    <w:basedOn w:val="Prottexte0"/>
    <w:next w:val="Prottexte0"/>
    <w:rsid w:val="009D1D46"/>
    <w:pPr>
      <w:keepNext/>
      <w:keepLines/>
      <w:framePr w:wrap="auto" w:xAlign="left"/>
      <w:spacing w:before="170"/>
      <w:ind w:left="794"/>
      <w:jc w:val="left"/>
    </w:pPr>
    <w:rPr>
      <w:i/>
    </w:rPr>
  </w:style>
  <w:style w:type="character" w:styleId="PageNumber">
    <w:name w:val="page number"/>
    <w:basedOn w:val="DefaultParagraphFont"/>
    <w:rsid w:val="009D1D46"/>
  </w:style>
  <w:style w:type="paragraph" w:customStyle="1" w:styleId="TableFin">
    <w:name w:val="Table_Fin"/>
    <w:basedOn w:val="Normal"/>
    <w:rsid w:val="009D1D46"/>
    <w:pPr>
      <w:tabs>
        <w:tab w:val="clear" w:pos="1134"/>
      </w:tabs>
      <w:spacing w:before="0"/>
    </w:pPr>
    <w:rPr>
      <w:sz w:val="12"/>
    </w:rPr>
  </w:style>
  <w:style w:type="paragraph" w:customStyle="1" w:styleId="MEP">
    <w:name w:val="MEP"/>
    <w:basedOn w:val="Normal"/>
    <w:rsid w:val="009D1D46"/>
  </w:style>
  <w:style w:type="paragraph" w:customStyle="1" w:styleId="head">
    <w:name w:val="head"/>
    <w:basedOn w:val="headfoot"/>
    <w:rsid w:val="009D1D46"/>
  </w:style>
  <w:style w:type="paragraph" w:customStyle="1" w:styleId="foot">
    <w:name w:val="foot"/>
    <w:basedOn w:val="headfoot"/>
    <w:rsid w:val="009D1D46"/>
  </w:style>
  <w:style w:type="character" w:customStyle="1" w:styleId="href">
    <w:name w:val="href"/>
    <w:basedOn w:val="DefaultParagraphFont"/>
    <w:rsid w:val="009D1D46"/>
  </w:style>
  <w:style w:type="paragraph" w:customStyle="1" w:styleId="Section2">
    <w:name w:val="Section_2"/>
    <w:basedOn w:val="Section1"/>
    <w:rsid w:val="009D1D46"/>
    <w:pPr>
      <w:jc w:val="left"/>
    </w:pPr>
    <w:rPr>
      <w:b w:val="0"/>
      <w:i/>
    </w:rPr>
  </w:style>
  <w:style w:type="paragraph" w:customStyle="1" w:styleId="Section3">
    <w:name w:val="Section_3"/>
    <w:basedOn w:val="Section1"/>
    <w:rsid w:val="009D1D46"/>
    <w:rPr>
      <w:b w:val="0"/>
    </w:rPr>
  </w:style>
  <w:style w:type="character" w:customStyle="1" w:styleId="Artref">
    <w:name w:val="Art#_ref"/>
    <w:basedOn w:val="DefaultParagraphFont"/>
    <w:rsid w:val="009D1D46"/>
  </w:style>
  <w:style w:type="paragraph" w:customStyle="1" w:styleId="EquationLegend">
    <w:name w:val="Equation_Legend"/>
    <w:basedOn w:val="NormalIndent"/>
    <w:rsid w:val="009D1D46"/>
  </w:style>
  <w:style w:type="paragraph" w:customStyle="1" w:styleId="Call">
    <w:name w:val="Call"/>
    <w:basedOn w:val="Normal"/>
    <w:next w:val="Normal"/>
    <w:rsid w:val="009D1D46"/>
    <w:pPr>
      <w:tabs>
        <w:tab w:val="clear" w:pos="1871"/>
        <w:tab w:val="clear" w:pos="2268"/>
      </w:tabs>
      <w:spacing w:before="360"/>
      <w:ind w:left="1134"/>
    </w:pPr>
    <w:rPr>
      <w:i/>
    </w:rPr>
  </w:style>
  <w:style w:type="paragraph" w:customStyle="1" w:styleId="Headingb">
    <w:name w:val="Heading b"/>
    <w:basedOn w:val="Heading3"/>
    <w:rsid w:val="009D1D46"/>
    <w:pPr>
      <w:spacing w:before="400"/>
      <w:ind w:left="0" w:firstLine="0"/>
      <w:outlineLvl w:val="9"/>
    </w:pPr>
  </w:style>
  <w:style w:type="paragraph" w:customStyle="1" w:styleId="TableHead">
    <w:name w:val="Table_Head"/>
    <w:basedOn w:val="TableText"/>
    <w:next w:val="TableText"/>
    <w:rsid w:val="009D1D46"/>
    <w:pPr>
      <w:spacing w:before="80" w:after="80"/>
      <w:jc w:val="center"/>
    </w:pPr>
    <w:rPr>
      <w:b/>
    </w:rPr>
  </w:style>
  <w:style w:type="paragraph" w:customStyle="1" w:styleId="Headingi">
    <w:name w:val="Heading_i"/>
    <w:basedOn w:val="Normal"/>
    <w:rsid w:val="00D07B24"/>
    <w:rPr>
      <w:color w:val="000000"/>
      <w:lang w:val="fr-CH"/>
    </w:rPr>
  </w:style>
  <w:style w:type="paragraph" w:customStyle="1" w:styleId="Line">
    <w:name w:val="Line"/>
    <w:basedOn w:val="Normal"/>
    <w:next w:val="Normal"/>
    <w:rsid w:val="009D1D46"/>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0">
    <w:name w:val="Heading i"/>
    <w:basedOn w:val="Headingb"/>
    <w:rsid w:val="009D1D46"/>
    <w:rPr>
      <w:b w:val="0"/>
      <w:i/>
    </w:rPr>
  </w:style>
  <w:style w:type="paragraph" w:styleId="TableofFigures">
    <w:name w:val="table of figures"/>
    <w:basedOn w:val="Normal"/>
    <w:next w:val="Normal"/>
    <w:semiHidden/>
    <w:rsid w:val="009D1D46"/>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9D1D46"/>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9D1D46"/>
    <w:rPr>
      <w:sz w:val="16"/>
    </w:rPr>
  </w:style>
  <w:style w:type="paragraph" w:styleId="CommentText">
    <w:name w:val="annotation text"/>
    <w:basedOn w:val="Normal"/>
    <w:link w:val="CommentTextChar"/>
    <w:semiHidden/>
    <w:rsid w:val="009D1D46"/>
    <w:rPr>
      <w:sz w:val="20"/>
      <w:lang w:val="fr-FR"/>
    </w:rPr>
  </w:style>
  <w:style w:type="paragraph" w:customStyle="1" w:styleId="Tabletext0">
    <w:name w:val="Table_text"/>
    <w:basedOn w:val="Normal"/>
    <w:rsid w:val="009D1D46"/>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9D1D46"/>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9D1D46"/>
    <w:pPr>
      <w:keepNext/>
      <w:spacing w:before="80" w:after="80"/>
      <w:jc w:val="center"/>
    </w:pPr>
    <w:rPr>
      <w:b/>
    </w:rPr>
  </w:style>
  <w:style w:type="character" w:customStyle="1" w:styleId="Artrefdef">
    <w:name w:val="Art_ref_def"/>
    <w:basedOn w:val="DefaultParagraphFont"/>
    <w:rsid w:val="009D1D46"/>
  </w:style>
  <w:style w:type="character" w:customStyle="1" w:styleId="Apprefdef">
    <w:name w:val="App_ref_def"/>
    <w:basedOn w:val="DefaultParagraphFont"/>
    <w:rsid w:val="009D1D46"/>
  </w:style>
  <w:style w:type="character" w:customStyle="1" w:styleId="Resrefdef">
    <w:name w:val="Res_ref_def"/>
    <w:basedOn w:val="DefaultParagraphFont"/>
    <w:rsid w:val="009D1D46"/>
  </w:style>
  <w:style w:type="paragraph" w:customStyle="1" w:styleId="HeaderRegProc">
    <w:name w:val="Header_RegProc"/>
    <w:basedOn w:val="Normal"/>
    <w:rsid w:val="009D1D46"/>
    <w:pPr>
      <w:tabs>
        <w:tab w:val="clear" w:pos="1134"/>
        <w:tab w:val="clear" w:pos="1871"/>
        <w:tab w:val="clear" w:pos="2268"/>
        <w:tab w:val="center" w:pos="4678"/>
        <w:tab w:val="right" w:pos="9356"/>
      </w:tabs>
      <w:spacing w:before="4"/>
      <w:ind w:left="142"/>
    </w:pPr>
    <w:rPr>
      <w:rFonts w:ascii="Arial" w:hAnsi="Arial" w:cs="Arial"/>
      <w:bCs/>
      <w:sz w:val="20"/>
      <w:lang w:val="es-ES"/>
    </w:rPr>
  </w:style>
  <w:style w:type="character" w:customStyle="1" w:styleId="href2">
    <w:name w:val="href2"/>
    <w:basedOn w:val="href"/>
    <w:rsid w:val="009D1D46"/>
  </w:style>
  <w:style w:type="character" w:customStyle="1" w:styleId="Style1">
    <w:name w:val="Style1"/>
    <w:basedOn w:val="DefaultParagraphFont"/>
    <w:rsid w:val="009D1D46"/>
  </w:style>
  <w:style w:type="paragraph" w:customStyle="1" w:styleId="enumlev4">
    <w:name w:val="enumlev4"/>
    <w:basedOn w:val="enumlev3"/>
    <w:rsid w:val="009D1D46"/>
    <w:pPr>
      <w:tabs>
        <w:tab w:val="clear" w:pos="907"/>
        <w:tab w:val="left" w:pos="1814"/>
      </w:tabs>
      <w:spacing w:before="80"/>
      <w:ind w:left="1815"/>
    </w:pPr>
    <w:rPr>
      <w:lang w:val="fr-CH"/>
    </w:rPr>
  </w:style>
  <w:style w:type="character" w:customStyle="1" w:styleId="Appdef">
    <w:name w:val="App_def"/>
    <w:basedOn w:val="DefaultParagraphFont"/>
    <w:rsid w:val="009D1D46"/>
    <w:rPr>
      <w:b/>
      <w:color w:val="FFCC00"/>
    </w:rPr>
  </w:style>
  <w:style w:type="character" w:customStyle="1" w:styleId="Appref">
    <w:name w:val="App_ref"/>
    <w:basedOn w:val="DefaultParagraphFont"/>
    <w:rsid w:val="009D1D46"/>
    <w:rPr>
      <w:color w:val="3366FF"/>
    </w:rPr>
  </w:style>
  <w:style w:type="character" w:customStyle="1" w:styleId="Artdef">
    <w:name w:val="Art_def"/>
    <w:basedOn w:val="DefaultParagraphFont"/>
    <w:rsid w:val="009D1D46"/>
    <w:rPr>
      <w:b/>
      <w:color w:val="FFCC00"/>
    </w:rPr>
  </w:style>
  <w:style w:type="character" w:customStyle="1" w:styleId="Artref0">
    <w:name w:val="Art_ref"/>
    <w:basedOn w:val="DefaultParagraphFont"/>
    <w:rsid w:val="009D1D46"/>
    <w:rPr>
      <w:color w:val="3366FF"/>
    </w:rPr>
  </w:style>
  <w:style w:type="character" w:customStyle="1" w:styleId="Recdef">
    <w:name w:val="Rec_def"/>
    <w:basedOn w:val="DefaultParagraphFont"/>
    <w:rsid w:val="009D1D46"/>
    <w:rPr>
      <w:b/>
      <w:color w:val="FFCC00"/>
    </w:rPr>
  </w:style>
  <w:style w:type="character" w:customStyle="1" w:styleId="Recref">
    <w:name w:val="Rec_ref"/>
    <w:basedOn w:val="DefaultParagraphFont"/>
    <w:rsid w:val="009D1D46"/>
    <w:rPr>
      <w:color w:val="3366FF"/>
    </w:rPr>
  </w:style>
  <w:style w:type="character" w:customStyle="1" w:styleId="Resdef">
    <w:name w:val="Res_def"/>
    <w:basedOn w:val="DefaultParagraphFont"/>
    <w:rsid w:val="009D1D46"/>
    <w:rPr>
      <w:b/>
      <w:color w:val="FFCC00"/>
    </w:rPr>
  </w:style>
  <w:style w:type="character" w:customStyle="1" w:styleId="Resref">
    <w:name w:val="Res_ref"/>
    <w:basedOn w:val="DefaultParagraphFont"/>
    <w:rsid w:val="009D1D46"/>
    <w:rPr>
      <w:color w:val="3366FF"/>
    </w:rPr>
  </w:style>
  <w:style w:type="character" w:customStyle="1" w:styleId="Tableref0">
    <w:name w:val="Table_ref"/>
    <w:basedOn w:val="DefaultParagraphFont"/>
    <w:rsid w:val="009D1D46"/>
    <w:rPr>
      <w:color w:val="3366FF"/>
    </w:rPr>
  </w:style>
  <w:style w:type="character" w:customStyle="1" w:styleId="enumlev1Char">
    <w:name w:val="enumlev1 Char"/>
    <w:basedOn w:val="DefaultParagraphFont"/>
    <w:link w:val="enumlev1"/>
    <w:rsid w:val="008C4C13"/>
    <w:rPr>
      <w:sz w:val="24"/>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Footnote Text Char1 Char"/>
    <w:basedOn w:val="DefaultParagraphFont"/>
    <w:link w:val="FootnoteText"/>
    <w:rsid w:val="000F3341"/>
    <w:rPr>
      <w:lang w:val="en-GB" w:eastAsia="en-US"/>
    </w:rPr>
  </w:style>
  <w:style w:type="character" w:customStyle="1" w:styleId="CommentTextChar">
    <w:name w:val="Comment Text Char"/>
    <w:basedOn w:val="DefaultParagraphFont"/>
    <w:link w:val="CommentText"/>
    <w:semiHidden/>
    <w:rsid w:val="0061020A"/>
    <w:rPr>
      <w:lang w:val="fr-FR" w:eastAsia="en-US"/>
    </w:rPr>
  </w:style>
  <w:style w:type="character" w:customStyle="1" w:styleId="NoteChar">
    <w:name w:val="Note Char"/>
    <w:link w:val="Note"/>
    <w:rsid w:val="006A52D5"/>
    <w:rPr>
      <w:lang w:val="en-GB" w:eastAsia="en-US"/>
    </w:rPr>
  </w:style>
  <w:style w:type="paragraph" w:customStyle="1" w:styleId="Reasons">
    <w:name w:val="Reasons"/>
    <w:basedOn w:val="Normal"/>
    <w:qFormat/>
    <w:rsid w:val="00771562"/>
    <w:pPr>
      <w:tabs>
        <w:tab w:val="clear" w:pos="1134"/>
        <w:tab w:val="clear" w:pos="1871"/>
        <w:tab w:val="clear" w:pos="2268"/>
      </w:tabs>
      <w:overflowPunct/>
      <w:autoSpaceDE/>
      <w:autoSpaceDN/>
      <w:adjustRightInd/>
      <w:spacing w:before="0"/>
      <w:jc w:val="left"/>
      <w:textAlignment w:val="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header" Target="header10.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eader" Target="header8.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eader" Target="header3.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73B162-EAE8-4DC5-B114-ED444C8029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845</TotalTime>
  <Pages>33</Pages>
  <Words>13277</Words>
  <Characters>75547</Characters>
  <Application>Microsoft Office Word</Application>
  <DocSecurity>0</DocSecurity>
  <Lines>1716</Lines>
  <Paragraphs>965</Paragraphs>
  <ScaleCrop>false</ScaleCrop>
  <HeadingPairs>
    <vt:vector size="2" baseType="variant">
      <vt:variant>
        <vt:lpstr>Title</vt:lpstr>
      </vt:variant>
      <vt:variant>
        <vt:i4>1</vt:i4>
      </vt:variant>
    </vt:vector>
  </HeadingPairs>
  <TitlesOfParts>
    <vt:vector size="1" baseType="lpstr">
      <vt:lpstr>12-A1-AR11-f</vt:lpstr>
    </vt:vector>
  </TitlesOfParts>
  <Manager>CP--107223/DD</Manager>
  <Company>ITU</Company>
  <LinksUpToDate>false</LinksUpToDate>
  <CharactersWithSpaces>87859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 Edition 2025</dc:title>
  <dc:subject>Article 11 </dc:subject>
  <dc:creator/>
  <cp:keywords/>
  <dc:description/>
  <cp:lastModifiedBy>Gachet, Christelle</cp:lastModifiedBy>
  <cp:revision>165</cp:revision>
  <cp:lastPrinted>2025-12-05T09:06:00Z</cp:lastPrinted>
  <dcterms:created xsi:type="dcterms:W3CDTF">2012-08-08T15:34:00Z</dcterms:created>
  <dcterms:modified xsi:type="dcterms:W3CDTF">2025-12-05T09:07:00Z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