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ECF6C" w14:textId="77777777" w:rsidR="00A336C4" w:rsidRDefault="00A336C4" w:rsidP="00921A18">
      <w:pPr>
        <w:pStyle w:val="Heading1"/>
        <w:spacing w:before="300"/>
        <w:jc w:val="center"/>
      </w:pPr>
      <w:proofErr w:type="gramStart"/>
      <w:r>
        <w:t xml:space="preserve">PART  </w:t>
      </w:r>
      <w:r>
        <w:rPr>
          <w:rStyle w:val="href"/>
        </w:rPr>
        <w:t>A</w:t>
      </w:r>
      <w:proofErr w:type="gramEnd"/>
      <w:r>
        <w:rPr>
          <w:rStyle w:val="href"/>
        </w:rPr>
        <w:t>8</w:t>
      </w:r>
    </w:p>
    <w:p w14:paraId="62E84823" w14:textId="77777777" w:rsidR="00A336C4" w:rsidRDefault="00A336C4">
      <w:pPr>
        <w:pStyle w:val="Heading1"/>
        <w:ind w:left="0" w:firstLine="0"/>
        <w:jc w:val="center"/>
      </w:pPr>
      <w:r>
        <w:t>Rules concerning the Regional Agreement concerning the MF maritime</w:t>
      </w:r>
      <w:r>
        <w:br/>
        <w:t>mobile and aeronautical radionavigation services (Region 1)</w:t>
      </w:r>
      <w:r>
        <w:br/>
        <w:t>(Geneva, 1985) (</w:t>
      </w:r>
      <w:r>
        <w:rPr>
          <w:rStyle w:val="href2"/>
        </w:rPr>
        <w:t>GE85-</w:t>
      </w:r>
      <w:r>
        <w:t>MM-R1)</w:t>
      </w:r>
    </w:p>
    <w:p w14:paraId="042441C2" w14:textId="77777777" w:rsidR="00A336C4" w:rsidRDefault="00A336C4">
      <w:pPr>
        <w:pStyle w:val="Heading1"/>
      </w:pPr>
      <w:r>
        <w:t>1</w:t>
      </w:r>
      <w:r>
        <w:tab/>
        <w:t>Status of the administrations with respect to the Agreement</w:t>
      </w:r>
    </w:p>
    <w:p w14:paraId="7DFB572F" w14:textId="77777777" w:rsidR="00A336C4" w:rsidRDefault="00A336C4">
      <w:r>
        <w:t>1.1</w:t>
      </w:r>
      <w:r>
        <w:tab/>
        <w:t xml:space="preserve">In the transitional period between the establishment of the Agreement (13 March 1985) and its entry into force (1 April 1992), and after consultation with the administrations of the Region 1 countries, the Board introduced and used the concept of </w:t>
      </w:r>
      <w:r w:rsidRPr="0055028D">
        <w:rPr>
          <w:i/>
          <w:iCs/>
        </w:rPr>
        <w:t>“parties to the Agreement”</w:t>
      </w:r>
      <w:r>
        <w:t xml:space="preserve"> for the purposes of the application of the procedures and associated technical criteria set up in Articles 4, 5 and 6 of the GE85-MM-R1 Agreement for the modifications to the Plan and for notifications, examination and recording of frequency assignment notices to stations in the planned (maritime mobile and aeronautical radionavigation) or non-planned (fixed and land mobile) services. </w:t>
      </w:r>
      <w:r w:rsidRPr="0055028D">
        <w:rPr>
          <w:i/>
          <w:iCs/>
        </w:rPr>
        <w:t>“Parties to the GE85-MM-R1 Agreement”</w:t>
      </w:r>
      <w:r>
        <w:t xml:space="preserve"> </w:t>
      </w:r>
      <w:proofErr w:type="gramStart"/>
      <w:r>
        <w:t>were considered to be</w:t>
      </w:r>
      <w:proofErr w:type="gramEnd"/>
      <w:r>
        <w:t xml:space="preserve"> all administrations having territories in the planning area (i.e. in </w:t>
      </w:r>
      <w:proofErr w:type="gramStart"/>
      <w:r>
        <w:t>Region</w:t>
      </w:r>
      <w:proofErr w:type="gramEnd"/>
      <w:r>
        <w:t xml:space="preserve"> 1) that were not opposed to this concept. Non-parties to the Agreement were those administrations that declared formally that they did not wish to be considered </w:t>
      </w:r>
      <w:r w:rsidRPr="0055028D">
        <w:rPr>
          <w:i/>
          <w:iCs/>
        </w:rPr>
        <w:t>“parties to the Agreement”</w:t>
      </w:r>
      <w:r>
        <w:t xml:space="preserve">, as well as non-participating administrations without Plan assignments that had not declared formally that they intended to become </w:t>
      </w:r>
      <w:r w:rsidRPr="0055028D">
        <w:rPr>
          <w:i/>
          <w:iCs/>
        </w:rPr>
        <w:t>“parties to the Agreement”</w:t>
      </w:r>
      <w:r>
        <w:t>.</w:t>
      </w:r>
    </w:p>
    <w:p w14:paraId="2E4CB09E" w14:textId="77777777" w:rsidR="00A336C4" w:rsidRDefault="00A336C4">
      <w:r>
        <w:t>1.2</w:t>
      </w:r>
      <w:r>
        <w:tab/>
        <w:t>After the entry into force of the Agreement, and pending further consultation with the administrations concerned, the Board decided to maintain this concept. Therefore, the Bureau will consider parties to the GE85-MM-R1 Agreement all administrations having territories in Region 1, with the exception of the following administrations: AND, BFA, CAF, GNB, LSO, LUX, MLI, MNG, MWI, NGR, RRW, SWZ, TZA, UGA, ZMB and ZWE, which are considered non-parties to the Agreement, until such a time as they accede formally to the Agreement.</w:t>
      </w:r>
    </w:p>
    <w:p w14:paraId="4F2071B1" w14:textId="77777777" w:rsidR="00A336C4" w:rsidRDefault="00A336C4">
      <w:pPr>
        <w:pStyle w:val="Heading1"/>
      </w:pPr>
      <w:r>
        <w:t>2</w:t>
      </w:r>
      <w:r>
        <w:tab/>
        <w:t>Treatment of the notices intended for modifications to the Plans governed by the GE85-MM-R1 Agreement</w:t>
      </w:r>
    </w:p>
    <w:p w14:paraId="2AB67A67" w14:textId="77777777" w:rsidR="00A336C4" w:rsidRDefault="00A336C4" w:rsidP="00921A18">
      <w:r>
        <w:t>2.1</w:t>
      </w:r>
      <w:r>
        <w:tab/>
        <w:t>Modifications to the Plans shall be considered receivable from all administrations which are considered parties to the Agreement (see §</w:t>
      </w:r>
      <w:r w:rsidR="00921A18">
        <w:t> </w:t>
      </w:r>
      <w:r>
        <w:t xml:space="preserve">1.2 above). </w:t>
      </w:r>
    </w:p>
    <w:p w14:paraId="358298DC" w14:textId="77777777" w:rsidR="00A336C4" w:rsidRDefault="00A336C4" w:rsidP="00921A18">
      <w:r>
        <w:t>2.2</w:t>
      </w:r>
      <w:r>
        <w:tab/>
        <w:t>The treatment of notices intended for modifications to the frequency assignment Plans shall follow the procedures contained in Article</w:t>
      </w:r>
      <w:r w:rsidR="00921A18">
        <w:t> </w:t>
      </w:r>
      <w:r>
        <w:t>4 of the Agreement.</w:t>
      </w:r>
    </w:p>
    <w:p w14:paraId="6E2F08C9" w14:textId="1395EA30" w:rsidR="00A336C4" w:rsidRDefault="00921A18" w:rsidP="00921A18">
      <w:r>
        <w:br w:type="page"/>
      </w:r>
      <w:r w:rsidR="00A336C4">
        <w:lastRenderedPageBreak/>
        <w:t>2.3</w:t>
      </w:r>
      <w:r w:rsidR="00A336C4">
        <w:tab/>
        <w:t>The technical principles to be used in the procedure for the modifications of the</w:t>
      </w:r>
      <w:r>
        <w:t> </w:t>
      </w:r>
      <w:r w:rsidR="00A336C4">
        <w:t>frequency assignment Plans shall be those contained in Annexes 3, 4 and 5 to the GE85</w:t>
      </w:r>
      <w:r w:rsidR="00A336C4">
        <w:noBreakHyphen/>
        <w:t>MM</w:t>
      </w:r>
      <w:r w:rsidR="00A336C4">
        <w:noBreakHyphen/>
        <w:t>R1 Agreement. The computer program used as that used at RARC</w:t>
      </w:r>
      <w:r>
        <w:noBreakHyphen/>
      </w:r>
      <w:r w:rsidR="00A336C4">
        <w:t>MM</w:t>
      </w:r>
      <w:r>
        <w:noBreakHyphen/>
      </w:r>
      <w:r w:rsidR="00A336C4">
        <w:t>R1 shall be used for this purpose, suitably modified to take account of the digitized coastlines.</w:t>
      </w:r>
    </w:p>
    <w:p w14:paraId="1D70F132" w14:textId="77777777" w:rsidR="00A336C4" w:rsidRDefault="00A336C4">
      <w:r>
        <w:t>2.4</w:t>
      </w:r>
      <w:r>
        <w:tab/>
        <w:t xml:space="preserve">The following items will be checked </w:t>
      </w:r>
      <w:proofErr w:type="gramStart"/>
      <w:r>
        <w:t>in order to</w:t>
      </w:r>
      <w:proofErr w:type="gramEnd"/>
      <w:r>
        <w:t xml:space="preserve"> determine conformity with the technical principles of the Agreement:</w:t>
      </w:r>
    </w:p>
    <w:p w14:paraId="10E1CD7B" w14:textId="77777777" w:rsidR="00A336C4" w:rsidRDefault="00A336C4" w:rsidP="00921A18">
      <w:pPr>
        <w:pStyle w:val="enumlev1"/>
        <w:ind w:left="0" w:firstLine="0"/>
      </w:pPr>
      <w:r>
        <w:t>2.4.1</w:t>
      </w:r>
      <w:r>
        <w:tab/>
        <w:t>conformity of the assigned frequency (frequency pair) with the appropriate channelling arrangement (checks shall be performed with respect to Tables 1 to 4 of Annex</w:t>
      </w:r>
      <w:r w:rsidR="00921A18">
        <w:t> </w:t>
      </w:r>
      <w:r>
        <w:t>3 to the GE85</w:t>
      </w:r>
      <w:r w:rsidR="00921A18">
        <w:noBreakHyphen/>
      </w:r>
      <w:r>
        <w:t>MM</w:t>
      </w:r>
      <w:r w:rsidR="00921A18">
        <w:noBreakHyphen/>
      </w:r>
      <w:r>
        <w:t>R1 Agreement</w:t>
      </w:r>
      <w:proofErr w:type="gramStart"/>
      <w:r>
        <w:t>);</w:t>
      </w:r>
      <w:proofErr w:type="gramEnd"/>
    </w:p>
    <w:p w14:paraId="419491A5" w14:textId="77777777" w:rsidR="00A336C4" w:rsidRDefault="00A336C4">
      <w:pPr>
        <w:pStyle w:val="enumlev1"/>
        <w:ind w:left="0" w:firstLine="0"/>
      </w:pPr>
      <w:r>
        <w:t>2.4.2</w:t>
      </w:r>
      <w:r>
        <w:tab/>
        <w:t>conformity of the notified class of emission with the permissible class of emission. The following classes of emission, and the following bandwidths are considered receivable:</w:t>
      </w:r>
    </w:p>
    <w:p w14:paraId="7BA435FD" w14:textId="77777777" w:rsidR="00A336C4" w:rsidRDefault="00A336C4">
      <w:pPr>
        <w:pStyle w:val="enumlev1"/>
      </w:pPr>
      <w:r>
        <w:t>–</w:t>
      </w:r>
      <w:r>
        <w:tab/>
      </w:r>
      <w:r>
        <w:rPr>
          <w:i/>
        </w:rPr>
        <w:t>for AL stations</w:t>
      </w:r>
      <w:r>
        <w:t xml:space="preserve">: 100HA1A, 850HA2A and 2K14A2A; however, the limitations set forth in Table 4 of Annex 3 to the Agreement, for some channels, shall also be taken into </w:t>
      </w:r>
      <w:proofErr w:type="gramStart"/>
      <w:r>
        <w:t>account;</w:t>
      </w:r>
      <w:proofErr w:type="gramEnd"/>
    </w:p>
    <w:p w14:paraId="65B81CF3" w14:textId="77777777" w:rsidR="00A336C4" w:rsidRDefault="00A336C4" w:rsidP="00921A18">
      <w:pPr>
        <w:pStyle w:val="enumlev1"/>
      </w:pPr>
      <w:r>
        <w:t>–</w:t>
      </w:r>
      <w:r>
        <w:tab/>
      </w:r>
      <w:r>
        <w:rPr>
          <w:i/>
        </w:rPr>
        <w:t>for FC</w:t>
      </w:r>
      <w:r w:rsidRPr="00921A18">
        <w:rPr>
          <w:iCs/>
        </w:rPr>
        <w:t>/</w:t>
      </w:r>
      <w:r>
        <w:rPr>
          <w:i/>
        </w:rPr>
        <w:t>MS stations in the bands around 500 kHz</w:t>
      </w:r>
      <w:r>
        <w:t>: A1A and F1B, and the necessary bandwidths up to 500</w:t>
      </w:r>
      <w:r w:rsidR="00921A18">
        <w:t> </w:t>
      </w:r>
      <w:r>
        <w:t>Hz.</w:t>
      </w:r>
    </w:p>
    <w:p w14:paraId="633B81CC" w14:textId="360C2358" w:rsidR="00A336C4" w:rsidRDefault="00A336C4" w:rsidP="00921A18">
      <w:pPr>
        <w:pStyle w:val="enumlev1"/>
      </w:pPr>
      <w:r>
        <w:tab/>
        <w:t>The Board considered in this respect that 500 Hz bandwidth represents, for A1A</w:t>
      </w:r>
      <w:r w:rsidR="00921A18">
        <w:t> </w:t>
      </w:r>
      <w:r>
        <w:t>emissions, a speed of 100 words per minute, more than adequate for manual telegraphy. For F1B emissions, this limit covers the standard 304 Hz bandwidth (Recom</w:t>
      </w:r>
      <w:r w:rsidR="00921A18">
        <w:softHyphen/>
      </w:r>
      <w:r>
        <w:t>mendations ITU-R M.476-5, ITU-R M.493-</w:t>
      </w:r>
      <w:r w:rsidR="005C22A9">
        <w:t>15</w:t>
      </w:r>
      <w:r>
        <w:t>, ITU-R M.625-</w:t>
      </w:r>
      <w:r w:rsidR="00E501A3">
        <w:t>4</w:t>
      </w:r>
      <w:r>
        <w:t xml:space="preserve"> and ITU-R SM.1138</w:t>
      </w:r>
      <w:r w:rsidR="00E501A3">
        <w:t>-3</w:t>
      </w:r>
      <w:proofErr w:type="gramStart"/>
      <w:r>
        <w:t>);</w:t>
      </w:r>
      <w:proofErr w:type="gramEnd"/>
    </w:p>
    <w:p w14:paraId="7CEF620C" w14:textId="77777777" w:rsidR="00A336C4" w:rsidRDefault="00A336C4" w:rsidP="00921A18">
      <w:pPr>
        <w:pStyle w:val="enumlev1"/>
      </w:pPr>
      <w:r>
        <w:t>–</w:t>
      </w:r>
      <w:r>
        <w:tab/>
      </w:r>
      <w:r>
        <w:rPr>
          <w:i/>
        </w:rPr>
        <w:t>for FC</w:t>
      </w:r>
      <w:r w:rsidRPr="00921A18">
        <w:rPr>
          <w:iCs/>
        </w:rPr>
        <w:t>/</w:t>
      </w:r>
      <w:r>
        <w:rPr>
          <w:i/>
        </w:rPr>
        <w:t>MS stations in the bands around 2 MHz</w:t>
      </w:r>
      <w:r>
        <w:t>: F1B and J3E; the necessary bandwidth for the F1B emissions shall not exceed 500 Hz, and the necessary bandwidth for J3E</w:t>
      </w:r>
      <w:r w:rsidR="00921A18">
        <w:t> </w:t>
      </w:r>
      <w:r>
        <w:t>emission shall not exceed 2</w:t>
      </w:r>
      <w:r>
        <w:rPr>
          <w:rFonts w:ascii="Tms Rmn" w:hAnsi="Tms Rmn"/>
          <w:sz w:val="12"/>
        </w:rPr>
        <w:t> </w:t>
      </w:r>
      <w:r>
        <w:t>800</w:t>
      </w:r>
      <w:r w:rsidR="00921A18">
        <w:t> </w:t>
      </w:r>
      <w:r>
        <w:t>Hz (No. </w:t>
      </w:r>
      <w:r w:rsidRPr="00A336C4">
        <w:rPr>
          <w:rStyle w:val="Artref"/>
          <w:b/>
          <w:color w:val="000000"/>
        </w:rPr>
        <w:t>52.177</w:t>
      </w:r>
      <w:r>
        <w:t xml:space="preserve"> refers for this later case);</w:t>
      </w:r>
    </w:p>
    <w:p w14:paraId="069158A1" w14:textId="77777777" w:rsidR="00A336C4" w:rsidRDefault="00A336C4">
      <w:r>
        <w:t>2.4.3</w:t>
      </w:r>
      <w:r>
        <w:tab/>
        <w:t>conformity of the notified service range with the established limits at the Conference:</w:t>
      </w:r>
    </w:p>
    <w:p w14:paraId="1101CC1E" w14:textId="77777777" w:rsidR="00A336C4" w:rsidRDefault="00A336C4">
      <w:pPr>
        <w:pStyle w:val="enumlev2"/>
      </w:pPr>
      <w:r>
        <w:tab/>
        <w:t>The administrations shall notify only the required service range, which serves as a basis for determining the power value necessary to ensure the minimum field strength at the edge of the service area. The following service range limits, for coast stations, shall not be exceeded:</w:t>
      </w:r>
    </w:p>
    <w:p w14:paraId="0D005426" w14:textId="77777777" w:rsidR="00A336C4" w:rsidRDefault="00A336C4">
      <w:pPr>
        <w:pStyle w:val="enumlev3"/>
      </w:pPr>
      <w:r>
        <w:t>–</w:t>
      </w:r>
      <w:r>
        <w:tab/>
        <w:t>500 km, for the band 415-526.5 kHz</w:t>
      </w:r>
    </w:p>
    <w:p w14:paraId="60A8E096" w14:textId="77777777" w:rsidR="00A336C4" w:rsidRDefault="00A336C4">
      <w:pPr>
        <w:pStyle w:val="enumlev3"/>
      </w:pPr>
      <w:r>
        <w:t>–</w:t>
      </w:r>
      <w:r>
        <w:tab/>
        <w:t>400 km, for the band 1</w:t>
      </w:r>
      <w:r>
        <w:rPr>
          <w:rFonts w:ascii="Tms Rmn" w:hAnsi="Tms Rmn"/>
          <w:sz w:val="12"/>
        </w:rPr>
        <w:t> </w:t>
      </w:r>
      <w:r>
        <w:t>606.5-2</w:t>
      </w:r>
      <w:r>
        <w:rPr>
          <w:rFonts w:ascii="Tms Rmn" w:hAnsi="Tms Rmn"/>
          <w:sz w:val="12"/>
        </w:rPr>
        <w:t> </w:t>
      </w:r>
      <w:r>
        <w:t>160 kHz.</w:t>
      </w:r>
    </w:p>
    <w:p w14:paraId="49BCCFD4" w14:textId="77777777" w:rsidR="00A336C4" w:rsidRDefault="00A336C4" w:rsidP="00921A18">
      <w:pPr>
        <w:pStyle w:val="enumlev2"/>
      </w:pPr>
      <w:r>
        <w:tab/>
        <w:t xml:space="preserve">The Bureau will use the same values as those established by RARC-MM-R1 </w:t>
      </w:r>
      <w:proofErr w:type="gramStart"/>
      <w:r>
        <w:t>on the</w:t>
      </w:r>
      <w:r w:rsidR="00921A18">
        <w:t xml:space="preserve"> </w:t>
      </w:r>
      <w:r>
        <w:t>basis of</w:t>
      </w:r>
      <w:proofErr w:type="gramEnd"/>
      <w:r>
        <w:t xml:space="preserve"> planning considerations (see Document</w:t>
      </w:r>
      <w:r w:rsidR="00921A18">
        <w:t xml:space="preserve"> </w:t>
      </w:r>
      <w:r>
        <w:t>63 of RARC-MM-R1). Never</w:t>
      </w:r>
      <w:r w:rsidR="00921A18">
        <w:softHyphen/>
      </w:r>
      <w:r>
        <w:t>theless, these values represent, at the same time, technical limitations for use of the ground-wave mode of propagation, since at the above distances the ground-wave component is just 3</w:t>
      </w:r>
      <w:r w:rsidR="00921A18">
        <w:t> </w:t>
      </w:r>
      <w:r>
        <w:t>dB higher than the sky-wave component.</w:t>
      </w:r>
    </w:p>
    <w:p w14:paraId="6B7DE316" w14:textId="77777777" w:rsidR="00A336C4" w:rsidRDefault="00921A18">
      <w:r>
        <w:br w:type="page"/>
      </w:r>
      <w:r w:rsidR="00A336C4">
        <w:lastRenderedPageBreak/>
        <w:t>2.5</w:t>
      </w:r>
      <w:r w:rsidR="00A336C4">
        <w:tab/>
        <w:t>For the FC stations in the bands around 500 kHz, only one A1A assignment per coast station shall be accepted; however, the administration concerned shall be informed that it may use A1A emissions on F1B assignments and vice versa:</w:t>
      </w:r>
    </w:p>
    <w:p w14:paraId="577DB27C" w14:textId="77777777" w:rsidR="00A336C4" w:rsidRDefault="00A336C4" w:rsidP="00921A18">
      <w:pPr>
        <w:pStyle w:val="enumlev2"/>
      </w:pPr>
      <w:r>
        <w:tab/>
        <w:t>The Bureau will use the same approach as that used in the establishment of the Plan at RARC-MM-R1, taking account of the Note on page 14 of the Final Acts of RARC</w:t>
      </w:r>
      <w:r w:rsidR="00921A18">
        <w:noBreakHyphen/>
      </w:r>
      <w:r>
        <w:t>MM</w:t>
      </w:r>
      <w:r w:rsidR="00921A18">
        <w:noBreakHyphen/>
      </w:r>
      <w:r>
        <w:t xml:space="preserve">R1, which stipulates that </w:t>
      </w:r>
      <w:r w:rsidRPr="0055028D">
        <w:rPr>
          <w:i/>
          <w:iCs/>
        </w:rPr>
        <w:t>“in the frequency bands between 415 and 526.5</w:t>
      </w:r>
      <w:r w:rsidR="00921A18" w:rsidRPr="0055028D">
        <w:rPr>
          <w:i/>
          <w:iCs/>
        </w:rPr>
        <w:t> </w:t>
      </w:r>
      <w:r w:rsidRPr="0055028D">
        <w:rPr>
          <w:i/>
          <w:iCs/>
        </w:rPr>
        <w:t>kHz, A1A emissions may be used on F1B assignments and vice versa”</w:t>
      </w:r>
      <w:r>
        <w:t>.</w:t>
      </w:r>
    </w:p>
    <w:p w14:paraId="0C3523AE" w14:textId="77777777" w:rsidR="00A336C4" w:rsidRDefault="00A336C4">
      <w:pPr>
        <w:pStyle w:val="Heading1"/>
      </w:pPr>
      <w:r>
        <w:t>3</w:t>
      </w:r>
      <w:r>
        <w:tab/>
        <w:t>Treatment of the frequency assignment notices to transmitting and receiving stations in the bands governed by the GE85</w:t>
      </w:r>
      <w:r>
        <w:noBreakHyphen/>
        <w:t>MM</w:t>
      </w:r>
      <w:r>
        <w:noBreakHyphen/>
        <w:t>R1 Agreement (for administrations considered parties to the Agreement)</w:t>
      </w:r>
    </w:p>
    <w:p w14:paraId="6DA67B83" w14:textId="77777777" w:rsidR="00A336C4" w:rsidRDefault="00A336C4">
      <w:pPr>
        <w:pStyle w:val="Heading2"/>
      </w:pPr>
      <w:r>
        <w:t>3.1</w:t>
      </w:r>
      <w:r>
        <w:tab/>
        <w:t>Treatment of the frequency assignment notices to transmitting and receiving stations in the planned services in the bands covered by frequency assignment plans</w:t>
      </w:r>
    </w:p>
    <w:p w14:paraId="26DD3E5D" w14:textId="77777777" w:rsidR="00A336C4" w:rsidRDefault="00A336C4" w:rsidP="00921A18">
      <w:r>
        <w:t>3.1.1</w:t>
      </w:r>
      <w:r>
        <w:tab/>
        <w:t>The treatment of the frequency assignment notices related to transmitting and receiving stations of the planned services in the frequency bands covered by the frequency assignment Plans (namely, 415-435 kHz, 435-453 kHz, 460.5-495 kHz, 505-526.5 kHz, 1</w:t>
      </w:r>
      <w:r>
        <w:rPr>
          <w:rFonts w:ascii="Tms Rmn" w:hAnsi="Tms Rmn"/>
          <w:sz w:val="12"/>
        </w:rPr>
        <w:t> </w:t>
      </w:r>
      <w:r>
        <w:t>606.5-1</w:t>
      </w:r>
      <w:r>
        <w:rPr>
          <w:rFonts w:ascii="Tms Rmn" w:hAnsi="Tms Rmn"/>
          <w:sz w:val="12"/>
        </w:rPr>
        <w:t> </w:t>
      </w:r>
      <w:r>
        <w:t>621 kHz, 1</w:t>
      </w:r>
      <w:r>
        <w:rPr>
          <w:rFonts w:ascii="Tms Rmn" w:hAnsi="Tms Rmn"/>
          <w:sz w:val="12"/>
        </w:rPr>
        <w:t> </w:t>
      </w:r>
      <w:r>
        <w:t>635-1</w:t>
      </w:r>
      <w:r>
        <w:rPr>
          <w:rFonts w:ascii="Tms Rmn" w:hAnsi="Tms Rmn"/>
          <w:sz w:val="12"/>
        </w:rPr>
        <w:t> </w:t>
      </w:r>
      <w:r>
        <w:t>800 kHz and 2</w:t>
      </w:r>
      <w:r>
        <w:rPr>
          <w:rFonts w:ascii="Tms Rmn" w:hAnsi="Tms Rmn"/>
          <w:sz w:val="12"/>
        </w:rPr>
        <w:t> </w:t>
      </w:r>
      <w:r>
        <w:t>060-2</w:t>
      </w:r>
      <w:r>
        <w:rPr>
          <w:rFonts w:ascii="Tms Rmn" w:hAnsi="Tms Rmn"/>
          <w:sz w:val="12"/>
        </w:rPr>
        <w:t> </w:t>
      </w:r>
      <w:r>
        <w:t>156 kHz), and notified by administrations considered parties to the Agreement, shall follow the procedure contained in Article 5 of the Agreement.</w:t>
      </w:r>
    </w:p>
    <w:p w14:paraId="10AE2D4F" w14:textId="77777777" w:rsidR="00A336C4" w:rsidRDefault="00A336C4" w:rsidP="00921A18">
      <w:r>
        <w:t>3.1.2</w:t>
      </w:r>
      <w:r>
        <w:tab/>
        <w:t>The regulatory examination of these notices shall consist in verifying their conformity with the Table of Frequency Allocations and with the provisions of Nos. </w:t>
      </w:r>
      <w:r w:rsidRPr="00A336C4">
        <w:rPr>
          <w:rStyle w:val="Artref"/>
          <w:b/>
          <w:color w:val="000000"/>
        </w:rPr>
        <w:t>52.10</w:t>
      </w:r>
      <w:r>
        <w:t xml:space="preserve">, </w:t>
      </w:r>
      <w:r w:rsidRPr="00A336C4">
        <w:rPr>
          <w:rStyle w:val="Artref"/>
          <w:b/>
          <w:color w:val="000000"/>
        </w:rPr>
        <w:t>52.177</w:t>
      </w:r>
      <w:r>
        <w:t xml:space="preserve">, </w:t>
      </w:r>
      <w:r w:rsidRPr="00A336C4">
        <w:rPr>
          <w:rStyle w:val="Artref"/>
          <w:b/>
          <w:color w:val="000000"/>
        </w:rPr>
        <w:t>52.183</w:t>
      </w:r>
      <w:r>
        <w:t xml:space="preserve">, </w:t>
      </w:r>
      <w:r w:rsidRPr="00A336C4">
        <w:rPr>
          <w:rStyle w:val="Artref"/>
          <w:b/>
          <w:color w:val="000000"/>
        </w:rPr>
        <w:t>52.184</w:t>
      </w:r>
      <w:r>
        <w:t xml:space="preserve"> to </w:t>
      </w:r>
      <w:r w:rsidRPr="00A336C4">
        <w:rPr>
          <w:rStyle w:val="Artref"/>
          <w:b/>
          <w:color w:val="000000"/>
        </w:rPr>
        <w:t>52.186</w:t>
      </w:r>
      <w:r>
        <w:t xml:space="preserve"> and </w:t>
      </w:r>
      <w:r w:rsidRPr="00A336C4">
        <w:rPr>
          <w:rStyle w:val="Artref"/>
          <w:b/>
          <w:color w:val="000000"/>
        </w:rPr>
        <w:t>52.202</w:t>
      </w:r>
      <w:r>
        <w:t>. The provisions of No. </w:t>
      </w:r>
      <w:r w:rsidRPr="00A336C4">
        <w:rPr>
          <w:rStyle w:val="Artref"/>
          <w:b/>
          <w:color w:val="000000"/>
        </w:rPr>
        <w:t>5.81</w:t>
      </w:r>
      <w:r>
        <w:t xml:space="preserve"> and Appendix </w:t>
      </w:r>
      <w:r w:rsidRPr="00A336C4">
        <w:rPr>
          <w:rStyle w:val="Appref"/>
          <w:b/>
          <w:color w:val="000000"/>
        </w:rPr>
        <w:t>13</w:t>
      </w:r>
      <w:r>
        <w:t>, § 15</w:t>
      </w:r>
      <w:r w:rsidR="00921A18">
        <w:t> </w:t>
      </w:r>
      <w:r>
        <w:t>1), Part A2, shall be taken also into account, until 1 February 1999.</w:t>
      </w:r>
    </w:p>
    <w:p w14:paraId="050CFA08" w14:textId="77777777" w:rsidR="00A336C4" w:rsidRDefault="00A336C4">
      <w:r>
        <w:t>3.1.3</w:t>
      </w:r>
      <w:r>
        <w:tab/>
        <w:t>The examination for conformity with the Plan shall be based on a check of all the data contained in the appropriate frequency assignment Plan and of the following additional items:</w:t>
      </w:r>
    </w:p>
    <w:p w14:paraId="5DE0BF93" w14:textId="77777777" w:rsidR="00A336C4" w:rsidRDefault="00A336C4">
      <w:pPr>
        <w:pStyle w:val="enumlev1"/>
        <w:ind w:left="0" w:firstLine="0"/>
      </w:pPr>
      <w:r>
        <w:t>3.1.3.1</w:t>
      </w:r>
      <w:r>
        <w:tab/>
        <w:t>Since the FC/MS Plans do not contain any value concerning the necessary bandwidths, the following values will be used when checking the conformity of the notified assignments with the Plans:</w:t>
      </w:r>
    </w:p>
    <w:p w14:paraId="12224CDC" w14:textId="77777777" w:rsidR="00A336C4" w:rsidRDefault="00A336C4">
      <w:pPr>
        <w:pStyle w:val="enumlev2"/>
        <w:jc w:val="left"/>
      </w:pPr>
      <w:r>
        <w:t>–</w:t>
      </w:r>
      <w:r>
        <w:tab/>
      </w:r>
      <w:r>
        <w:rPr>
          <w:i/>
        </w:rPr>
        <w:t>for A1A and F1B</w:t>
      </w:r>
      <w:r>
        <w:t>: 500 Hz.</w:t>
      </w:r>
    </w:p>
    <w:p w14:paraId="48EB6153" w14:textId="23F7E229" w:rsidR="00A336C4" w:rsidRDefault="00A336C4" w:rsidP="00921A18">
      <w:pPr>
        <w:pStyle w:val="enumlev2"/>
      </w:pPr>
      <w:r>
        <w:tab/>
        <w:t>The Board considered in this respect that 500 Hz bandwidth represents, for A1A</w:t>
      </w:r>
      <w:r w:rsidR="00921A18">
        <w:t> </w:t>
      </w:r>
      <w:r>
        <w:t>emissions, a speed of 100 words per minute, more than adequate for manual telegraphy. For F1B emissions, this limit covers the standard 304 Hz bandwidth (Recommendations ITU-R M.476</w:t>
      </w:r>
      <w:r>
        <w:noBreakHyphen/>
        <w:t xml:space="preserve">5, ITU-R </w:t>
      </w:r>
      <w:r w:rsidRPr="00E501A3">
        <w:t>M.493-</w:t>
      </w:r>
      <w:r w:rsidR="00E501A3" w:rsidRPr="00E501A3">
        <w:t>15</w:t>
      </w:r>
      <w:r>
        <w:t>, ITU-R M.625-</w:t>
      </w:r>
      <w:r w:rsidR="00E501A3">
        <w:t>4</w:t>
      </w:r>
      <w:r>
        <w:t xml:space="preserve"> and ITU</w:t>
      </w:r>
      <w:r w:rsidR="00921A18">
        <w:noBreakHyphen/>
      </w:r>
      <w:r>
        <w:t>R</w:t>
      </w:r>
      <w:r w:rsidR="00921A18">
        <w:t> </w:t>
      </w:r>
      <w:r>
        <w:t>SM.1138</w:t>
      </w:r>
      <w:r w:rsidR="00E501A3">
        <w:t>-3</w:t>
      </w:r>
      <w:r>
        <w:t>).</w:t>
      </w:r>
    </w:p>
    <w:p w14:paraId="090178FC" w14:textId="77777777" w:rsidR="00A336C4" w:rsidRDefault="00A336C4" w:rsidP="00921A18">
      <w:pPr>
        <w:pStyle w:val="enumlev2"/>
      </w:pPr>
      <w:r>
        <w:t>–</w:t>
      </w:r>
      <w:r>
        <w:tab/>
      </w:r>
      <w:r>
        <w:rPr>
          <w:i/>
        </w:rPr>
        <w:t>for J3E</w:t>
      </w:r>
      <w:r>
        <w:t xml:space="preserve">: </w:t>
      </w:r>
      <w:r w:rsidRPr="00921A18">
        <w:t>2</w:t>
      </w:r>
      <w:r w:rsidR="00921A18">
        <w:rPr>
          <w:rFonts w:ascii="Tms Rmn" w:hAnsi="Tms Rmn"/>
          <w:sz w:val="12"/>
        </w:rPr>
        <w:t> </w:t>
      </w:r>
      <w:r w:rsidRPr="00921A18">
        <w:t xml:space="preserve">800 </w:t>
      </w:r>
      <w:r>
        <w:t>Hz, in accordance with No. </w:t>
      </w:r>
      <w:r>
        <w:rPr>
          <w:rStyle w:val="Artref0"/>
          <w:b/>
        </w:rPr>
        <w:t>52.177</w:t>
      </w:r>
      <w:r>
        <w:t>.</w:t>
      </w:r>
    </w:p>
    <w:p w14:paraId="188B0822" w14:textId="77777777" w:rsidR="00A336C4" w:rsidRDefault="00921A18">
      <w:pPr>
        <w:pStyle w:val="enumlev1"/>
        <w:ind w:left="0" w:firstLine="0"/>
      </w:pPr>
      <w:r>
        <w:br w:type="page"/>
      </w:r>
      <w:r w:rsidR="00A336C4">
        <w:lastRenderedPageBreak/>
        <w:t>3.1.3.2</w:t>
      </w:r>
      <w:r w:rsidR="00A336C4">
        <w:tab/>
        <w:t>The notified bandwidth for the ALRC assignments shall be checked with respect to the values contained in the Plan.</w:t>
      </w:r>
    </w:p>
    <w:p w14:paraId="28C3B6C0" w14:textId="77777777" w:rsidR="00A336C4" w:rsidRDefault="00A336C4" w:rsidP="00921A18">
      <w:r>
        <w:t>3.1.4</w:t>
      </w:r>
      <w:r>
        <w:tab/>
        <w:t>In accordance with Resolution 3 (MM), the Board carried out a compatibility analysis in the bands 1</w:t>
      </w:r>
      <w:r>
        <w:rPr>
          <w:rFonts w:ascii="Tms Rmn" w:hAnsi="Tms Rmn"/>
          <w:sz w:val="12"/>
        </w:rPr>
        <w:t> </w:t>
      </w:r>
      <w:r>
        <w:t>606.5-1</w:t>
      </w:r>
      <w:r>
        <w:rPr>
          <w:rFonts w:ascii="Tms Rmn" w:hAnsi="Tms Rmn"/>
          <w:sz w:val="12"/>
        </w:rPr>
        <w:t> </w:t>
      </w:r>
      <w:r>
        <w:t>625 kHz, 1</w:t>
      </w:r>
      <w:r>
        <w:rPr>
          <w:rFonts w:ascii="Tms Rmn" w:hAnsi="Tms Rmn"/>
          <w:sz w:val="12"/>
        </w:rPr>
        <w:t> </w:t>
      </w:r>
      <w:r>
        <w:t>635-1</w:t>
      </w:r>
      <w:r>
        <w:rPr>
          <w:rFonts w:ascii="Tms Rmn" w:hAnsi="Tms Rmn"/>
          <w:sz w:val="12"/>
        </w:rPr>
        <w:t> </w:t>
      </w:r>
      <w:r>
        <w:t>800 kHz and 2</w:t>
      </w:r>
      <w:r>
        <w:rPr>
          <w:rFonts w:ascii="Tms Rmn" w:hAnsi="Tms Rmn"/>
          <w:sz w:val="12"/>
        </w:rPr>
        <w:t> </w:t>
      </w:r>
      <w:r>
        <w:t>045-2</w:t>
      </w:r>
      <w:r>
        <w:rPr>
          <w:rFonts w:ascii="Tms Rmn" w:hAnsi="Tms Rmn"/>
          <w:sz w:val="12"/>
        </w:rPr>
        <w:t> </w:t>
      </w:r>
      <w:r>
        <w:t>160 kHz, taking account of the non-planned services (see ex-IFRB Circular-letters Nos.</w:t>
      </w:r>
      <w:r w:rsidR="00921A18">
        <w:t> </w:t>
      </w:r>
      <w:r>
        <w:t xml:space="preserve">762 and 890 of 20 October 1988 and 19 December 1991, respectively). The results of the compatibility analysis shall be </w:t>
      </w:r>
      <w:proofErr w:type="gramStart"/>
      <w:r>
        <w:t>taken into account</w:t>
      </w:r>
      <w:proofErr w:type="gramEnd"/>
      <w:r>
        <w:t>.</w:t>
      </w:r>
    </w:p>
    <w:p w14:paraId="7746B8A4" w14:textId="77777777" w:rsidR="00A336C4" w:rsidRDefault="00A336C4">
      <w:pPr>
        <w:pStyle w:val="Heading2"/>
      </w:pPr>
      <w:r>
        <w:t>3.2</w:t>
      </w:r>
      <w:r>
        <w:tab/>
        <w:t>Treatment of the frequency assignment notices to transmitting and receiving stations of the planned services in the bands covered by frequency allotment Plans</w:t>
      </w:r>
    </w:p>
    <w:p w14:paraId="6F26640F" w14:textId="77777777" w:rsidR="00A336C4" w:rsidRDefault="00A336C4" w:rsidP="00921A18">
      <w:r>
        <w:t>The treatment of the frequency assignment notices related to transmitting and receiving stations of the planned services in the frequency bands covered by the frequency allotment Plans (namely, 456-457 kHz, 459-460 kHz, 1</w:t>
      </w:r>
      <w:r>
        <w:rPr>
          <w:rFonts w:ascii="Tms Rmn" w:hAnsi="Tms Rmn"/>
          <w:sz w:val="12"/>
        </w:rPr>
        <w:t> </w:t>
      </w:r>
      <w:r>
        <w:t>621-1</w:t>
      </w:r>
      <w:r>
        <w:rPr>
          <w:rFonts w:ascii="Tms Rmn" w:hAnsi="Tms Rmn"/>
          <w:sz w:val="12"/>
        </w:rPr>
        <w:t> </w:t>
      </w:r>
      <w:r>
        <w:t>625 kHz and 2</w:t>
      </w:r>
      <w:r>
        <w:rPr>
          <w:rFonts w:ascii="Tms Rmn" w:hAnsi="Tms Rmn"/>
          <w:sz w:val="12"/>
        </w:rPr>
        <w:t> </w:t>
      </w:r>
      <w:r>
        <w:t>156-2</w:t>
      </w:r>
      <w:r>
        <w:rPr>
          <w:rFonts w:ascii="Tms Rmn" w:hAnsi="Tms Rmn"/>
          <w:sz w:val="12"/>
        </w:rPr>
        <w:t> </w:t>
      </w:r>
      <w:r>
        <w:t>160 kHz), notified by the administrations considered parties to the Agreement, shall be subject to the exami</w:t>
      </w:r>
      <w:r w:rsidR="00921A18">
        <w:softHyphen/>
      </w:r>
      <w:r>
        <w:t>nation of conformity with the Allotment Plan, as contained in Annex 1 to Resolution</w:t>
      </w:r>
      <w:r w:rsidR="00921A18">
        <w:t> </w:t>
      </w:r>
      <w:r>
        <w:t>5 (MM), taking into account the following criteria:</w:t>
      </w:r>
    </w:p>
    <w:p w14:paraId="2ED996A6" w14:textId="77777777" w:rsidR="00A336C4" w:rsidRDefault="00A336C4" w:rsidP="00921A18">
      <w:pPr>
        <w:pStyle w:val="enumlev1"/>
      </w:pPr>
      <w:r>
        <w:t>–</w:t>
      </w:r>
      <w:r>
        <w:tab/>
        <w:t>the assigned frequency pairs shall coincide with those of the allotment Plans contained in Annexes to Resolution</w:t>
      </w:r>
      <w:r w:rsidR="00921A18">
        <w:t> </w:t>
      </w:r>
      <w:r>
        <w:t>5</w:t>
      </w:r>
      <w:r w:rsidR="00921A18">
        <w:t> </w:t>
      </w:r>
      <w:r>
        <w:t>(MM</w:t>
      </w:r>
      <w:proofErr w:type="gramStart"/>
      <w:r>
        <w:t>);</w:t>
      </w:r>
      <w:proofErr w:type="gramEnd"/>
    </w:p>
    <w:p w14:paraId="6C753A3D" w14:textId="77777777" w:rsidR="00A336C4" w:rsidRDefault="00A336C4" w:rsidP="00921A18">
      <w:pPr>
        <w:pStyle w:val="enumlev1"/>
      </w:pPr>
      <w:r>
        <w:t>–</w:t>
      </w:r>
      <w:r>
        <w:tab/>
        <w:t xml:space="preserve">the geographical coordinates of the transmitting/receiving station shall be situated within the respective </w:t>
      </w:r>
      <w:proofErr w:type="gramStart"/>
      <w:r>
        <w:t>country;</w:t>
      </w:r>
      <w:proofErr w:type="gramEnd"/>
    </w:p>
    <w:p w14:paraId="6848317D" w14:textId="77777777" w:rsidR="00A336C4" w:rsidRDefault="00A336C4">
      <w:pPr>
        <w:pStyle w:val="enumlev1"/>
      </w:pPr>
      <w:r>
        <w:t>–</w:t>
      </w:r>
      <w:r>
        <w:tab/>
        <w:t>the notified service range shall not exceed the limits of 500 km for the band 435-526.5 kHz, and of 400 km for the band 1</w:t>
      </w:r>
      <w:r>
        <w:rPr>
          <w:rFonts w:ascii="Tms Rmn" w:hAnsi="Tms Rmn"/>
          <w:sz w:val="12"/>
        </w:rPr>
        <w:t> </w:t>
      </w:r>
      <w:r>
        <w:t>606.5-2</w:t>
      </w:r>
      <w:r>
        <w:rPr>
          <w:rFonts w:ascii="Tms Rmn" w:hAnsi="Tms Rmn"/>
          <w:sz w:val="12"/>
        </w:rPr>
        <w:t> </w:t>
      </w:r>
      <w:r>
        <w:t>160 kHz (these limits were used in the establishment of the frequency assignment Plans</w:t>
      </w:r>
      <w:proofErr w:type="gramStart"/>
      <w:r>
        <w:t>);</w:t>
      </w:r>
      <w:proofErr w:type="gramEnd"/>
    </w:p>
    <w:p w14:paraId="349F8804" w14:textId="77777777" w:rsidR="00A336C4" w:rsidRDefault="00A336C4">
      <w:pPr>
        <w:pStyle w:val="enumlev1"/>
      </w:pPr>
      <w:r>
        <w:t>–</w:t>
      </w:r>
      <w:r>
        <w:tab/>
        <w:t xml:space="preserve">the notified nature of service shall be </w:t>
      </w:r>
      <w:proofErr w:type="gramStart"/>
      <w:r>
        <w:t>CP;</w:t>
      </w:r>
      <w:proofErr w:type="gramEnd"/>
    </w:p>
    <w:p w14:paraId="6731C1BD" w14:textId="77777777" w:rsidR="00A336C4" w:rsidRDefault="00A336C4" w:rsidP="00921A18">
      <w:pPr>
        <w:pStyle w:val="enumlev1"/>
      </w:pPr>
      <w:r>
        <w:t>–</w:t>
      </w:r>
      <w:r>
        <w:tab/>
        <w:t>the notified class of emission shall be F1B or J2B, and the notified bandwidth shall not exceed 304</w:t>
      </w:r>
      <w:r w:rsidR="00921A18">
        <w:t> </w:t>
      </w:r>
      <w:r>
        <w:t>Hz.</w:t>
      </w:r>
    </w:p>
    <w:p w14:paraId="7AE26A04" w14:textId="77777777" w:rsidR="00A336C4" w:rsidRDefault="00A336C4">
      <w:pPr>
        <w:pStyle w:val="Heading2"/>
      </w:pPr>
      <w:r>
        <w:t>3.3</w:t>
      </w:r>
      <w:r>
        <w:tab/>
        <w:t>Treatment of the frequency assignment notices to transmitting and receiving stations in the non-planned services</w:t>
      </w:r>
    </w:p>
    <w:p w14:paraId="5B0A0D0B" w14:textId="77777777" w:rsidR="00A336C4" w:rsidRDefault="00A336C4">
      <w:r>
        <w:t xml:space="preserve">The treatment of the frequency assignment notices to transmitting and receiving stations in the non-planned services, from administrations considered parties to the Agreement, shall follow the procedure contained in Article 6 of the Agreement. In the analysis of the results of the technical examination with respect to notices of the administrations considered parties to the Agreement, only the day-time results will be </w:t>
      </w:r>
      <w:proofErr w:type="gramStart"/>
      <w:r>
        <w:t>taken into account</w:t>
      </w:r>
      <w:proofErr w:type="gramEnd"/>
      <w:r>
        <w:t xml:space="preserve"> (sky-wave shall be disregarded).</w:t>
      </w:r>
    </w:p>
    <w:p w14:paraId="2BA346EC" w14:textId="77777777" w:rsidR="00A336C4" w:rsidRDefault="00A336C4" w:rsidP="00921A18"/>
    <w:p w14:paraId="31E4A31A" w14:textId="77777777" w:rsidR="00A336C4" w:rsidRDefault="00A336C4">
      <w:pPr>
        <w:jc w:val="center"/>
      </w:pPr>
      <w:r>
        <w:t>____________________</w:t>
      </w:r>
    </w:p>
    <w:p w14:paraId="2B51EE58" w14:textId="77777777" w:rsidR="00A336C4" w:rsidRDefault="00A336C4" w:rsidP="00921A18">
      <w:pPr>
        <w:rPr>
          <w:lang w:val="en-US"/>
        </w:rPr>
      </w:pPr>
    </w:p>
    <w:p w14:paraId="01316DE7" w14:textId="77777777" w:rsidR="00A336C4" w:rsidRDefault="00A336C4" w:rsidP="00921A18">
      <w:pPr>
        <w:rPr>
          <w:lang w:val="en-US"/>
        </w:rPr>
        <w:sectPr w:rsidR="00A336C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051F8C7" w14:textId="77777777" w:rsidR="00A336C4" w:rsidRDefault="00A336C4" w:rsidP="00921A18">
      <w:pPr>
        <w:rPr>
          <w:lang w:val="en-US"/>
        </w:rPr>
      </w:pPr>
    </w:p>
    <w:sectPr w:rsidR="00A336C4" w:rsidSect="00921A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B1D70" w14:textId="77777777" w:rsidR="00651631" w:rsidRDefault="00651631">
      <w:r>
        <w:separator/>
      </w:r>
    </w:p>
  </w:endnote>
  <w:endnote w:type="continuationSeparator" w:id="0">
    <w:p w14:paraId="7BA990E3" w14:textId="77777777" w:rsidR="00651631" w:rsidRDefault="0065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1DD89" w14:textId="77777777" w:rsidR="00651631" w:rsidRDefault="00651631">
      <w:r>
        <w:rPr>
          <w:b/>
        </w:rPr>
        <w:t>_______________</w:t>
      </w:r>
    </w:p>
  </w:footnote>
  <w:footnote w:type="continuationSeparator" w:id="0">
    <w:p w14:paraId="1F18AAB8" w14:textId="77777777" w:rsidR="00651631" w:rsidRDefault="00651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6C4" w14:paraId="30D1374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C452174" w14:textId="00DC5A2F" w:rsidR="00A336C4" w:rsidRDefault="00A336C4">
          <w:pPr>
            <w:pStyle w:val="HeaderRegProc"/>
          </w:pPr>
          <w:r>
            <w:t xml:space="preserve">Part </w:t>
          </w:r>
          <w:r w:rsidR="00D4762E">
            <w:fldChar w:fldCharType="begin"/>
          </w:r>
          <w:r w:rsidR="00D4762E">
            <w:instrText>styleref href</w:instrText>
          </w:r>
          <w:r w:rsidR="00D4762E">
            <w:fldChar w:fldCharType="separate"/>
          </w:r>
          <w:r w:rsidR="0020365C">
            <w:rPr>
              <w:noProof/>
            </w:rPr>
            <w:t>A8</w:t>
          </w:r>
          <w:r w:rsidR="00D4762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21359B" w14:textId="5DCC075D" w:rsidR="00A336C4" w:rsidRDefault="00D4762E">
          <w:pPr>
            <w:pStyle w:val="HeaderRegProc"/>
            <w:rPr>
              <w:lang w:val="fr-FR"/>
            </w:rPr>
          </w:pPr>
          <w:r>
            <w:fldChar w:fldCharType="begin"/>
          </w:r>
          <w:r>
            <w:instrText>styleref href2</w:instrText>
          </w:r>
          <w:r>
            <w:fldChar w:fldCharType="separate"/>
          </w:r>
          <w:r w:rsidR="0020365C">
            <w:rPr>
              <w:noProof/>
            </w:rPr>
            <w:t>GE85-</w:t>
          </w:r>
          <w:r>
            <w:rPr>
              <w:noProof/>
            </w:rPr>
            <w:fldChar w:fldCharType="end"/>
          </w:r>
          <w:r w:rsidR="00A336C4">
            <w:t>R1</w:t>
          </w:r>
        </w:p>
      </w:tc>
      <w:tc>
        <w:tcPr>
          <w:tcW w:w="1701" w:type="dxa"/>
          <w:tcBorders>
            <w:top w:val="single" w:sz="6" w:space="0" w:color="auto"/>
            <w:left w:val="single" w:sz="6" w:space="0" w:color="auto"/>
            <w:bottom w:val="single" w:sz="6" w:space="0" w:color="auto"/>
            <w:right w:val="single" w:sz="6" w:space="0" w:color="auto"/>
          </w:tcBorders>
        </w:tcPr>
        <w:p w14:paraId="5C126CAC" w14:textId="77777777" w:rsidR="00A336C4" w:rsidRDefault="00A336C4">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F05B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DFFBF1" w14:textId="720CB82F" w:rsidR="00A336C4" w:rsidRDefault="00A336C4">
          <w:pPr>
            <w:pStyle w:val="HeaderRegProc"/>
            <w:rPr>
              <w:lang w:val="fr-CH"/>
            </w:rPr>
          </w:pPr>
          <w:proofErr w:type="gramStart"/>
          <w:r>
            <w:rPr>
              <w:lang w:val="fr-CH"/>
            </w:rPr>
            <w:t>rev</w:t>
          </w:r>
          <w:proofErr w:type="gramEnd"/>
          <w:r>
            <w:rPr>
              <w:lang w:val="fr-CH"/>
            </w:rPr>
            <w:t>.</w:t>
          </w:r>
          <w:r w:rsidR="00621D74">
            <w:rPr>
              <w:lang w:val="fr-CH"/>
            </w:rPr>
            <w:t xml:space="preserve"> </w:t>
          </w:r>
          <w:fldSimple w:instr=" DOCPROPERTY &quot;Header10&quot; \* MERGEFORMAT ">
            <w:r w:rsidR="00D4762E" w:rsidRPr="00D4762E">
              <w:rPr>
                <w:lang w:val="fr-CH"/>
              </w:rPr>
              <w:t>-</w:t>
            </w:r>
          </w:fldSimple>
        </w:p>
      </w:tc>
    </w:tr>
  </w:tbl>
  <w:p w14:paraId="65415EE6" w14:textId="77777777" w:rsidR="00A336C4" w:rsidRDefault="00A336C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6C4" w14:paraId="14B82B4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ABF992C" w14:textId="066BFCAA" w:rsidR="00A336C4" w:rsidRDefault="00A336C4">
          <w:pPr>
            <w:pStyle w:val="HeaderRegProc"/>
          </w:pPr>
          <w:r>
            <w:t xml:space="preserve">Part </w:t>
          </w:r>
          <w:r w:rsidR="00D4762E">
            <w:fldChar w:fldCharType="begin"/>
          </w:r>
          <w:r w:rsidR="00D4762E">
            <w:instrText>styleref href</w:instrText>
          </w:r>
          <w:r w:rsidR="00D4762E">
            <w:fldChar w:fldCharType="separate"/>
          </w:r>
          <w:r w:rsidR="0020365C">
            <w:rPr>
              <w:noProof/>
            </w:rPr>
            <w:t>A8</w:t>
          </w:r>
          <w:r w:rsidR="00D4762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2C5D" w14:textId="6A7CC435" w:rsidR="00A336C4" w:rsidRDefault="00D4762E">
          <w:pPr>
            <w:pStyle w:val="HeaderRegProc"/>
            <w:rPr>
              <w:lang w:val="fr-FR"/>
            </w:rPr>
          </w:pPr>
          <w:r>
            <w:fldChar w:fldCharType="begin"/>
          </w:r>
          <w:r>
            <w:instrText>styleref href2</w:instrText>
          </w:r>
          <w:r>
            <w:fldChar w:fldCharType="separate"/>
          </w:r>
          <w:r w:rsidR="0020365C">
            <w:rPr>
              <w:noProof/>
            </w:rPr>
            <w:t>GE85-</w:t>
          </w:r>
          <w:r>
            <w:rPr>
              <w:noProof/>
            </w:rPr>
            <w:fldChar w:fldCharType="end"/>
          </w:r>
          <w:r w:rsidR="00A336C4">
            <w:t>R1</w:t>
          </w:r>
        </w:p>
      </w:tc>
      <w:tc>
        <w:tcPr>
          <w:tcW w:w="1701" w:type="dxa"/>
          <w:tcBorders>
            <w:top w:val="single" w:sz="6" w:space="0" w:color="auto"/>
            <w:left w:val="single" w:sz="6" w:space="0" w:color="auto"/>
            <w:bottom w:val="single" w:sz="6" w:space="0" w:color="auto"/>
            <w:right w:val="single" w:sz="6" w:space="0" w:color="auto"/>
          </w:tcBorders>
        </w:tcPr>
        <w:p w14:paraId="4506BD88" w14:textId="77777777" w:rsidR="00A336C4" w:rsidRDefault="00A336C4">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F05B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A1EAC4" w14:textId="267894CE" w:rsidR="00A336C4" w:rsidRDefault="00A336C4">
          <w:pPr>
            <w:pStyle w:val="HeaderRegProc"/>
            <w:rPr>
              <w:lang w:val="fr-CH"/>
            </w:rPr>
          </w:pPr>
          <w:proofErr w:type="gramStart"/>
          <w:r>
            <w:rPr>
              <w:lang w:val="fr-CH"/>
            </w:rPr>
            <w:t>rev</w:t>
          </w:r>
          <w:proofErr w:type="gramEnd"/>
          <w:r>
            <w:rPr>
              <w:lang w:val="fr-CH"/>
            </w:rPr>
            <w:t>.</w:t>
          </w:r>
          <w:r w:rsidR="00621D74">
            <w:rPr>
              <w:lang w:val="fr-CH"/>
            </w:rPr>
            <w:t xml:space="preserve"> </w:t>
          </w:r>
          <w:fldSimple w:instr=" DOCPROPERTY &quot;Header10&quot; \* MERGEFORMAT ">
            <w:r w:rsidR="00D4762E" w:rsidRPr="00D4762E">
              <w:rPr>
                <w:lang w:val="fr-CH"/>
              </w:rPr>
              <w:t>-</w:t>
            </w:r>
          </w:fldSimple>
        </w:p>
      </w:tc>
    </w:tr>
  </w:tbl>
  <w:p w14:paraId="786241D3" w14:textId="77777777" w:rsidR="00A336C4" w:rsidRDefault="00A336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36C4"/>
    <w:rsid w:val="0020365C"/>
    <w:rsid w:val="003D6283"/>
    <w:rsid w:val="0055028D"/>
    <w:rsid w:val="005C22A9"/>
    <w:rsid w:val="00621D74"/>
    <w:rsid w:val="00651631"/>
    <w:rsid w:val="00921A18"/>
    <w:rsid w:val="00A336C4"/>
    <w:rsid w:val="00CF05BC"/>
    <w:rsid w:val="00D4762E"/>
    <w:rsid w:val="00E501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71999"/>
  <w15:docId w15:val="{5BAF959A-8135-4868-BD2D-14EA17D85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15</TotalTime>
  <Pages>5</Pages>
  <Words>1353</Words>
  <Characters>8349</Characters>
  <Application>Microsoft Office Word</Application>
  <DocSecurity>0</DocSecurity>
  <Lines>154</Lines>
  <Paragraphs>50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GE85-R1 du RR</dc:subject>
  <dc:creator/>
  <cp:keywords/>
  <dc:description/>
  <cp:lastModifiedBy>Gachet, Christelle</cp:lastModifiedBy>
  <cp:revision>8</cp:revision>
  <cp:lastPrinted>2020-12-15T10:06:00Z</cp:lastPrinted>
  <dcterms:created xsi:type="dcterms:W3CDTF">2012-08-08T06:53:00Z</dcterms:created>
  <dcterms:modified xsi:type="dcterms:W3CDTF">2025-11-18T13:43:00Z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