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800D7" w14:textId="77777777" w:rsidR="008C6757" w:rsidRDefault="008C6757" w:rsidP="0052644B">
      <w:pPr>
        <w:pStyle w:val="Heading1"/>
        <w:spacing w:before="300"/>
        <w:jc w:val="center"/>
      </w:pPr>
      <w:proofErr w:type="gramStart"/>
      <w:r>
        <w:t xml:space="preserve">PART  </w:t>
      </w:r>
      <w:r>
        <w:rPr>
          <w:rStyle w:val="href"/>
        </w:rPr>
        <w:t>A</w:t>
      </w:r>
      <w:proofErr w:type="gramEnd"/>
      <w:r>
        <w:rPr>
          <w:rStyle w:val="href"/>
        </w:rPr>
        <w:t>7</w:t>
      </w:r>
    </w:p>
    <w:p w14:paraId="34E53ADB" w14:textId="77777777" w:rsidR="008C6757" w:rsidRDefault="008C6757">
      <w:pPr>
        <w:pStyle w:val="Heading1"/>
        <w:ind w:left="0" w:firstLine="0"/>
        <w:jc w:val="center"/>
      </w:pPr>
      <w:r>
        <w:t>Rules concerning Resolution 1 of the RJ88 Conference and</w:t>
      </w:r>
      <w:r>
        <w:br/>
        <w:t>Article 6 of the RJ88 Agreement</w:t>
      </w:r>
    </w:p>
    <w:p w14:paraId="590FBC0C" w14:textId="77777777" w:rsidR="008C6757" w:rsidRDefault="008C6757">
      <w:pPr>
        <w:pStyle w:val="Heading1"/>
      </w:pPr>
      <w:r>
        <w:t>1</w:t>
      </w:r>
      <w:r>
        <w:tab/>
        <w:t>Application of Resolution 1 (</w:t>
      </w:r>
      <w:r>
        <w:rPr>
          <w:rStyle w:val="href2"/>
        </w:rPr>
        <w:t>RJ88</w:t>
      </w:r>
      <w:r>
        <w:t>)</w:t>
      </w:r>
    </w:p>
    <w:p w14:paraId="4BAE060E" w14:textId="77777777" w:rsidR="008C6757" w:rsidRDefault="008C6757" w:rsidP="0052644B">
      <w:r>
        <w:t>1.1</w:t>
      </w:r>
      <w:r>
        <w:tab/>
        <w:t>Under the terms of this Resolution, the ex-IFRB was requested to assess the interference caused to the allotments appearing in the broadcasting Plan by assignments to the fixed and mobile services in the band 1</w:t>
      </w:r>
      <w:r>
        <w:rPr>
          <w:rFonts w:ascii="Tms Rmn" w:hAnsi="Tms Rmn"/>
          <w:sz w:val="12"/>
        </w:rPr>
        <w:t> </w:t>
      </w:r>
      <w:r>
        <w:t>625-1</w:t>
      </w:r>
      <w:r>
        <w:rPr>
          <w:rFonts w:ascii="Tms Rmn" w:hAnsi="Tms Rmn"/>
          <w:sz w:val="12"/>
        </w:rPr>
        <w:t> </w:t>
      </w:r>
      <w:r>
        <w:t>705 kHz notified before 1 July 1990, the date of entry into force of the Final Acts of the RJ88 Conference (see §</w:t>
      </w:r>
      <w:r w:rsidR="0052644B">
        <w:t> </w:t>
      </w:r>
      <w:r>
        <w:t xml:space="preserve">2 of </w:t>
      </w:r>
      <w:r>
        <w:rPr>
          <w:i/>
        </w:rPr>
        <w:t>resolves to request the IFRB</w:t>
      </w:r>
      <w:r>
        <w:t>). The Resolution also requested the ex-IFRB to review the finding of any assignment, recorded in the Master Register, of the fixed or mobile service which is incompatible with the broadcasting Plan and to enter a remark in an appropriate column of the Master Register to indicate that this finding will be reviewed again when a broadcasting station of the allotment which is at the origin of the unfavourable finding is brought into use (see §</w:t>
      </w:r>
      <w:r w:rsidR="0052644B">
        <w:t> </w:t>
      </w:r>
      <w:r>
        <w:t xml:space="preserve">3 of </w:t>
      </w:r>
      <w:r>
        <w:rPr>
          <w:i/>
        </w:rPr>
        <w:t>resolves to request the IFRB</w:t>
      </w:r>
      <w:r>
        <w:t>).</w:t>
      </w:r>
    </w:p>
    <w:p w14:paraId="6E2B1DED" w14:textId="77777777" w:rsidR="008C6757" w:rsidRDefault="008C6757" w:rsidP="0052644B">
      <w:r>
        <w:t>1.2</w:t>
      </w:r>
      <w:r>
        <w:tab/>
        <w:t>In terms of this Resolution and when an assignment of the fixed or mobile service is incompatible and consequently the Finding is unfavourable vis-à-vis an allotment in the broadcasting Plan, the procedure of No. 1255 of the Radio Regulations (edition of 1990, revised in 1994) were to be applied to the assignment concerned of the fixed or mobile service with the provis</w:t>
      </w:r>
      <w:r w:rsidR="0052644B">
        <w:t>i</w:t>
      </w:r>
      <w:r>
        <w:t>on that the two-month period specified in that procedure shall start from the date of bringing into use of the station of the broadcasting service in conformity with the allotment concerned (see §</w:t>
      </w:r>
      <w:r w:rsidR="0052644B">
        <w:t> </w:t>
      </w:r>
      <w:r>
        <w:t xml:space="preserve">4 of </w:t>
      </w:r>
      <w:r>
        <w:rPr>
          <w:i/>
        </w:rPr>
        <w:t>resolves to request the IFRB</w:t>
      </w:r>
      <w:r>
        <w:t>).</w:t>
      </w:r>
    </w:p>
    <w:p w14:paraId="0727FAF2" w14:textId="246485C7" w:rsidR="008C6757" w:rsidRDefault="008C6757" w:rsidP="0052644B">
      <w:r>
        <w:t>1.3</w:t>
      </w:r>
      <w:r>
        <w:tab/>
        <w:t>The Board noted the provisions of No. </w:t>
      </w:r>
      <w:r w:rsidRPr="008C6757">
        <w:rPr>
          <w:rStyle w:val="Artref"/>
          <w:b/>
          <w:bCs/>
          <w:color w:val="000000"/>
        </w:rPr>
        <w:t>5.89</w:t>
      </w:r>
      <w:r>
        <w:t xml:space="preserve"> which refer to the examination</w:t>
      </w:r>
      <w:r w:rsidR="0052644B">
        <w:t xml:space="preserve"> </w:t>
      </w:r>
      <w:r>
        <w:t>of</w:t>
      </w:r>
      <w:r w:rsidR="0052644B">
        <w:t xml:space="preserve"> </w:t>
      </w:r>
      <w:r>
        <w:t>frequency assignments to stations of the fixed and mobile services in the band</w:t>
      </w:r>
      <w:r w:rsidR="0052644B">
        <w:t xml:space="preserve"> </w:t>
      </w:r>
      <w:r>
        <w:t>1</w:t>
      </w:r>
      <w:r>
        <w:rPr>
          <w:rFonts w:ascii="Tms Rmn" w:hAnsi="Tms Rmn"/>
          <w:sz w:val="12"/>
        </w:rPr>
        <w:t> </w:t>
      </w:r>
      <w:r>
        <w:t>625</w:t>
      </w:r>
      <w:r w:rsidR="009801E7">
        <w:noBreakHyphen/>
      </w:r>
      <w:r>
        <w:t>1</w:t>
      </w:r>
      <w:r>
        <w:rPr>
          <w:rFonts w:ascii="Tms Rmn" w:hAnsi="Tms Rmn"/>
          <w:sz w:val="12"/>
        </w:rPr>
        <w:t> </w:t>
      </w:r>
      <w:r>
        <w:t>705</w:t>
      </w:r>
      <w:r w:rsidR="0052644B">
        <w:t> </w:t>
      </w:r>
      <w:r>
        <w:t>kHz, requiring to take account of the allotments appearing in the Plan (RJ88).</w:t>
      </w:r>
    </w:p>
    <w:p w14:paraId="23D2D47B" w14:textId="77777777" w:rsidR="008C6757" w:rsidRDefault="008C6757" w:rsidP="0052644B">
      <w:r>
        <w:t>1.4</w:t>
      </w:r>
      <w:r>
        <w:tab/>
        <w:t>Against this background, the Board decided to use the following approach in application of Resolution</w:t>
      </w:r>
      <w:r w:rsidR="0052644B">
        <w:t> </w:t>
      </w:r>
      <w:r>
        <w:t>1 (RJ88):</w:t>
      </w:r>
    </w:p>
    <w:p w14:paraId="6A2E3FDC" w14:textId="77777777" w:rsidR="008C6757" w:rsidRDefault="008C6757" w:rsidP="0052644B">
      <w:pPr>
        <w:pStyle w:val="enumlev1"/>
        <w:ind w:left="0" w:firstLine="0"/>
      </w:pPr>
      <w:r>
        <w:t>1.4.1</w:t>
      </w:r>
      <w:r>
        <w:tab/>
        <w:t>in application of §</w:t>
      </w:r>
      <w:r w:rsidR="0052644B">
        <w:t> </w:t>
      </w:r>
      <w:r>
        <w:t>3 of the Resolution, an incompatibility of an assignment of the fixed or mobile service vis-à-vis an allotment in the Plan was indicated by Symbol H in Column 13B2, and a Symbol X/RS1(RJ88)/---- (symbol of the country whose allotment is likely to be affected) in Column</w:t>
      </w:r>
      <w:r w:rsidR="0052644B">
        <w:t> </w:t>
      </w:r>
      <w:proofErr w:type="gramStart"/>
      <w:r>
        <w:t>11;</w:t>
      </w:r>
      <w:proofErr w:type="gramEnd"/>
    </w:p>
    <w:p w14:paraId="0B54B836" w14:textId="77777777" w:rsidR="008C6757" w:rsidRDefault="008C6757" w:rsidP="0052644B">
      <w:pPr>
        <w:pStyle w:val="enumlev1"/>
        <w:ind w:left="0" w:firstLine="0"/>
      </w:pPr>
      <w:r>
        <w:t>1.4.2</w:t>
      </w:r>
      <w:r>
        <w:tab/>
        <w:t>when an assignment corresponding to the allotment concerned in the broadcasting Plan is brought into use, and if, during the period of two months mentioned in §</w:t>
      </w:r>
      <w:r w:rsidR="0052644B">
        <w:t> </w:t>
      </w:r>
      <w:r>
        <w:t>4</w:t>
      </w:r>
      <w:r w:rsidR="0052644B">
        <w:t> </w:t>
      </w:r>
      <w:r>
        <w:rPr>
          <w:i/>
        </w:rPr>
        <w:t>b)</w:t>
      </w:r>
      <w:r>
        <w:t xml:space="preserve"> of Resolution 1 (RJ88), the Bureau receives information that harmful interference has occurred, the Bureau shall review the Finding of the assignment to the fixed or mobile station. In so doing, it shall replace the earlier finding indicated in §</w:t>
      </w:r>
      <w:r w:rsidR="0052644B">
        <w:t> </w:t>
      </w:r>
      <w:r>
        <w:t>1.4.1 above by inserting Symbol N in Column 13A2, Symbol Y in Column 13B2 and symbol X</w:t>
      </w:r>
      <w:r w:rsidRPr="0052644B">
        <w:t>/</w:t>
      </w:r>
      <w:r>
        <w:t>RS1(RJ88) in Column 13B1; the symbols mentioned in §</w:t>
      </w:r>
      <w:r w:rsidR="0052644B">
        <w:t> </w:t>
      </w:r>
      <w:r>
        <w:t xml:space="preserve">1.4.1 above will be </w:t>
      </w:r>
      <w:proofErr w:type="gramStart"/>
      <w:r>
        <w:t>deleted;</w:t>
      </w:r>
      <w:proofErr w:type="gramEnd"/>
    </w:p>
    <w:p w14:paraId="4C2BA890" w14:textId="77777777" w:rsidR="008C6757" w:rsidRDefault="008C6757" w:rsidP="0052644B">
      <w:pPr>
        <w:pStyle w:val="enumlev1"/>
        <w:ind w:left="0" w:firstLine="0"/>
      </w:pPr>
      <w:r>
        <w:br w:type="page"/>
      </w:r>
      <w:r>
        <w:lastRenderedPageBreak/>
        <w:t>1.4.3</w:t>
      </w:r>
      <w:r>
        <w:tab/>
        <w:t>however, if the Bureau does not receive information that harmful interference has occurred during the two-month period, the Finding of the assignment to the fixed or mobile station mentioned in §</w:t>
      </w:r>
      <w:r w:rsidR="0052644B">
        <w:t> </w:t>
      </w:r>
      <w:r>
        <w:t>1.4.1 above shall be retained.</w:t>
      </w:r>
    </w:p>
    <w:p w14:paraId="41EE77F3" w14:textId="77777777" w:rsidR="008C6757" w:rsidRDefault="008C6757">
      <w:pPr>
        <w:pStyle w:val="Heading1"/>
      </w:pPr>
      <w:r>
        <w:t>2</w:t>
      </w:r>
      <w:r>
        <w:tab/>
        <w:t>Application of Article 6 of the RJ88 Agreement</w:t>
      </w:r>
    </w:p>
    <w:p w14:paraId="747C84BC" w14:textId="77777777" w:rsidR="008C6757" w:rsidRDefault="008C6757" w:rsidP="0052644B">
      <w:r>
        <w:t>2.1</w:t>
      </w:r>
      <w:r>
        <w:tab/>
        <w:t>Application of §</w:t>
      </w:r>
      <w:r w:rsidR="0052644B">
        <w:t> </w:t>
      </w:r>
      <w:r>
        <w:t>1 to 6 of Article 6 do not present any problem and they shall be applied as indicated in Article</w:t>
      </w:r>
      <w:r w:rsidR="0052644B">
        <w:t> </w:t>
      </w:r>
      <w:r>
        <w:t>6.</w:t>
      </w:r>
    </w:p>
    <w:p w14:paraId="67FD09DE" w14:textId="77777777" w:rsidR="008C6757" w:rsidRDefault="008C6757" w:rsidP="0052644B">
      <w:r>
        <w:t>2.2</w:t>
      </w:r>
      <w:r>
        <w:tab/>
        <w:t>If the administration resubmits the notice in accordance with §</w:t>
      </w:r>
      <w:r w:rsidR="0052644B">
        <w:t> </w:t>
      </w:r>
      <w:r>
        <w:t xml:space="preserve">7 of Article 6, the Bureau shall record it provisionally, pending the notification of a broadcasting station </w:t>
      </w:r>
      <w:proofErr w:type="gramStart"/>
      <w:r>
        <w:t>in the area of</w:t>
      </w:r>
      <w:proofErr w:type="gramEnd"/>
      <w:r>
        <w:t xml:space="preserve"> the allotment at the origin of unfavourable Finding.</w:t>
      </w:r>
    </w:p>
    <w:p w14:paraId="7170874D" w14:textId="77777777" w:rsidR="008C6757" w:rsidRDefault="008C6757">
      <w:r>
        <w:t>2.3</w:t>
      </w:r>
      <w:r>
        <w:tab/>
        <w:t xml:space="preserve">The Bureau shall review the recording when it is advised that a broadcasting station is brought into use </w:t>
      </w:r>
      <w:proofErr w:type="gramStart"/>
      <w:r>
        <w:t>in the area of</w:t>
      </w:r>
      <w:proofErr w:type="gramEnd"/>
      <w:r>
        <w:t xml:space="preserve"> the allotment at the origin of the unfavourable Finding.</w:t>
      </w:r>
    </w:p>
    <w:p w14:paraId="05038645" w14:textId="77777777" w:rsidR="008C6757" w:rsidRDefault="008C6757">
      <w:r>
        <w:t>2.4</w:t>
      </w:r>
      <w:r>
        <w:tab/>
        <w:t>If no interference to the broadcasting station is reported during the two-month period the provisional recording shall be maintained without change.</w:t>
      </w:r>
    </w:p>
    <w:p w14:paraId="7342AAC1" w14:textId="77777777" w:rsidR="008C6757" w:rsidRDefault="008C6757">
      <w:r>
        <w:t>2.5</w:t>
      </w:r>
      <w:r>
        <w:tab/>
        <w:t xml:space="preserve">If interference to the broadcasting station is reported during the two-month period the provisional recording shall be </w:t>
      </w:r>
      <w:proofErr w:type="gramStart"/>
      <w:r>
        <w:t>cancelled</w:t>
      </w:r>
      <w:proofErr w:type="gramEnd"/>
      <w:r>
        <w:t xml:space="preserve"> and the notice shall be returned to the administration.</w:t>
      </w:r>
    </w:p>
    <w:p w14:paraId="5F9D95F6" w14:textId="77777777" w:rsidR="008C6757" w:rsidRDefault="008C6757" w:rsidP="0052644B"/>
    <w:p w14:paraId="3B8EF547" w14:textId="77777777" w:rsidR="008C6757" w:rsidRDefault="008C6757">
      <w:pPr>
        <w:jc w:val="center"/>
      </w:pPr>
      <w:r>
        <w:t>____________________</w:t>
      </w:r>
    </w:p>
    <w:p w14:paraId="766488BF" w14:textId="77777777" w:rsidR="008C6757" w:rsidRDefault="008C6757" w:rsidP="0052644B">
      <w:pPr>
        <w:rPr>
          <w:lang w:val="en-US"/>
        </w:rPr>
      </w:pPr>
    </w:p>
    <w:p w14:paraId="09DEED11" w14:textId="77777777" w:rsidR="008C6757" w:rsidRDefault="008C6757" w:rsidP="0052644B">
      <w:pPr>
        <w:rPr>
          <w:lang w:val="en-US"/>
        </w:rPr>
      </w:pPr>
    </w:p>
    <w:p w14:paraId="48396B62" w14:textId="77777777" w:rsidR="008C6757" w:rsidRDefault="008C6757" w:rsidP="0052644B">
      <w:pPr>
        <w:rPr>
          <w:lang w:val="en-US"/>
        </w:rPr>
      </w:pPr>
    </w:p>
    <w:p w14:paraId="5DD97002" w14:textId="77777777" w:rsidR="008C6757" w:rsidRDefault="008C6757" w:rsidP="0052644B">
      <w:pPr>
        <w:rPr>
          <w:lang w:val="en-US"/>
        </w:rPr>
      </w:pPr>
    </w:p>
    <w:p w14:paraId="79AADBA8" w14:textId="77777777" w:rsidR="008C6757" w:rsidRDefault="008C6757" w:rsidP="0052644B">
      <w:pPr>
        <w:rPr>
          <w:lang w:val="en-US"/>
        </w:rPr>
      </w:pPr>
    </w:p>
    <w:p w14:paraId="2AB9C18E" w14:textId="77777777" w:rsidR="008C6757" w:rsidRDefault="008C6757" w:rsidP="0052644B">
      <w:pPr>
        <w:rPr>
          <w:lang w:val="en-US"/>
        </w:rPr>
      </w:pPr>
    </w:p>
    <w:p w14:paraId="33433270" w14:textId="77777777" w:rsidR="008C6757" w:rsidRDefault="008C6757" w:rsidP="0052644B">
      <w:pPr>
        <w:rPr>
          <w:lang w:val="en-US"/>
        </w:rPr>
      </w:pPr>
    </w:p>
    <w:p w14:paraId="33F2C1F6" w14:textId="77777777" w:rsidR="0052644B" w:rsidRDefault="0052644B" w:rsidP="0052644B">
      <w:pPr>
        <w:rPr>
          <w:lang w:val="en-US"/>
        </w:rPr>
      </w:pPr>
    </w:p>
    <w:p w14:paraId="0307DAF4" w14:textId="77777777" w:rsidR="0052644B" w:rsidRDefault="0052644B" w:rsidP="0052644B">
      <w:pPr>
        <w:rPr>
          <w:lang w:val="en-US"/>
        </w:rPr>
      </w:pPr>
    </w:p>
    <w:p w14:paraId="5F677B49" w14:textId="77777777" w:rsidR="0052644B" w:rsidRDefault="0052644B" w:rsidP="0052644B">
      <w:pPr>
        <w:rPr>
          <w:lang w:val="en-US"/>
        </w:rPr>
      </w:pPr>
    </w:p>
    <w:p w14:paraId="1FF185A7" w14:textId="77777777" w:rsidR="0052644B" w:rsidRDefault="0052644B" w:rsidP="0052644B">
      <w:pPr>
        <w:rPr>
          <w:lang w:val="en-US"/>
        </w:rPr>
      </w:pPr>
    </w:p>
    <w:p w14:paraId="0FA111E4" w14:textId="77777777" w:rsidR="008C6757" w:rsidRDefault="008C6757" w:rsidP="0052644B">
      <w:pPr>
        <w:rPr>
          <w:lang w:val="en-US"/>
        </w:rPr>
        <w:sectPr w:rsidR="008C675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3138107A" w14:textId="77777777" w:rsidR="008C6757" w:rsidRDefault="008C6757" w:rsidP="0052644B">
      <w:pPr>
        <w:rPr>
          <w:lang w:val="en-US"/>
        </w:rPr>
      </w:pPr>
    </w:p>
    <w:sectPr w:rsidR="008C6757" w:rsidSect="0052644B">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FBCC3" w14:textId="77777777" w:rsidR="00EB70F5" w:rsidRDefault="00EB70F5">
      <w:r>
        <w:separator/>
      </w:r>
    </w:p>
  </w:endnote>
  <w:endnote w:type="continuationSeparator" w:id="0">
    <w:p w14:paraId="0F3FC880" w14:textId="77777777" w:rsidR="00EB70F5" w:rsidRDefault="00EB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CD815" w14:textId="77777777" w:rsidR="00EB70F5" w:rsidRDefault="00EB70F5">
      <w:r>
        <w:rPr>
          <w:b/>
        </w:rPr>
        <w:t>_______________</w:t>
      </w:r>
    </w:p>
  </w:footnote>
  <w:footnote w:type="continuationSeparator" w:id="0">
    <w:p w14:paraId="71F6021D" w14:textId="77777777" w:rsidR="00EB70F5" w:rsidRDefault="00EB7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C6757" w14:paraId="2A43C81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C4A4690" w14:textId="6CD18110" w:rsidR="008C6757" w:rsidRDefault="008C6757">
          <w:pPr>
            <w:pStyle w:val="HeaderRegProc"/>
          </w:pPr>
          <w:proofErr w:type="spellStart"/>
          <w:r>
            <w:t>Part</w:t>
          </w:r>
          <w:proofErr w:type="spellEnd"/>
          <w:r>
            <w:t xml:space="preserve"> </w:t>
          </w:r>
          <w:r w:rsidR="00237FBA">
            <w:fldChar w:fldCharType="begin"/>
          </w:r>
          <w:r w:rsidR="00237FBA">
            <w:instrText>styleref href</w:instrText>
          </w:r>
          <w:r w:rsidR="00237FBA">
            <w:fldChar w:fldCharType="separate"/>
          </w:r>
          <w:r w:rsidR="009801E7">
            <w:rPr>
              <w:noProof/>
            </w:rPr>
            <w:t>A7</w:t>
          </w:r>
          <w:r w:rsidR="00237FB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81F541" w14:textId="12FDD3CB" w:rsidR="008C6757" w:rsidRDefault="00237FBA">
          <w:pPr>
            <w:pStyle w:val="HeaderRegProc"/>
            <w:rPr>
              <w:lang w:val="fr-FR"/>
            </w:rPr>
          </w:pPr>
          <w:r>
            <w:fldChar w:fldCharType="begin"/>
          </w:r>
          <w:r>
            <w:instrText>styleref href2</w:instrText>
          </w:r>
          <w:r>
            <w:fldChar w:fldCharType="separate"/>
          </w:r>
          <w:r w:rsidR="009801E7">
            <w:rPr>
              <w:noProof/>
            </w:rPr>
            <w:t>RJ88</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AA8AAB" w14:textId="77777777" w:rsidR="008C6757" w:rsidRDefault="008C675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B312A">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96839B" w14:textId="643E8824" w:rsidR="008C6757" w:rsidRDefault="008C6757">
          <w:pPr>
            <w:pStyle w:val="HeaderRegProc"/>
            <w:rPr>
              <w:lang w:val="fr-CH"/>
            </w:rPr>
          </w:pPr>
          <w:proofErr w:type="spellStart"/>
          <w:proofErr w:type="gramStart"/>
          <w:r>
            <w:rPr>
              <w:lang w:val="fr-CH"/>
            </w:rPr>
            <w:t>rev</w:t>
          </w:r>
          <w:proofErr w:type="spellEnd"/>
          <w:proofErr w:type="gramEnd"/>
          <w:r>
            <w:rPr>
              <w:lang w:val="fr-CH"/>
            </w:rPr>
            <w:t>.</w:t>
          </w:r>
          <w:r w:rsidR="00A26F17">
            <w:rPr>
              <w:lang w:val="fr-CH"/>
            </w:rPr>
            <w:t xml:space="preserve"> </w:t>
          </w:r>
          <w:fldSimple w:instr=" DOCPROPERTY &quot;Header10&quot; \* MERGEFORMAT ">
            <w:r w:rsidR="00237FBA" w:rsidRPr="00237FBA">
              <w:rPr>
                <w:lang w:val="fr-CH"/>
              </w:rPr>
              <w:t>-</w:t>
            </w:r>
          </w:fldSimple>
        </w:p>
      </w:tc>
    </w:tr>
  </w:tbl>
  <w:p w14:paraId="055F30A3" w14:textId="77777777" w:rsidR="008C6757" w:rsidRDefault="008C675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C6757" w14:paraId="05056E00" w14:textId="77777777">
      <w:trPr>
        <w:cantSplit/>
        <w:trHeight w:val="269"/>
        <w:jc w:val="right"/>
      </w:trPr>
      <w:tc>
        <w:tcPr>
          <w:tcW w:w="1701" w:type="dxa"/>
          <w:tcBorders>
            <w:top w:val="single" w:sz="6" w:space="0" w:color="auto"/>
            <w:left w:val="single" w:sz="6" w:space="0" w:color="auto"/>
            <w:bottom w:val="single" w:sz="6" w:space="0" w:color="auto"/>
            <w:right w:val="single" w:sz="6" w:space="0" w:color="auto"/>
          </w:tcBorders>
        </w:tcPr>
        <w:p w14:paraId="46DE9B80" w14:textId="51A56521" w:rsidR="008C6757" w:rsidRDefault="008C6757">
          <w:pPr>
            <w:pStyle w:val="HeaderRegProc"/>
          </w:pPr>
          <w:proofErr w:type="spellStart"/>
          <w:r>
            <w:t>Part</w:t>
          </w:r>
          <w:proofErr w:type="spellEnd"/>
          <w:r>
            <w:t xml:space="preserve"> </w:t>
          </w:r>
          <w:r w:rsidR="00237FBA">
            <w:fldChar w:fldCharType="begin"/>
          </w:r>
          <w:r w:rsidR="00237FBA">
            <w:instrText>styleref href</w:instrText>
          </w:r>
          <w:r w:rsidR="00237FBA">
            <w:fldChar w:fldCharType="separate"/>
          </w:r>
          <w:r w:rsidR="009801E7">
            <w:rPr>
              <w:noProof/>
            </w:rPr>
            <w:t>A7</w:t>
          </w:r>
          <w:r w:rsidR="00237FB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005F5B" w14:textId="265AE0E1" w:rsidR="008C6757" w:rsidRDefault="00237FBA">
          <w:pPr>
            <w:pStyle w:val="HeaderRegProc"/>
            <w:rPr>
              <w:lang w:val="fr-FR"/>
            </w:rPr>
          </w:pPr>
          <w:r>
            <w:fldChar w:fldCharType="begin"/>
          </w:r>
          <w:r>
            <w:instrText>styleref href2</w:instrText>
          </w:r>
          <w:r>
            <w:fldChar w:fldCharType="separate"/>
          </w:r>
          <w:r w:rsidR="009801E7">
            <w:rPr>
              <w:noProof/>
            </w:rPr>
            <w:t>RJ88</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570870" w14:textId="77777777" w:rsidR="008C6757" w:rsidRDefault="008C675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B312A">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EB9D7B" w14:textId="110842D8" w:rsidR="008C6757" w:rsidRDefault="008C6757">
          <w:pPr>
            <w:pStyle w:val="HeaderRegProc"/>
            <w:rPr>
              <w:lang w:val="fr-CH"/>
            </w:rPr>
          </w:pPr>
          <w:proofErr w:type="spellStart"/>
          <w:proofErr w:type="gramStart"/>
          <w:r>
            <w:rPr>
              <w:lang w:val="fr-CH"/>
            </w:rPr>
            <w:t>rev</w:t>
          </w:r>
          <w:proofErr w:type="spellEnd"/>
          <w:proofErr w:type="gramEnd"/>
          <w:r>
            <w:rPr>
              <w:lang w:val="fr-CH"/>
            </w:rPr>
            <w:t>.</w:t>
          </w:r>
          <w:r w:rsidR="00A26F17">
            <w:rPr>
              <w:lang w:val="fr-CH"/>
            </w:rPr>
            <w:t xml:space="preserve"> </w:t>
          </w:r>
          <w:fldSimple w:instr=" DOCPROPERTY &quot;Header10&quot; \* MERGEFORMAT ">
            <w:r w:rsidR="00237FBA" w:rsidRPr="00237FBA">
              <w:rPr>
                <w:lang w:val="fr-CH"/>
              </w:rPr>
              <w:t>-</w:t>
            </w:r>
          </w:fldSimple>
        </w:p>
      </w:tc>
    </w:tr>
  </w:tbl>
  <w:p w14:paraId="3C59A235" w14:textId="77777777" w:rsidR="008C6757" w:rsidRDefault="008C67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19044" w14:textId="77777777" w:rsidR="008C6757" w:rsidRDefault="008C67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6757"/>
    <w:rsid w:val="00237FBA"/>
    <w:rsid w:val="003D6283"/>
    <w:rsid w:val="004B312A"/>
    <w:rsid w:val="0052644B"/>
    <w:rsid w:val="008C6757"/>
    <w:rsid w:val="009801E7"/>
    <w:rsid w:val="00A26F17"/>
    <w:rsid w:val="00EB70F5"/>
    <w:rsid w:val="00F303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135011"/>
  <w15:docId w15:val="{369EEC1D-03CB-48A9-820B-9875BC33E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TotalTime>
  <Pages>3</Pages>
  <Words>565</Words>
  <Characters>3490</Characters>
  <Application>Microsoft Office Word</Application>
  <DocSecurity>0</DocSecurity>
  <Lines>64</Lines>
  <Paragraphs>21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RJ88 du RR</dc:subject>
  <dc:creator/>
  <cp:keywords/>
  <dc:description/>
  <cp:lastModifiedBy>Gachet, Christelle</cp:lastModifiedBy>
  <cp:revision>6</cp:revision>
  <cp:lastPrinted>2020-12-15T10:00:00Z</cp:lastPrinted>
  <dcterms:created xsi:type="dcterms:W3CDTF">2012-08-08T06:53:00Z</dcterms:created>
  <dcterms:modified xsi:type="dcterms:W3CDTF">2025-11-18T13:40:00Z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