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E2D0DB" w14:textId="0F6DE9DD" w:rsidR="00E052A7" w:rsidRDefault="00E052A7" w:rsidP="0089365D">
      <w:pPr>
        <w:pStyle w:val="Heading1"/>
        <w:spacing w:before="300"/>
        <w:ind w:left="0" w:firstLine="0"/>
        <w:jc w:val="center"/>
      </w:pPr>
      <w:r>
        <w:t>Rules concerning</w:t>
      </w:r>
    </w:p>
    <w:p w14:paraId="6D735A6A" w14:textId="4C64CA3E" w:rsidR="00E052A7" w:rsidRDefault="00E052A7">
      <w:pPr>
        <w:pStyle w:val="Heading2"/>
        <w:ind w:left="0" w:firstLine="0"/>
        <w:jc w:val="center"/>
      </w:pPr>
      <w:r>
        <w:t xml:space="preserve">RESOLUTION  </w:t>
      </w:r>
      <w:r w:rsidR="005F1E1A">
        <w:rPr>
          <w:rStyle w:val="href2"/>
        </w:rPr>
        <w:t>121</w:t>
      </w:r>
      <w:r>
        <w:t xml:space="preserve"> (WRC-</w:t>
      </w:r>
      <w:r w:rsidR="005F1E1A">
        <w:t>23</w:t>
      </w:r>
      <w:r>
        <w:t>)</w:t>
      </w:r>
    </w:p>
    <w:p w14:paraId="7D60942F" w14:textId="043F1AA1" w:rsidR="00E052A7" w:rsidRDefault="00390648" w:rsidP="003F79CF">
      <w:pPr>
        <w:pStyle w:val="Heading1"/>
        <w:ind w:left="0" w:firstLine="0"/>
        <w:jc w:val="center"/>
      </w:pPr>
      <w:r w:rsidRPr="00390648">
        <w:t xml:space="preserve">Use of the frequency band 12.75-13.25 GHz by earth stations in motion </w:t>
      </w:r>
      <w:r>
        <w:br/>
      </w:r>
      <w:r w:rsidRPr="00390648">
        <w:t xml:space="preserve">on aircraft and vessels communicating with geostationary space stations </w:t>
      </w:r>
      <w:r>
        <w:br/>
      </w:r>
      <w:r w:rsidRPr="00390648">
        <w:t>in the fixed-satellite service</w:t>
      </w:r>
    </w:p>
    <w:p w14:paraId="79796C29" w14:textId="77777777" w:rsidR="00AD5DE6" w:rsidRPr="00282EDE" w:rsidRDefault="00AD5DE6" w:rsidP="00AD5DE6">
      <w:pPr>
        <w:pStyle w:val="AnnexNo"/>
        <w:keepNext w:val="0"/>
      </w:pPr>
      <w:r w:rsidRPr="00282EDE">
        <w:t xml:space="preserve">ANNEX 1 to Resolution </w:t>
      </w:r>
      <w:r w:rsidRPr="007E512C">
        <w:rPr>
          <w:b/>
          <w:bCs/>
        </w:rPr>
        <w:t>121 (WRC-23)</w:t>
      </w:r>
    </w:p>
    <w:p w14:paraId="42374E84" w14:textId="77777777" w:rsidR="00AD5DE6" w:rsidRPr="00282EDE" w:rsidRDefault="00AD5DE6" w:rsidP="00AD5DE6">
      <w:pPr>
        <w:pStyle w:val="PartNo"/>
        <w:keepNext w:val="0"/>
      </w:pPr>
      <w:r w:rsidRPr="00282EDE">
        <w:t>PART I</w:t>
      </w:r>
    </w:p>
    <w:p w14:paraId="5ECBEDE6" w14:textId="77777777" w:rsidR="00AD5DE6" w:rsidRPr="00282EDE" w:rsidRDefault="00AD5DE6" w:rsidP="00AD5DE6">
      <w:pPr>
        <w:pStyle w:val="Parttitle"/>
        <w:keepNext w:val="0"/>
      </w:pPr>
      <w:r w:rsidRPr="00282EDE">
        <w:t>Procedure to be followed by the administrations and the Bureau for submission of the earth stations in motion on aircraft and vessels operating in the frequency band 12.75-13.25 GHz (Earth-to-space) and for the protection of allotments in the Plan, assignments in the Appendix 30B List and those submitted under Articles 6 and 7 of Appendix 30B as well as under Resolution 170 (Rev.WRC</w:t>
      </w:r>
      <w:r w:rsidRPr="00282EDE">
        <w:noBreakHyphen/>
        <w:t>23)</w:t>
      </w:r>
    </w:p>
    <w:p w14:paraId="5072897D" w14:textId="1B192763" w:rsidR="00AD5DE6" w:rsidRPr="00282EDE" w:rsidRDefault="00AD5DE6" w:rsidP="00AD5DE6">
      <w:pPr>
        <w:pStyle w:val="Sectiontitle"/>
        <w:keepNext w:val="0"/>
      </w:pPr>
      <w:r w:rsidRPr="00282EDE">
        <w:t>Section A – Procedure for entering assignments to earth stations in motion on aircraft and vessels in the Appendix 30B ESIM List</w:t>
      </w:r>
    </w:p>
    <w:p w14:paraId="0B18535C" w14:textId="347386F3" w:rsidR="000E2988" w:rsidRPr="00114820" w:rsidRDefault="000E2988" w:rsidP="0030730A">
      <w:pPr>
        <w:pStyle w:val="Heading8"/>
      </w:pPr>
      <w:r w:rsidRPr="00114820">
        <w:t>§ </w:t>
      </w:r>
      <w:r>
        <w:t>3</w:t>
      </w:r>
      <w:r w:rsidRPr="00114820">
        <w:t xml:space="preserve"> </w:t>
      </w:r>
      <w:r w:rsidRPr="00114820">
        <w:rPr>
          <w:i/>
          <w:iCs/>
        </w:rPr>
        <w:t>a)</w:t>
      </w:r>
      <w:r w:rsidRPr="00114820">
        <w:t xml:space="preserve"> </w:t>
      </w:r>
    </w:p>
    <w:p w14:paraId="2D0CB9E4" w14:textId="77777777" w:rsidR="009B2AF4" w:rsidRPr="00114820" w:rsidRDefault="009B2AF4" w:rsidP="0030730A">
      <w:r w:rsidRPr="00114820">
        <w:t>The Board noted that the footnotes attached to provisions § 3 </w:t>
      </w:r>
      <w:r w:rsidRPr="00114820">
        <w:rPr>
          <w:i/>
          <w:iCs/>
        </w:rPr>
        <w:t>a)</w:t>
      </w:r>
      <w:r w:rsidRPr="00114820">
        <w:t xml:space="preserve"> and § 14 </w:t>
      </w:r>
      <w:r w:rsidRPr="00114820">
        <w:rPr>
          <w:i/>
          <w:iCs/>
        </w:rPr>
        <w:t>a)</w:t>
      </w:r>
      <w:r w:rsidRPr="00114820">
        <w:t xml:space="preserve"> of Section A and § 6.1 of Section B require that the “</w:t>
      </w:r>
      <w:r w:rsidRPr="00114820">
        <w:rPr>
          <w:i/>
          <w:iCs/>
        </w:rPr>
        <w:t>other provisions</w:t>
      </w:r>
      <w:r w:rsidRPr="00114820">
        <w:t>” mentioned in those provisions shall be identified and included in the Rules of Procedure. As the earth stations in motion on aircraft and vessels in the frequency band 12.75-13.25 GHz should operate within the envelope of the supporting frequency assignments in the List of Appendix </w:t>
      </w:r>
      <w:r w:rsidRPr="00114820">
        <w:rPr>
          <w:b/>
          <w:bCs/>
        </w:rPr>
        <w:t>30B</w:t>
      </w:r>
      <w:r w:rsidRPr="00114820">
        <w:t>, the “</w:t>
      </w:r>
      <w:r w:rsidRPr="00114820">
        <w:rPr>
          <w:i/>
          <w:iCs/>
        </w:rPr>
        <w:t>other provisions</w:t>
      </w:r>
      <w:r w:rsidRPr="00114820">
        <w:t>” should be the same as those applied in the examination of an Appendix </w:t>
      </w:r>
      <w:r w:rsidRPr="00114820">
        <w:rPr>
          <w:b/>
          <w:bCs/>
        </w:rPr>
        <w:t>30B</w:t>
      </w:r>
      <w:r w:rsidRPr="00114820">
        <w:t xml:space="preserve"> notice.</w:t>
      </w:r>
    </w:p>
    <w:p w14:paraId="5C442390" w14:textId="39842AC5" w:rsidR="009B2AF4" w:rsidRPr="00114820" w:rsidRDefault="009B2AF4" w:rsidP="0030730A">
      <w:r w:rsidRPr="00114820">
        <w:t xml:space="preserve">In this regard, the </w:t>
      </w:r>
      <w:r w:rsidR="00C15DA6">
        <w:t>R</w:t>
      </w:r>
      <w:r w:rsidRPr="00114820">
        <w:t xml:space="preserve">ules of </w:t>
      </w:r>
      <w:r w:rsidR="00C15DA6">
        <w:t>P</w:t>
      </w:r>
      <w:r w:rsidRPr="00114820">
        <w:t>rocedure on § 6.3 </w:t>
      </w:r>
      <w:r w:rsidRPr="00114820">
        <w:rPr>
          <w:i/>
          <w:iCs/>
        </w:rPr>
        <w:t>a)</w:t>
      </w:r>
      <w:r w:rsidRPr="00114820">
        <w:t xml:space="preserve"> of Appendix </w:t>
      </w:r>
      <w:r w:rsidRPr="00114820">
        <w:rPr>
          <w:b/>
          <w:bCs/>
        </w:rPr>
        <w:t>30B</w:t>
      </w:r>
      <w:r w:rsidRPr="00114820">
        <w:t xml:space="preserve"> list the “</w:t>
      </w:r>
      <w:r w:rsidRPr="00114820">
        <w:rPr>
          <w:i/>
          <w:iCs/>
        </w:rPr>
        <w:t>other provisions</w:t>
      </w:r>
      <w:r w:rsidRPr="00114820">
        <w:t>” that are contained in Articles </w:t>
      </w:r>
      <w:r w:rsidRPr="00114820">
        <w:rPr>
          <w:b/>
          <w:bCs/>
        </w:rPr>
        <w:t>21</w:t>
      </w:r>
      <w:r w:rsidRPr="00114820">
        <w:t xml:space="preserve"> and </w:t>
      </w:r>
      <w:r w:rsidRPr="00114820">
        <w:rPr>
          <w:b/>
          <w:bCs/>
        </w:rPr>
        <w:t>22</w:t>
      </w:r>
      <w:r w:rsidRPr="00114820">
        <w:t xml:space="preserve"> of the Radio Regulations with respect to which Appendix </w:t>
      </w:r>
      <w:r w:rsidRPr="00114820">
        <w:rPr>
          <w:b/>
          <w:bCs/>
        </w:rPr>
        <w:t>30B</w:t>
      </w:r>
      <w:r w:rsidRPr="00114820">
        <w:t xml:space="preserve"> notices are examined under § 6.3 </w:t>
      </w:r>
      <w:r w:rsidRPr="00114820">
        <w:rPr>
          <w:i/>
          <w:iCs/>
        </w:rPr>
        <w:t>a)</w:t>
      </w:r>
      <w:r w:rsidRPr="00114820">
        <w:t>, § 6.19 </w:t>
      </w:r>
      <w:r w:rsidRPr="00114820">
        <w:rPr>
          <w:i/>
          <w:iCs/>
        </w:rPr>
        <w:t>b)</w:t>
      </w:r>
      <w:r w:rsidRPr="00114820">
        <w:t>, § 7.5 </w:t>
      </w:r>
      <w:r w:rsidRPr="00114820">
        <w:rPr>
          <w:i/>
          <w:iCs/>
        </w:rPr>
        <w:t>a)</w:t>
      </w:r>
      <w:r w:rsidRPr="00114820">
        <w:t xml:space="preserve"> or § 8.8 of Appendix </w:t>
      </w:r>
      <w:r w:rsidRPr="00114820">
        <w:rPr>
          <w:b/>
          <w:bCs/>
        </w:rPr>
        <w:t xml:space="preserve">30B, </w:t>
      </w:r>
      <w:r w:rsidRPr="00114820">
        <w:t>including “</w:t>
      </w:r>
      <w:r w:rsidRPr="00114820">
        <w:rPr>
          <w:i/>
          <w:iCs/>
        </w:rPr>
        <w:t>conformity with the power limits for earth stations as stipulated in provisions Nos.</w:t>
      </w:r>
      <w:r w:rsidRPr="00114820">
        <w:t> </w:t>
      </w:r>
      <w:r w:rsidRPr="00114820">
        <w:rPr>
          <w:b/>
          <w:bCs/>
          <w:i/>
          <w:iCs/>
        </w:rPr>
        <w:t>21.8</w:t>
      </w:r>
      <w:r w:rsidRPr="00114820">
        <w:rPr>
          <w:i/>
          <w:iCs/>
        </w:rPr>
        <w:t xml:space="preserve"> … and</w:t>
      </w:r>
      <w:r w:rsidRPr="00114820">
        <w:t> </w:t>
      </w:r>
      <w:r w:rsidRPr="00114820">
        <w:rPr>
          <w:b/>
          <w:bCs/>
          <w:i/>
          <w:iCs/>
        </w:rPr>
        <w:t>21.12</w:t>
      </w:r>
      <w:r w:rsidRPr="00114820">
        <w:rPr>
          <w:i/>
          <w:iCs/>
        </w:rPr>
        <w:t>, … account being taken of provisions Nos.</w:t>
      </w:r>
      <w:r w:rsidRPr="00114820">
        <w:t> </w:t>
      </w:r>
      <w:r w:rsidRPr="00114820">
        <w:rPr>
          <w:b/>
          <w:bCs/>
          <w:i/>
          <w:iCs/>
        </w:rPr>
        <w:t>21.9</w:t>
      </w:r>
      <w:r w:rsidRPr="00114820">
        <w:rPr>
          <w:i/>
          <w:iCs/>
        </w:rPr>
        <w:t xml:space="preserve"> and</w:t>
      </w:r>
      <w:r w:rsidRPr="00114820">
        <w:t> </w:t>
      </w:r>
      <w:r w:rsidRPr="00114820">
        <w:rPr>
          <w:b/>
          <w:bCs/>
          <w:i/>
          <w:iCs/>
        </w:rPr>
        <w:t>21.11</w:t>
      </w:r>
      <w:r w:rsidRPr="00114820">
        <w:t>” and “</w:t>
      </w:r>
      <w:r w:rsidRPr="00114820">
        <w:rPr>
          <w:i/>
          <w:iCs/>
        </w:rPr>
        <w:t>conformity with the minimum angle of elevation of earth stations as stipulated in provisions Nos.</w:t>
      </w:r>
      <w:r w:rsidRPr="00114820">
        <w:t> </w:t>
      </w:r>
      <w:r w:rsidRPr="00114820">
        <w:rPr>
          <w:b/>
          <w:bCs/>
          <w:i/>
          <w:iCs/>
        </w:rPr>
        <w:t>21.14</w:t>
      </w:r>
      <w:r w:rsidRPr="00114820">
        <w:rPr>
          <w:i/>
          <w:iCs/>
        </w:rPr>
        <w:t>…</w:t>
      </w:r>
      <w:r w:rsidRPr="00114820">
        <w:t>”.</w:t>
      </w:r>
    </w:p>
    <w:p w14:paraId="796A7A8C" w14:textId="77777777" w:rsidR="0030730A" w:rsidRDefault="0030730A" w:rsidP="009B2AF4">
      <w:pPr>
        <w:spacing w:before="160"/>
        <w:ind w:right="26"/>
        <w:rPr>
          <w:rFonts w:asciiTheme="majorBidi" w:hAnsiTheme="majorBidi" w:cstheme="majorBidi"/>
          <w:szCs w:val="24"/>
        </w:rPr>
      </w:pPr>
      <w:r>
        <w:rPr>
          <w:rFonts w:asciiTheme="majorBidi" w:hAnsiTheme="majorBidi" w:cstheme="majorBidi"/>
          <w:szCs w:val="24"/>
        </w:rPr>
        <w:br w:type="page"/>
      </w:r>
    </w:p>
    <w:p w14:paraId="3D152CF2" w14:textId="52C562C1" w:rsidR="009B2AF4" w:rsidRPr="00114820" w:rsidRDefault="009B2AF4" w:rsidP="0030730A">
      <w:r w:rsidRPr="00114820">
        <w:lastRenderedPageBreak/>
        <w:t>However, the Board noted that Nos. </w:t>
      </w:r>
      <w:r w:rsidRPr="00114820">
        <w:rPr>
          <w:b/>
          <w:bCs/>
        </w:rPr>
        <w:t xml:space="preserve">21.8 </w:t>
      </w:r>
      <w:r w:rsidRPr="00114820">
        <w:t>and </w:t>
      </w:r>
      <w:r w:rsidRPr="00114820">
        <w:rPr>
          <w:b/>
          <w:bCs/>
        </w:rPr>
        <w:t>21.12</w:t>
      </w:r>
      <w:r w:rsidRPr="00114820">
        <w:t xml:space="preserve"> of the Radio Regulations and Annex 2 to Resolution </w:t>
      </w:r>
      <w:r w:rsidRPr="00114820">
        <w:rPr>
          <w:b/>
          <w:bCs/>
        </w:rPr>
        <w:t>121 (WRC</w:t>
      </w:r>
      <w:r w:rsidRPr="00114820">
        <w:rPr>
          <w:b/>
          <w:bCs/>
        </w:rPr>
        <w:noBreakHyphen/>
        <w:t>23)</w:t>
      </w:r>
      <w:r w:rsidRPr="00114820">
        <w:t xml:space="preserve"> are intended to protect terrestrial services. Since the limitations contained in No. </w:t>
      </w:r>
      <w:r w:rsidRPr="00114820">
        <w:rPr>
          <w:b/>
          <w:bCs/>
        </w:rPr>
        <w:t>21.8</w:t>
      </w:r>
      <w:r w:rsidRPr="00114820">
        <w:t xml:space="preserve"> are less stringent than those contained in Annex 2 to Resolution </w:t>
      </w:r>
      <w:r w:rsidRPr="00114820">
        <w:rPr>
          <w:b/>
          <w:bCs/>
        </w:rPr>
        <w:t>121 (WRC</w:t>
      </w:r>
      <w:r w:rsidRPr="00114820">
        <w:rPr>
          <w:b/>
          <w:bCs/>
        </w:rPr>
        <w:noBreakHyphen/>
        <w:t>23)</w:t>
      </w:r>
      <w:r w:rsidRPr="00114820">
        <w:t xml:space="preserve">, the Board concluded that examination under </w:t>
      </w:r>
      <w:r w:rsidRPr="00114820">
        <w:rPr>
          <w:b/>
          <w:bCs/>
        </w:rPr>
        <w:t>No.</w:t>
      </w:r>
      <w:r w:rsidRPr="00114820">
        <w:t> </w:t>
      </w:r>
      <w:r w:rsidRPr="00114820">
        <w:rPr>
          <w:b/>
          <w:bCs/>
        </w:rPr>
        <w:t>21.8</w:t>
      </w:r>
      <w:r w:rsidRPr="00114820">
        <w:t xml:space="preserve"> is not necessary. In addition, noting the nature of earth stations in motion on aircraft and vessels, as typical stations, and considering the WRC-15 decision related to No. </w:t>
      </w:r>
      <w:r w:rsidRPr="00114820">
        <w:rPr>
          <w:b/>
          <w:bCs/>
        </w:rPr>
        <w:t>21.14</w:t>
      </w:r>
      <w:r w:rsidRPr="00114820">
        <w:t xml:space="preserve"> that removed the limitation on the setting of grid points with an elevation angle of at least 3°, the Board further concluded that the examination under No. </w:t>
      </w:r>
      <w:r w:rsidRPr="00114820">
        <w:rPr>
          <w:b/>
          <w:bCs/>
        </w:rPr>
        <w:t>21.14</w:t>
      </w:r>
      <w:r w:rsidRPr="00114820">
        <w:t xml:space="preserve"> is not required either. </w:t>
      </w:r>
    </w:p>
    <w:p w14:paraId="706A0D63" w14:textId="77777777" w:rsidR="009B2AF4" w:rsidRPr="00114820" w:rsidRDefault="009B2AF4" w:rsidP="0030730A">
      <w:r w:rsidRPr="00114820">
        <w:t>The Board also decided that the “other provisions” that are contained in Article </w:t>
      </w:r>
      <w:r w:rsidRPr="00114820">
        <w:rPr>
          <w:b/>
          <w:bCs/>
        </w:rPr>
        <w:t xml:space="preserve">22 </w:t>
      </w:r>
      <w:r w:rsidRPr="00114820">
        <w:t>and that shall be applied in examinations under § 3 </w:t>
      </w:r>
      <w:r w:rsidRPr="00114820">
        <w:rPr>
          <w:i/>
          <w:iCs/>
        </w:rPr>
        <w:t>a)</w:t>
      </w:r>
      <w:r w:rsidRPr="00114820">
        <w:t xml:space="preserve"> and § 14 </w:t>
      </w:r>
      <w:r w:rsidRPr="00114820">
        <w:rPr>
          <w:i/>
          <w:iCs/>
        </w:rPr>
        <w:t>a)</w:t>
      </w:r>
      <w:r w:rsidRPr="00114820">
        <w:t xml:space="preserve"> of Section A and § 6.1 of Section B are the following: </w:t>
      </w:r>
    </w:p>
    <w:p w14:paraId="2F908820" w14:textId="77777777" w:rsidR="009B2AF4" w:rsidRPr="00114820" w:rsidRDefault="009B2AF4" w:rsidP="0030730A">
      <w:pPr>
        <w:pStyle w:val="enumlev1"/>
      </w:pPr>
      <w:r w:rsidRPr="00114820">
        <w:rPr>
          <w:lang w:eastAsia="zh-CN"/>
        </w:rPr>
        <w:t>–</w:t>
      </w:r>
      <w:r w:rsidRPr="00114820">
        <w:rPr>
          <w:lang w:eastAsia="zh-CN"/>
        </w:rPr>
        <w:tab/>
      </w:r>
      <w:r w:rsidRPr="00114820">
        <w:t>conformity with the power limits for earth stations in motion on aircraft and vessels as stipulated in No. </w:t>
      </w:r>
      <w:r w:rsidRPr="00114820">
        <w:rPr>
          <w:b/>
        </w:rPr>
        <w:t>22.26</w:t>
      </w:r>
      <w:r w:rsidRPr="00114820">
        <w:t xml:space="preserve"> under the conditions specified in No. </w:t>
      </w:r>
      <w:r w:rsidRPr="00114820">
        <w:rPr>
          <w:b/>
          <w:bCs/>
        </w:rPr>
        <w:t>22.37</w:t>
      </w:r>
      <w:r w:rsidRPr="00114820">
        <w:t xml:space="preserve"> where the earth stations in motion on aircraft and vessels are subject to those power limitations; and</w:t>
      </w:r>
    </w:p>
    <w:p w14:paraId="56C30286" w14:textId="77777777" w:rsidR="009B2AF4" w:rsidRPr="00114820" w:rsidRDefault="009B2AF4" w:rsidP="0030730A">
      <w:pPr>
        <w:pStyle w:val="enumlev1"/>
        <w:rPr>
          <w:rFonts w:asciiTheme="majorBidi" w:hAnsiTheme="majorBidi" w:cstheme="majorBidi"/>
          <w:szCs w:val="22"/>
        </w:rPr>
      </w:pPr>
      <w:r w:rsidRPr="00114820">
        <w:rPr>
          <w:rFonts w:asciiTheme="majorBidi" w:hAnsiTheme="majorBidi" w:cstheme="majorBidi"/>
          <w:szCs w:val="22"/>
          <w:lang w:eastAsia="zh-CN"/>
        </w:rPr>
        <w:t>–</w:t>
      </w:r>
      <w:r w:rsidRPr="00114820">
        <w:rPr>
          <w:rFonts w:asciiTheme="majorBidi" w:hAnsiTheme="majorBidi" w:cstheme="majorBidi"/>
          <w:szCs w:val="22"/>
          <w:lang w:eastAsia="zh-CN"/>
        </w:rPr>
        <w:tab/>
      </w:r>
      <w:r w:rsidRPr="0030730A">
        <w:t>conformity</w:t>
      </w:r>
      <w:r w:rsidRPr="00114820">
        <w:rPr>
          <w:rFonts w:asciiTheme="majorBidi" w:hAnsiTheme="majorBidi" w:cstheme="majorBidi"/>
          <w:szCs w:val="22"/>
        </w:rPr>
        <w:t xml:space="preserve"> with the limit specified in No. </w:t>
      </w:r>
      <w:r w:rsidRPr="00114820">
        <w:rPr>
          <w:rFonts w:asciiTheme="majorBidi" w:hAnsiTheme="majorBidi" w:cstheme="majorBidi"/>
          <w:b/>
          <w:szCs w:val="22"/>
        </w:rPr>
        <w:t>22.8</w:t>
      </w:r>
      <w:r w:rsidRPr="00114820">
        <w:rPr>
          <w:rFonts w:asciiTheme="majorBidi" w:hAnsiTheme="majorBidi" w:cstheme="majorBidi"/>
          <w:szCs w:val="22"/>
        </w:rPr>
        <w:t>.</w:t>
      </w:r>
    </w:p>
    <w:p w14:paraId="1244B2C9" w14:textId="77777777" w:rsidR="009B2AF4" w:rsidRPr="00114820" w:rsidRDefault="009B2AF4" w:rsidP="0030730A">
      <w:r w:rsidRPr="00114820">
        <w:t>Other provisions of Articles</w:t>
      </w:r>
      <w:r w:rsidRPr="00114820">
        <w:rPr>
          <w:b/>
          <w:bCs/>
        </w:rPr>
        <w:t> 21</w:t>
      </w:r>
      <w:r w:rsidRPr="00114820">
        <w:t xml:space="preserve"> and </w:t>
      </w:r>
      <w:r w:rsidRPr="00114820">
        <w:rPr>
          <w:b/>
          <w:bCs/>
        </w:rPr>
        <w:t>22</w:t>
      </w:r>
      <w:r w:rsidRPr="00114820">
        <w:t xml:space="preserve"> will not be taken into account in the regulatory examination under § 3 </w:t>
      </w:r>
      <w:r w:rsidRPr="00114820">
        <w:rPr>
          <w:i/>
          <w:iCs/>
        </w:rPr>
        <w:t>a)</w:t>
      </w:r>
      <w:r w:rsidRPr="00114820">
        <w:t xml:space="preserve"> and § 14 </w:t>
      </w:r>
      <w:r w:rsidRPr="00114820">
        <w:rPr>
          <w:i/>
          <w:iCs/>
        </w:rPr>
        <w:t>a)</w:t>
      </w:r>
      <w:r w:rsidRPr="00114820">
        <w:t xml:space="preserve"> of Section A and § 6.1 of Section B since the Board understands that those provisions are to be applied between administrations as appropriate.</w:t>
      </w:r>
    </w:p>
    <w:p w14:paraId="3AA25A21" w14:textId="77777777" w:rsidR="009B2AF4" w:rsidRPr="00114820" w:rsidRDefault="009B2AF4" w:rsidP="0030730A">
      <w:pPr>
        <w:pStyle w:val="Heading8"/>
      </w:pPr>
      <w:r w:rsidRPr="00114820">
        <w:t xml:space="preserve">§ 14 </w:t>
      </w:r>
      <w:r w:rsidRPr="00114820">
        <w:rPr>
          <w:i/>
          <w:iCs/>
        </w:rPr>
        <w:t>a)</w:t>
      </w:r>
      <w:r w:rsidRPr="00114820">
        <w:t xml:space="preserve"> </w:t>
      </w:r>
    </w:p>
    <w:p w14:paraId="01686794" w14:textId="5FFE257C" w:rsidR="009B2AF4" w:rsidRPr="00114820" w:rsidRDefault="009B2AF4" w:rsidP="009B2AF4">
      <w:pPr>
        <w:spacing w:before="160" w:line="276" w:lineRule="auto"/>
        <w:rPr>
          <w:rFonts w:asciiTheme="majorBidi" w:hAnsiTheme="majorBidi" w:cstheme="majorBidi"/>
          <w:szCs w:val="24"/>
        </w:rPr>
      </w:pPr>
      <w:r w:rsidRPr="00114820">
        <w:rPr>
          <w:rFonts w:asciiTheme="majorBidi" w:hAnsiTheme="majorBidi" w:cstheme="majorBidi"/>
          <w:szCs w:val="24"/>
        </w:rPr>
        <w:t xml:space="preserve">See the </w:t>
      </w:r>
      <w:r w:rsidR="00C15DA6">
        <w:rPr>
          <w:rFonts w:asciiTheme="majorBidi" w:hAnsiTheme="majorBidi" w:cstheme="majorBidi"/>
          <w:szCs w:val="24"/>
        </w:rPr>
        <w:t>R</w:t>
      </w:r>
      <w:r w:rsidRPr="00114820">
        <w:rPr>
          <w:rFonts w:asciiTheme="majorBidi" w:hAnsiTheme="majorBidi" w:cstheme="majorBidi"/>
          <w:szCs w:val="24"/>
        </w:rPr>
        <w:t xml:space="preserve">ules of </w:t>
      </w:r>
      <w:r w:rsidR="00C15DA6">
        <w:rPr>
          <w:rFonts w:asciiTheme="majorBidi" w:hAnsiTheme="majorBidi" w:cstheme="majorBidi"/>
          <w:szCs w:val="24"/>
        </w:rPr>
        <w:t>P</w:t>
      </w:r>
      <w:r w:rsidRPr="00114820">
        <w:rPr>
          <w:rFonts w:asciiTheme="majorBidi" w:hAnsiTheme="majorBidi" w:cstheme="majorBidi"/>
          <w:szCs w:val="24"/>
        </w:rPr>
        <w:t xml:space="preserve">rocedure on § 3 </w:t>
      </w:r>
      <w:r w:rsidRPr="005930F7">
        <w:rPr>
          <w:rFonts w:asciiTheme="majorBidi" w:hAnsiTheme="majorBidi" w:cstheme="majorBidi"/>
          <w:i/>
          <w:iCs/>
          <w:szCs w:val="24"/>
        </w:rPr>
        <w:t>a)</w:t>
      </w:r>
      <w:r w:rsidRPr="00114820">
        <w:rPr>
          <w:rFonts w:asciiTheme="majorBidi" w:hAnsiTheme="majorBidi" w:cstheme="majorBidi"/>
          <w:szCs w:val="24"/>
        </w:rPr>
        <w:t xml:space="preserve"> above.</w:t>
      </w:r>
    </w:p>
    <w:p w14:paraId="3656B9C4" w14:textId="77777777" w:rsidR="007A181A" w:rsidRPr="00FE3332" w:rsidRDefault="007A181A" w:rsidP="007A181A">
      <w:pPr>
        <w:pStyle w:val="Sectiontitle"/>
      </w:pPr>
      <w:r w:rsidRPr="00FE3332">
        <w:t>Section B – Procedure for notification and recording in the Master International Frequency Register of assignments to earth stations in motion on aircraft and vessels dealt with under this Resolution</w:t>
      </w:r>
    </w:p>
    <w:p w14:paraId="0155E40D" w14:textId="1C10BDB8" w:rsidR="00C160BD" w:rsidRPr="00114820" w:rsidRDefault="00C160BD" w:rsidP="0030730A">
      <w:pPr>
        <w:pStyle w:val="Heading8"/>
        <w:rPr>
          <w:rFonts w:asciiTheme="majorBidi" w:hAnsiTheme="majorBidi" w:cstheme="majorBidi"/>
          <w:b w:val="0"/>
          <w:color w:val="000000"/>
          <w:szCs w:val="24"/>
        </w:rPr>
      </w:pPr>
      <w:r w:rsidRPr="00114820">
        <w:rPr>
          <w:rFonts w:asciiTheme="majorBidi" w:hAnsiTheme="majorBidi" w:cstheme="majorBidi"/>
          <w:color w:val="000000"/>
          <w:szCs w:val="24"/>
        </w:rPr>
        <w:t>§ </w:t>
      </w:r>
      <w:r>
        <w:rPr>
          <w:rFonts w:asciiTheme="majorBidi" w:hAnsiTheme="majorBidi" w:cstheme="majorBidi"/>
          <w:color w:val="000000"/>
          <w:szCs w:val="24"/>
        </w:rPr>
        <w:t>6.1</w:t>
      </w:r>
    </w:p>
    <w:p w14:paraId="571A8031" w14:textId="29D8EC5F" w:rsidR="00C160BD" w:rsidRPr="00114820" w:rsidRDefault="00C160BD" w:rsidP="00C160BD">
      <w:pPr>
        <w:spacing w:before="160" w:line="276" w:lineRule="auto"/>
        <w:rPr>
          <w:rFonts w:asciiTheme="majorBidi" w:hAnsiTheme="majorBidi" w:cstheme="majorBidi"/>
          <w:szCs w:val="24"/>
        </w:rPr>
      </w:pPr>
      <w:r w:rsidRPr="00114820">
        <w:rPr>
          <w:rFonts w:asciiTheme="majorBidi" w:hAnsiTheme="majorBidi" w:cstheme="majorBidi"/>
          <w:szCs w:val="24"/>
        </w:rPr>
        <w:t xml:space="preserve">See the </w:t>
      </w:r>
      <w:r w:rsidR="00C15DA6">
        <w:rPr>
          <w:rFonts w:asciiTheme="majorBidi" w:hAnsiTheme="majorBidi" w:cstheme="majorBidi"/>
          <w:szCs w:val="24"/>
        </w:rPr>
        <w:t>R</w:t>
      </w:r>
      <w:r w:rsidRPr="00114820">
        <w:rPr>
          <w:rFonts w:asciiTheme="majorBidi" w:hAnsiTheme="majorBidi" w:cstheme="majorBidi"/>
          <w:szCs w:val="24"/>
        </w:rPr>
        <w:t xml:space="preserve">ules of </w:t>
      </w:r>
      <w:r w:rsidR="00C15DA6">
        <w:rPr>
          <w:rFonts w:asciiTheme="majorBidi" w:hAnsiTheme="majorBidi" w:cstheme="majorBidi"/>
          <w:szCs w:val="24"/>
        </w:rPr>
        <w:t>P</w:t>
      </w:r>
      <w:r w:rsidRPr="00114820">
        <w:rPr>
          <w:rFonts w:asciiTheme="majorBidi" w:hAnsiTheme="majorBidi" w:cstheme="majorBidi"/>
          <w:szCs w:val="24"/>
        </w:rPr>
        <w:t xml:space="preserve">rocedure on § 3 </w:t>
      </w:r>
      <w:r w:rsidRPr="00C160BD">
        <w:rPr>
          <w:rFonts w:asciiTheme="majorBidi" w:hAnsiTheme="majorBidi" w:cstheme="majorBidi"/>
          <w:i/>
          <w:iCs/>
          <w:szCs w:val="24"/>
        </w:rPr>
        <w:t>a)</w:t>
      </w:r>
      <w:r w:rsidRPr="00114820">
        <w:rPr>
          <w:rFonts w:asciiTheme="majorBidi" w:hAnsiTheme="majorBidi" w:cstheme="majorBidi"/>
          <w:szCs w:val="24"/>
        </w:rPr>
        <w:t xml:space="preserve"> </w:t>
      </w:r>
      <w:r w:rsidR="005930F7">
        <w:rPr>
          <w:rFonts w:asciiTheme="majorBidi" w:hAnsiTheme="majorBidi" w:cstheme="majorBidi"/>
          <w:szCs w:val="24"/>
        </w:rPr>
        <w:t xml:space="preserve">of Section A </w:t>
      </w:r>
      <w:r w:rsidRPr="00114820">
        <w:rPr>
          <w:rFonts w:asciiTheme="majorBidi" w:hAnsiTheme="majorBidi" w:cstheme="majorBidi"/>
          <w:szCs w:val="24"/>
        </w:rPr>
        <w:t>above.</w:t>
      </w:r>
    </w:p>
    <w:p w14:paraId="1A8C89E1" w14:textId="77777777" w:rsidR="009B2AF4" w:rsidRPr="00390648" w:rsidRDefault="009B2AF4" w:rsidP="00390648"/>
    <w:p w14:paraId="02257F70" w14:textId="77777777" w:rsidR="00E052A7" w:rsidRDefault="00E052A7">
      <w:pPr>
        <w:jc w:val="center"/>
        <w:rPr>
          <w:color w:val="000000"/>
        </w:rPr>
      </w:pPr>
      <w:r>
        <w:rPr>
          <w:color w:val="000000"/>
        </w:rPr>
        <w:t>____________________</w:t>
      </w:r>
    </w:p>
    <w:p w14:paraId="7396A8FA" w14:textId="77777777" w:rsidR="00E052A7" w:rsidRDefault="00E052A7" w:rsidP="0089365D"/>
    <w:p w14:paraId="445AFBC5" w14:textId="77777777" w:rsidR="00E052A7" w:rsidRDefault="00E052A7" w:rsidP="00E36ED1">
      <w:pPr>
        <w:rPr>
          <w:lang w:val="en-US"/>
        </w:rPr>
      </w:pPr>
    </w:p>
    <w:sectPr w:rsidR="00E052A7" w:rsidSect="0089365D">
      <w:headerReference w:type="even" r:id="rId6"/>
      <w:headerReference w:type="first" r:id="rId7"/>
      <w:footnotePr>
        <w:pos w:val="beneathText"/>
      </w:footnotePr>
      <w:pgSz w:w="11907" w:h="16840" w:code="9"/>
      <w:pgMar w:top="1701" w:right="851" w:bottom="1134" w:left="1985" w:header="720" w:footer="482" w:gutter="0"/>
      <w:cols w:space="720"/>
      <w:vAlign w:val="both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A805A4" w14:textId="77777777" w:rsidR="00EE2F0B" w:rsidRDefault="00EE2F0B">
      <w:r>
        <w:separator/>
      </w:r>
    </w:p>
  </w:endnote>
  <w:endnote w:type="continuationSeparator" w:id="0">
    <w:p w14:paraId="26672FC0" w14:textId="77777777" w:rsidR="00EE2F0B" w:rsidRDefault="00EE2F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3629A6" w14:textId="77777777" w:rsidR="00EE2F0B" w:rsidRDefault="00EE2F0B">
      <w:r>
        <w:rPr>
          <w:b/>
        </w:rPr>
        <w:t>_______________</w:t>
      </w:r>
    </w:p>
  </w:footnote>
  <w:footnote w:type="continuationSeparator" w:id="0">
    <w:p w14:paraId="0986B9A7" w14:textId="77777777" w:rsidR="00EE2F0B" w:rsidRDefault="00EE2F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30730A" w14:paraId="0A407421" w14:textId="77777777" w:rsidTr="0030730A">
      <w:trPr>
        <w:cantSplit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695CEEF8" w14:textId="77777777" w:rsidR="0030730A" w:rsidRDefault="0030730A" w:rsidP="0030730A">
          <w:pPr>
            <w:pStyle w:val="HeaderRegProc"/>
          </w:pPr>
          <w:proofErr w:type="spellStart"/>
          <w:r>
            <w:t>Part</w:t>
          </w:r>
          <w:proofErr w:type="spellEnd"/>
          <w:r>
            <w:t xml:space="preserve"> A1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2D489129" w14:textId="33F4976A" w:rsidR="0030730A" w:rsidRDefault="0030730A" w:rsidP="0030730A">
          <w:pPr>
            <w:pStyle w:val="HeaderRegProc"/>
            <w:rPr>
              <w:lang w:val="fr-FR"/>
            </w:rPr>
          </w:pPr>
          <w:r>
            <w:t>RES</w:t>
          </w:r>
          <w:r>
            <w:fldChar w:fldCharType="begin"/>
          </w:r>
          <w:r>
            <w:instrText>styleref href2</w:instrText>
          </w:r>
          <w:r>
            <w:fldChar w:fldCharType="separate"/>
          </w:r>
          <w:r w:rsidR="00C15DA6">
            <w:rPr>
              <w:noProof/>
            </w:rPr>
            <w:t>121</w:t>
          </w:r>
          <w:r>
            <w:rPr>
              <w:noProof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3F5AF67" w14:textId="77777777" w:rsidR="0030730A" w:rsidRDefault="0030730A" w:rsidP="0030730A">
          <w:pPr>
            <w:pStyle w:val="HeaderRegProc"/>
            <w:rPr>
              <w:lang w:val="fr-CH"/>
            </w:rPr>
          </w:pPr>
          <w:proofErr w:type="gramStart"/>
          <w:r>
            <w:rPr>
              <w:lang w:val="fr-FR"/>
            </w:rPr>
            <w:t>page</w:t>
          </w:r>
          <w:proofErr w:type="gramEnd"/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>
            <w:rPr>
              <w:rStyle w:val="PageNumber"/>
            </w:rPr>
            <w:t>1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1356F6A3" w14:textId="6A24BC04" w:rsidR="0030730A" w:rsidRDefault="0030730A" w:rsidP="0030730A">
          <w:pPr>
            <w:pStyle w:val="HeaderRegProc"/>
            <w:rPr>
              <w:lang w:val="fr-CH"/>
            </w:rPr>
          </w:pPr>
          <w:proofErr w:type="spellStart"/>
          <w:proofErr w:type="gramStart"/>
          <w:r>
            <w:rPr>
              <w:lang w:val="fr-CH"/>
            </w:rPr>
            <w:t>rev</w:t>
          </w:r>
          <w:proofErr w:type="spellEnd"/>
          <w:proofErr w:type="gramEnd"/>
          <w:r>
            <w:rPr>
              <w:lang w:val="fr-CH"/>
            </w:rPr>
            <w:t xml:space="preserve">. </w:t>
          </w:r>
          <w:r w:rsidR="005A6288">
            <w:t>-</w:t>
          </w:r>
        </w:p>
      </w:tc>
    </w:tr>
  </w:tbl>
  <w:p w14:paraId="690C0240" w14:textId="77777777" w:rsidR="0030730A" w:rsidRDefault="0030730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B00715" w14:paraId="6EA4E789" w14:textId="77777777" w:rsidTr="00E766BD"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22BD916C" w14:textId="1E46987E" w:rsidR="00B00715" w:rsidRDefault="00B00715" w:rsidP="00B00715">
          <w:pPr>
            <w:pStyle w:val="HeaderRegProc"/>
          </w:pPr>
          <w:proofErr w:type="spellStart"/>
          <w:r>
            <w:t>Part</w:t>
          </w:r>
          <w:proofErr w:type="spellEnd"/>
          <w:r>
            <w:t xml:space="preserve"> A1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D8094A7" w14:textId="3E9952C8" w:rsidR="00B00715" w:rsidRDefault="00B00715" w:rsidP="00B00715">
          <w:pPr>
            <w:pStyle w:val="HeaderRegProc"/>
            <w:rPr>
              <w:lang w:val="fr-FR"/>
            </w:rPr>
          </w:pPr>
          <w:r>
            <w:t>RES</w:t>
          </w:r>
          <w:r>
            <w:fldChar w:fldCharType="begin"/>
          </w:r>
          <w:r>
            <w:instrText>styleref href2</w:instrText>
          </w:r>
          <w:r>
            <w:fldChar w:fldCharType="separate"/>
          </w:r>
          <w:r w:rsidR="00C15DA6">
            <w:rPr>
              <w:noProof/>
            </w:rPr>
            <w:t>121</w:t>
          </w:r>
          <w:r>
            <w:rPr>
              <w:noProof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28D3C241" w14:textId="77777777" w:rsidR="00B00715" w:rsidRDefault="00B00715" w:rsidP="00B00715">
          <w:pPr>
            <w:pStyle w:val="HeaderRegProc"/>
            <w:rPr>
              <w:lang w:val="fr-CH"/>
            </w:rPr>
          </w:pPr>
          <w:proofErr w:type="gramStart"/>
          <w:r>
            <w:rPr>
              <w:lang w:val="fr-FR"/>
            </w:rPr>
            <w:t>page</w:t>
          </w:r>
          <w:proofErr w:type="gramEnd"/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>
            <w:rPr>
              <w:rStyle w:val="PageNumber"/>
              <w:noProof/>
            </w:rPr>
            <w:t>1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ED00D8E" w14:textId="470D20C2" w:rsidR="00B00715" w:rsidRDefault="00B00715" w:rsidP="00B00715">
          <w:pPr>
            <w:pStyle w:val="HeaderRegProc"/>
            <w:rPr>
              <w:lang w:val="fr-CH"/>
            </w:rPr>
          </w:pPr>
          <w:proofErr w:type="spellStart"/>
          <w:proofErr w:type="gramStart"/>
          <w:r>
            <w:rPr>
              <w:lang w:val="fr-CH"/>
            </w:rPr>
            <w:t>rev</w:t>
          </w:r>
          <w:proofErr w:type="spellEnd"/>
          <w:proofErr w:type="gramEnd"/>
          <w:r>
            <w:rPr>
              <w:lang w:val="fr-CH"/>
            </w:rPr>
            <w:t xml:space="preserve">. </w:t>
          </w:r>
          <w:r w:rsidR="005A6288">
            <w:t>-</w:t>
          </w:r>
        </w:p>
      </w:tc>
    </w:tr>
  </w:tbl>
  <w:p w14:paraId="3CE4A68B" w14:textId="77777777" w:rsidR="00E052A7" w:rsidRDefault="00E052A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mirrorMargin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evenAndOddHeader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052A7"/>
    <w:rsid w:val="000B1472"/>
    <w:rsid w:val="000B6CC5"/>
    <w:rsid w:val="000E2988"/>
    <w:rsid w:val="00114820"/>
    <w:rsid w:val="001B1E4D"/>
    <w:rsid w:val="001C7192"/>
    <w:rsid w:val="00204C1C"/>
    <w:rsid w:val="002F6FCF"/>
    <w:rsid w:val="0030730A"/>
    <w:rsid w:val="00322597"/>
    <w:rsid w:val="00390648"/>
    <w:rsid w:val="00395F3E"/>
    <w:rsid w:val="003C1437"/>
    <w:rsid w:val="003D6283"/>
    <w:rsid w:val="003F79CF"/>
    <w:rsid w:val="00483705"/>
    <w:rsid w:val="00495AC4"/>
    <w:rsid w:val="004F41A7"/>
    <w:rsid w:val="005930F7"/>
    <w:rsid w:val="005A04D3"/>
    <w:rsid w:val="005A6288"/>
    <w:rsid w:val="005F1E1A"/>
    <w:rsid w:val="00636B1E"/>
    <w:rsid w:val="006B40CA"/>
    <w:rsid w:val="006C0C1E"/>
    <w:rsid w:val="00747EBF"/>
    <w:rsid w:val="007A181A"/>
    <w:rsid w:val="007E512C"/>
    <w:rsid w:val="00803152"/>
    <w:rsid w:val="00824378"/>
    <w:rsid w:val="0089365D"/>
    <w:rsid w:val="009A5418"/>
    <w:rsid w:val="009B2AF4"/>
    <w:rsid w:val="00A70933"/>
    <w:rsid w:val="00A942E7"/>
    <w:rsid w:val="00AD5DE6"/>
    <w:rsid w:val="00B00715"/>
    <w:rsid w:val="00B2732B"/>
    <w:rsid w:val="00B472F8"/>
    <w:rsid w:val="00BA22BB"/>
    <w:rsid w:val="00C15DA6"/>
    <w:rsid w:val="00C160BD"/>
    <w:rsid w:val="00C34CA0"/>
    <w:rsid w:val="00CC1BC0"/>
    <w:rsid w:val="00CC74FD"/>
    <w:rsid w:val="00D2060F"/>
    <w:rsid w:val="00D338FD"/>
    <w:rsid w:val="00DD28B6"/>
    <w:rsid w:val="00E052A7"/>
    <w:rsid w:val="00E36ED1"/>
    <w:rsid w:val="00E567A5"/>
    <w:rsid w:val="00E70951"/>
    <w:rsid w:val="00EE2F0B"/>
    <w:rsid w:val="00F04B48"/>
    <w:rsid w:val="00F73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4B6DC919"/>
  <w15:docId w15:val="{8CDC531D-625F-434C-8810-B845F92B12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sz w:val="24"/>
      <w:lang w:val="en-GB" w:eastAsia="en-US"/>
    </w:rPr>
  </w:style>
  <w:style w:type="paragraph" w:styleId="Heading1">
    <w:name w:val="heading 1"/>
    <w:aliases w:val="h1"/>
    <w:basedOn w:val="Normal"/>
    <w:next w:val="Normal"/>
    <w:qFormat/>
    <w:pPr>
      <w:keepNext/>
      <w:keepLines/>
      <w:tabs>
        <w:tab w:val="clear" w:pos="2268"/>
      </w:tabs>
      <w:spacing w:before="600"/>
      <w:ind w:left="1134" w:hanging="1134"/>
      <w:outlineLvl w:val="0"/>
    </w:pPr>
    <w:rPr>
      <w:b/>
      <w:sz w:val="28"/>
    </w:rPr>
  </w:style>
  <w:style w:type="paragraph" w:styleId="Heading2">
    <w:name w:val="heading 2"/>
    <w:aliases w:val="h2,UNDERRUBRIK 1-2"/>
    <w:basedOn w:val="Heading1"/>
    <w:next w:val="Normal"/>
    <w:qFormat/>
    <w:pPr>
      <w:spacing w:before="480"/>
      <w:outlineLvl w:val="1"/>
    </w:pPr>
    <w:rPr>
      <w:sz w:val="26"/>
    </w:rPr>
  </w:style>
  <w:style w:type="paragraph" w:styleId="Heading3">
    <w:name w:val="heading 3"/>
    <w:basedOn w:val="Heading1"/>
    <w:next w:val="Normal"/>
    <w:qFormat/>
    <w:pPr>
      <w:spacing w:before="36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pPr>
      <w:outlineLvl w:val="3"/>
    </w:pPr>
  </w:style>
  <w:style w:type="paragraph" w:styleId="Heading5">
    <w:name w:val="heading 5"/>
    <w:basedOn w:val="Heading3"/>
    <w:next w:val="Normal"/>
    <w:qFormat/>
    <w:pPr>
      <w:outlineLvl w:val="4"/>
    </w:pPr>
  </w:style>
  <w:style w:type="paragraph" w:styleId="Heading6">
    <w:name w:val="heading 6"/>
    <w:basedOn w:val="Heading3"/>
    <w:next w:val="Normal"/>
    <w:qFormat/>
    <w:pPr>
      <w:outlineLvl w:val="5"/>
    </w:pPr>
  </w:style>
  <w:style w:type="paragraph" w:styleId="Heading7">
    <w:name w:val="heading 7"/>
    <w:basedOn w:val="Heading3"/>
    <w:next w:val="Normal"/>
    <w:qFormat/>
    <w:pPr>
      <w:outlineLvl w:val="6"/>
    </w:pPr>
  </w:style>
  <w:style w:type="paragraph" w:styleId="Heading8">
    <w:name w:val="heading 8"/>
    <w:basedOn w:val="Heading3"/>
    <w:next w:val="Normal"/>
    <w:qFormat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pacing w:before="400"/>
      <w:ind w:left="85" w:right="7938" w:firstLine="0"/>
      <w:outlineLvl w:val="7"/>
    </w:pPr>
  </w:style>
  <w:style w:type="paragraph" w:styleId="Heading9">
    <w:name w:val="heading 9"/>
    <w:basedOn w:val="Heading8"/>
    <w:next w:val="Normal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TOC8">
    <w:name w:val="toc 8"/>
    <w:basedOn w:val="Normal"/>
    <w:next w:val="Normal"/>
    <w:semiHidden/>
    <w:pPr>
      <w:tabs>
        <w:tab w:val="left" w:pos="7711"/>
        <w:tab w:val="right" w:leader="dot" w:pos="9725"/>
      </w:tabs>
      <w:ind w:left="6350"/>
    </w:pPr>
  </w:style>
  <w:style w:type="paragraph" w:styleId="TOC7">
    <w:name w:val="toc 7"/>
    <w:basedOn w:val="Normal"/>
    <w:next w:val="Normal"/>
    <w:semiHidden/>
    <w:pPr>
      <w:tabs>
        <w:tab w:val="left" w:pos="6350"/>
        <w:tab w:val="right" w:leader="dot" w:pos="9725"/>
      </w:tabs>
      <w:ind w:left="5103"/>
    </w:pPr>
  </w:style>
  <w:style w:type="paragraph" w:styleId="TOC6">
    <w:name w:val="toc 6"/>
    <w:basedOn w:val="TOC4"/>
    <w:next w:val="Normal"/>
    <w:semiHidden/>
    <w:pPr>
      <w:ind w:left="3913"/>
    </w:pPr>
  </w:style>
  <w:style w:type="paragraph" w:styleId="TOC4">
    <w:name w:val="toc 4"/>
    <w:basedOn w:val="TOC3"/>
    <w:next w:val="Normal"/>
    <w:semiHidden/>
    <w:pPr>
      <w:tabs>
        <w:tab w:val="clear" w:pos="2268"/>
      </w:tabs>
      <w:spacing w:before="80"/>
      <w:ind w:left="3119" w:hanging="851"/>
    </w:pPr>
  </w:style>
  <w:style w:type="paragraph" w:styleId="TOC3">
    <w:name w:val="toc 3"/>
    <w:basedOn w:val="TOC2"/>
    <w:next w:val="Normal"/>
    <w:semiHidden/>
    <w:pPr>
      <w:tabs>
        <w:tab w:val="clear" w:pos="1985"/>
        <w:tab w:val="left" w:pos="2268"/>
      </w:tabs>
      <w:ind w:left="2268" w:hanging="2268"/>
    </w:pPr>
  </w:style>
  <w:style w:type="paragraph" w:styleId="TOC2">
    <w:name w:val="toc 2"/>
    <w:basedOn w:val="TOC1"/>
    <w:next w:val="Normal"/>
    <w:semiHidden/>
    <w:pPr>
      <w:keepNext w:val="0"/>
      <w:keepLines/>
      <w:tabs>
        <w:tab w:val="clear" w:pos="9356"/>
        <w:tab w:val="left" w:pos="1985"/>
        <w:tab w:val="right" w:pos="9355"/>
      </w:tabs>
      <w:spacing w:before="160"/>
      <w:ind w:left="1985" w:hanging="1985"/>
    </w:pPr>
    <w:rPr>
      <w:b w:val="0"/>
      <w:sz w:val="24"/>
    </w:rPr>
  </w:style>
  <w:style w:type="paragraph" w:styleId="TOC1">
    <w:name w:val="toc 1"/>
    <w:basedOn w:val="Normal"/>
    <w:next w:val="Normal"/>
    <w:semiHidden/>
    <w:pPr>
      <w:keepNext/>
      <w:tabs>
        <w:tab w:val="clear" w:pos="1134"/>
        <w:tab w:val="clear" w:pos="1871"/>
        <w:tab w:val="clear" w:pos="2268"/>
        <w:tab w:val="right" w:leader="dot" w:pos="8505"/>
        <w:tab w:val="right" w:pos="9356"/>
      </w:tabs>
      <w:spacing w:before="480"/>
      <w:ind w:left="567" w:right="851" w:hanging="567"/>
    </w:pPr>
    <w:rPr>
      <w:b/>
      <w:sz w:val="28"/>
    </w:rPr>
  </w:style>
  <w:style w:type="paragraph" w:styleId="TOC5">
    <w:name w:val="toc 5"/>
    <w:basedOn w:val="TOC3"/>
    <w:next w:val="Normal"/>
    <w:semiHidden/>
    <w:pPr>
      <w:tabs>
        <w:tab w:val="clear" w:pos="2268"/>
        <w:tab w:val="left" w:pos="3062"/>
      </w:tabs>
      <w:ind w:left="3062" w:hanging="3062"/>
    </w:pPr>
  </w:style>
  <w:style w:type="paragraph" w:styleId="Index1">
    <w:name w:val="index 1"/>
    <w:basedOn w:val="Normal"/>
    <w:next w:val="Normal"/>
    <w:semiHidden/>
  </w:style>
  <w:style w:type="paragraph" w:styleId="Footer">
    <w:name w:val="footer"/>
    <w:basedOn w:val="Normal"/>
    <w:pPr>
      <w:tabs>
        <w:tab w:val="left" w:pos="567"/>
        <w:tab w:val="center" w:pos="3742"/>
        <w:tab w:val="right" w:pos="6974"/>
      </w:tabs>
    </w:pPr>
  </w:style>
  <w:style w:type="paragraph" w:styleId="Header">
    <w:name w:val="header"/>
    <w:basedOn w:val="Normal"/>
    <w:pPr>
      <w:tabs>
        <w:tab w:val="clear" w:pos="1134"/>
        <w:tab w:val="clear" w:pos="1871"/>
        <w:tab w:val="clear" w:pos="2268"/>
        <w:tab w:val="center" w:pos="4320"/>
        <w:tab w:val="right" w:pos="8640"/>
      </w:tabs>
    </w:pPr>
  </w:style>
  <w:style w:type="character" w:styleId="FootnoteReference">
    <w:name w:val="footnote reference"/>
    <w:aliases w:val="Appel note de bas de p,Footnote Reference/"/>
    <w:basedOn w:val="DefaultParagraphFont"/>
    <w:rPr>
      <w:position w:val="6"/>
      <w:sz w:val="16"/>
    </w:rPr>
  </w:style>
  <w:style w:type="paragraph" w:styleId="FootnoteText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"/>
    <w:basedOn w:val="Normal"/>
    <w:link w:val="FootnoteTextChar"/>
    <w:qFormat/>
    <w:pPr>
      <w:tabs>
        <w:tab w:val="clear" w:pos="1134"/>
        <w:tab w:val="clear" w:pos="1871"/>
        <w:tab w:val="clear" w:pos="2268"/>
        <w:tab w:val="left" w:pos="284"/>
        <w:tab w:val="left" w:pos="1418"/>
      </w:tabs>
      <w:spacing w:before="60"/>
    </w:pPr>
    <w:rPr>
      <w:sz w:val="20"/>
    </w:rPr>
  </w:style>
  <w:style w:type="paragraph" w:styleId="NormalIndent">
    <w:name w:val="Normal Indent"/>
    <w:basedOn w:val="Normal"/>
    <w:pPr>
      <w:spacing w:before="120"/>
      <w:ind w:left="1134"/>
    </w:pPr>
  </w:style>
  <w:style w:type="paragraph" w:customStyle="1" w:styleId="TableLegend">
    <w:name w:val="Table_Legend"/>
    <w:basedOn w:val="TableText"/>
    <w:next w:val="Normal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TableText">
    <w:name w:val="Table_Text"/>
    <w:basedOn w:val="Normal"/>
    <w:pPr>
      <w:tabs>
        <w:tab w:val="clear" w:pos="1134"/>
        <w:tab w:val="clear" w:pos="1871"/>
        <w:tab w:val="clear" w:pos="2268"/>
      </w:tabs>
      <w:spacing w:before="40" w:after="40"/>
    </w:pPr>
    <w:rPr>
      <w:sz w:val="20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clear" w:pos="1134"/>
        <w:tab w:val="clear" w:pos="1871"/>
        <w:tab w:val="clear" w:pos="2268"/>
      </w:tabs>
      <w:spacing w:before="360" w:after="120"/>
      <w:jc w:val="center"/>
    </w:pPr>
    <w:rPr>
      <w:sz w:val="20"/>
    </w:rPr>
  </w:style>
  <w:style w:type="paragraph" w:customStyle="1" w:styleId="enumlev1">
    <w:name w:val="enumlev1"/>
    <w:basedOn w:val="Normal"/>
    <w:pPr>
      <w:tabs>
        <w:tab w:val="clear" w:pos="2268"/>
        <w:tab w:val="left" w:pos="2608"/>
        <w:tab w:val="left" w:pos="3345"/>
      </w:tabs>
      <w:spacing w:before="120"/>
      <w:ind w:left="454" w:hanging="454"/>
    </w:pPr>
  </w:style>
  <w:style w:type="paragraph" w:customStyle="1" w:styleId="enumlev2">
    <w:name w:val="enumlev2"/>
    <w:basedOn w:val="enumlev1"/>
    <w:pPr>
      <w:tabs>
        <w:tab w:val="left" w:pos="907"/>
      </w:tabs>
      <w:ind w:left="908"/>
    </w:pPr>
  </w:style>
  <w:style w:type="paragraph" w:customStyle="1" w:styleId="enumlev3">
    <w:name w:val="enumlev3"/>
    <w:basedOn w:val="enumlev2"/>
    <w:pPr>
      <w:tabs>
        <w:tab w:val="clear" w:pos="1134"/>
        <w:tab w:val="clear" w:pos="1871"/>
        <w:tab w:val="clear" w:pos="2608"/>
        <w:tab w:val="left" w:pos="1361"/>
      </w:tabs>
      <w:ind w:left="1361"/>
    </w:pPr>
  </w:style>
  <w:style w:type="paragraph" w:customStyle="1" w:styleId="Figure">
    <w:name w:val="Figure"/>
    <w:basedOn w:val="Normal"/>
    <w:pPr>
      <w:keepNext/>
      <w:keepLines/>
      <w:spacing w:before="240"/>
      <w:jc w:val="center"/>
    </w:pPr>
  </w:style>
  <w:style w:type="paragraph" w:customStyle="1" w:styleId="FigureLegend">
    <w:name w:val="Figure_Legend"/>
    <w:basedOn w:val="TableLegend"/>
    <w:next w:val="Figure0"/>
  </w:style>
  <w:style w:type="paragraph" w:customStyle="1" w:styleId="Figure0">
    <w:name w:val="Figure_#"/>
    <w:basedOn w:val="Table"/>
    <w:next w:val="FigureTitle"/>
  </w:style>
  <w:style w:type="paragraph" w:customStyle="1" w:styleId="FigureTitle">
    <w:name w:val="Figure_Title"/>
    <w:basedOn w:val="TableTitle"/>
    <w:next w:val="Normal"/>
    <w:pPr>
      <w:spacing w:after="720"/>
    </w:pPr>
  </w:style>
  <w:style w:type="paragraph" w:customStyle="1" w:styleId="Annex">
    <w:name w:val="Annex_#"/>
    <w:basedOn w:val="Art"/>
    <w:next w:val="AnnexRef"/>
  </w:style>
  <w:style w:type="paragraph" w:customStyle="1" w:styleId="Art">
    <w:name w:val="Art_#"/>
    <w:basedOn w:val="Normal"/>
    <w:next w:val="Arttitle"/>
    <w:pPr>
      <w:keepNext/>
      <w:keepLines/>
      <w:spacing w:before="720"/>
      <w:jc w:val="center"/>
    </w:pPr>
    <w:rPr>
      <w:sz w:val="28"/>
    </w:rPr>
  </w:style>
  <w:style w:type="paragraph" w:customStyle="1" w:styleId="Arttitle">
    <w:name w:val="Art_title"/>
    <w:next w:val="Normalaftertitle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b/>
      <w:noProof/>
      <w:sz w:val="28"/>
      <w:lang w:eastAsia="en-US"/>
    </w:rPr>
  </w:style>
  <w:style w:type="paragraph" w:customStyle="1" w:styleId="Normalaftertitle">
    <w:name w:val="Normal after title"/>
    <w:basedOn w:val="Normal"/>
    <w:next w:val="Normal"/>
    <w:pPr>
      <w:spacing w:before="360"/>
    </w:pPr>
  </w:style>
  <w:style w:type="paragraph" w:customStyle="1" w:styleId="AnnexRef">
    <w:name w:val="Annex_Ref"/>
    <w:basedOn w:val="Normal"/>
    <w:pPr>
      <w:jc w:val="center"/>
    </w:pPr>
  </w:style>
  <w:style w:type="paragraph" w:customStyle="1" w:styleId="AnnexTitle">
    <w:name w:val="Annex_Title"/>
    <w:basedOn w:val="Arttitle"/>
    <w:next w:val="Normal"/>
    <w:pPr>
      <w:spacing w:after="0"/>
    </w:pPr>
  </w:style>
  <w:style w:type="paragraph" w:customStyle="1" w:styleId="Appendix">
    <w:name w:val="Appendix_#"/>
    <w:basedOn w:val="Art"/>
    <w:next w:val="AppendixTitle"/>
  </w:style>
  <w:style w:type="paragraph" w:customStyle="1" w:styleId="AppendixTitle">
    <w:name w:val="Appendix_Title"/>
    <w:basedOn w:val="Arttitle"/>
    <w:next w:val="Normal"/>
  </w:style>
  <w:style w:type="paragraph" w:customStyle="1" w:styleId="headfoot">
    <w:name w:val="head_foot"/>
    <w:basedOn w:val="Normal"/>
    <w:next w:val="Normalaftertitle"/>
    <w:pPr>
      <w:spacing w:before="0"/>
    </w:pPr>
    <w:rPr>
      <w:color w:val="0000FF"/>
      <w:sz w:val="20"/>
    </w:rPr>
  </w:style>
  <w:style w:type="paragraph" w:customStyle="1" w:styleId="AppendixRef">
    <w:name w:val="Appendix_Ref"/>
    <w:basedOn w:val="AnnexRef"/>
    <w:next w:val="AppendixTitle"/>
  </w:style>
  <w:style w:type="paragraph" w:customStyle="1" w:styleId="RefTitle">
    <w:name w:val="Ref_Title"/>
    <w:basedOn w:val="Normal"/>
    <w:next w:val="RefText"/>
    <w:pPr>
      <w:spacing w:before="480"/>
      <w:jc w:val="left"/>
    </w:pPr>
    <w:rPr>
      <w:b/>
    </w:rPr>
  </w:style>
  <w:style w:type="paragraph" w:customStyle="1" w:styleId="RefText">
    <w:name w:val="Ref_Text"/>
    <w:basedOn w:val="Normal"/>
  </w:style>
  <w:style w:type="paragraph" w:customStyle="1" w:styleId="listitem">
    <w:name w:val="listitem"/>
    <w:basedOn w:val="Normal"/>
    <w:pPr>
      <w:keepLines/>
      <w:spacing w:before="0"/>
      <w:jc w:val="left"/>
    </w:pPr>
  </w:style>
  <w:style w:type="paragraph" w:customStyle="1" w:styleId="TableRef">
    <w:name w:val="Table_Ref"/>
    <w:basedOn w:val="Normal"/>
    <w:next w:val="TableTitle"/>
    <w:pPr>
      <w:keepNext/>
      <w:spacing w:before="567"/>
      <w:jc w:val="center"/>
    </w:pPr>
    <w:rPr>
      <w:sz w:val="18"/>
    </w:rPr>
  </w:style>
  <w:style w:type="paragraph" w:customStyle="1" w:styleId="Signcountry">
    <w:name w:val="Sign_country"/>
    <w:basedOn w:val="Normal"/>
    <w:next w:val="SignPart"/>
    <w:pPr>
      <w:keepNext/>
      <w:keepLines/>
      <w:spacing w:before="240" w:after="57"/>
      <w:jc w:val="left"/>
    </w:pPr>
    <w:rPr>
      <w:b/>
    </w:rPr>
  </w:style>
  <w:style w:type="paragraph" w:customStyle="1" w:styleId="SignPart">
    <w:name w:val="Sign_Part"/>
    <w:basedOn w:val="Signcountry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Chap">
    <w:name w:val="Chap_#"/>
    <w:basedOn w:val="Art"/>
    <w:next w:val="Chaptitle"/>
    <w:pPr>
      <w:spacing w:before="1200"/>
    </w:pPr>
    <w:rPr>
      <w:sz w:val="32"/>
    </w:rPr>
  </w:style>
  <w:style w:type="paragraph" w:customStyle="1" w:styleId="Chaptitle">
    <w:name w:val="Chap_title"/>
    <w:basedOn w:val="Arttitle"/>
    <w:next w:val="Art"/>
    <w:rPr>
      <w:sz w:val="32"/>
    </w:rPr>
  </w:style>
  <w:style w:type="paragraph" w:customStyle="1" w:styleId="Protfin">
    <w:name w:val="Prot_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">
    <w:name w:val="Prot_#"/>
    <w:basedOn w:val="Normal"/>
    <w:next w:val="Protlang"/>
    <w:pPr>
      <w:keepNext/>
      <w:spacing w:before="240"/>
      <w:jc w:val="center"/>
    </w:pPr>
  </w:style>
  <w:style w:type="paragraph" w:customStyle="1" w:styleId="Protlang">
    <w:name w:val="Prot_lang"/>
    <w:basedOn w:val="Prot"/>
    <w:next w:val="Protpays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">
    <w:name w:val="Prot_pays"/>
    <w:basedOn w:val="Protlang"/>
    <w:next w:val="headfoot"/>
    <w:pPr>
      <w:framePr w:wrap="auto"/>
      <w:spacing w:before="113" w:line="199" w:lineRule="exact"/>
      <w:jc w:val="left"/>
    </w:pPr>
  </w:style>
  <w:style w:type="paragraph" w:customStyle="1" w:styleId="Prottexte">
    <w:name w:val="Prot_texte"/>
    <w:basedOn w:val="Protlang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">
    <w:name w:val="Prot_call"/>
    <w:basedOn w:val="Prottexte"/>
    <w:next w:val="Prottexte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Res">
    <w:name w:val="Res_#"/>
    <w:basedOn w:val="Art"/>
    <w:next w:val="Restitle"/>
  </w:style>
  <w:style w:type="paragraph" w:customStyle="1" w:styleId="Restitle">
    <w:name w:val="Res_title"/>
    <w:basedOn w:val="Arttitle"/>
    <w:next w:val="headfoot"/>
    <w:pPr>
      <w:spacing w:after="120"/>
    </w:pPr>
  </w:style>
  <w:style w:type="paragraph" w:customStyle="1" w:styleId="Rec">
    <w:name w:val="Rec_#"/>
    <w:basedOn w:val="Res"/>
    <w:next w:val="Rectitle"/>
  </w:style>
  <w:style w:type="paragraph" w:customStyle="1" w:styleId="Rectitle">
    <w:name w:val="Rec_title"/>
    <w:basedOn w:val="Restitle"/>
    <w:next w:val="headfoot"/>
  </w:style>
  <w:style w:type="paragraph" w:customStyle="1" w:styleId="Equation">
    <w:name w:val="Equation"/>
    <w:basedOn w:val="Normal"/>
    <w:pPr>
      <w:tabs>
        <w:tab w:val="clear" w:pos="1871"/>
        <w:tab w:val="clear" w:pos="2268"/>
        <w:tab w:val="center" w:pos="4678"/>
        <w:tab w:val="right" w:pos="9356"/>
      </w:tabs>
      <w:jc w:val="left"/>
    </w:pPr>
  </w:style>
  <w:style w:type="paragraph" w:customStyle="1" w:styleId="Note">
    <w:name w:val="Note"/>
    <w:basedOn w:val="Normal"/>
    <w:pPr>
      <w:tabs>
        <w:tab w:val="left" w:pos="284"/>
      </w:tabs>
      <w:spacing w:before="160"/>
    </w:pPr>
    <w:rPr>
      <w:sz w:val="20"/>
    </w:rPr>
  </w:style>
  <w:style w:type="paragraph" w:customStyle="1" w:styleId="Signcountry0">
    <w:name w:val="Sign country"/>
    <w:basedOn w:val="Normal"/>
    <w:next w:val="Signpart0"/>
    <w:pPr>
      <w:keepNext/>
      <w:keepLines/>
      <w:spacing w:before="240" w:after="57"/>
      <w:jc w:val="left"/>
    </w:pPr>
    <w:rPr>
      <w:b/>
    </w:rPr>
  </w:style>
  <w:style w:type="paragraph" w:customStyle="1" w:styleId="Signpart0">
    <w:name w:val="Sign part"/>
    <w:basedOn w:val="Signcountry0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Section1">
    <w:name w:val="Section_1"/>
    <w:basedOn w:val="Normal"/>
    <w:pPr>
      <w:tabs>
        <w:tab w:val="clear" w:pos="1134"/>
        <w:tab w:val="clear" w:pos="1871"/>
        <w:tab w:val="clear" w:pos="2268"/>
        <w:tab w:val="center" w:pos="4678"/>
      </w:tabs>
      <w:spacing w:before="360"/>
      <w:jc w:val="center"/>
    </w:pPr>
    <w:rPr>
      <w:b/>
    </w:rPr>
  </w:style>
  <w:style w:type="paragraph" w:customStyle="1" w:styleId="Protfin0">
    <w:name w:val="Prot 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0">
    <w:name w:val="Prot #"/>
    <w:basedOn w:val="Normal"/>
    <w:next w:val="Protlang0"/>
    <w:pPr>
      <w:keepNext/>
      <w:spacing w:before="240"/>
      <w:jc w:val="center"/>
    </w:pPr>
  </w:style>
  <w:style w:type="paragraph" w:customStyle="1" w:styleId="Protlang0">
    <w:name w:val="Prot lang"/>
    <w:basedOn w:val="Prot0"/>
    <w:next w:val="Protpays0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0">
    <w:name w:val="Prot pays"/>
    <w:basedOn w:val="Protlang0"/>
    <w:next w:val="headfoot"/>
    <w:pPr>
      <w:framePr w:wrap="auto"/>
      <w:spacing w:before="113" w:line="199" w:lineRule="exact"/>
      <w:jc w:val="left"/>
    </w:pPr>
  </w:style>
  <w:style w:type="paragraph" w:customStyle="1" w:styleId="Prottexte0">
    <w:name w:val="Prot texte"/>
    <w:basedOn w:val="Protlang0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0">
    <w:name w:val="Prot call"/>
    <w:basedOn w:val="Prottexte0"/>
    <w:next w:val="Prottexte0"/>
    <w:pPr>
      <w:keepNext/>
      <w:keepLines/>
      <w:framePr w:wrap="auto" w:xAlign="left"/>
      <w:spacing w:before="170"/>
      <w:ind w:left="794"/>
      <w:jc w:val="left"/>
    </w:pPr>
    <w:rPr>
      <w:i/>
    </w:rPr>
  </w:style>
  <w:style w:type="character" w:styleId="PageNumber">
    <w:name w:val="page number"/>
    <w:basedOn w:val="DefaultParagraphFont"/>
  </w:style>
  <w:style w:type="paragraph" w:customStyle="1" w:styleId="TableFin">
    <w:name w:val="Table_Fin"/>
    <w:basedOn w:val="Normal"/>
    <w:pPr>
      <w:tabs>
        <w:tab w:val="clear" w:pos="1134"/>
      </w:tabs>
      <w:spacing w:before="0"/>
    </w:pPr>
    <w:rPr>
      <w:sz w:val="12"/>
    </w:rPr>
  </w:style>
  <w:style w:type="paragraph" w:customStyle="1" w:styleId="MEP">
    <w:name w:val="MEP"/>
    <w:basedOn w:val="Normal"/>
  </w:style>
  <w:style w:type="paragraph" w:customStyle="1" w:styleId="head">
    <w:name w:val="head"/>
    <w:basedOn w:val="headfoot"/>
  </w:style>
  <w:style w:type="paragraph" w:customStyle="1" w:styleId="foot">
    <w:name w:val="foot"/>
    <w:basedOn w:val="headfoot"/>
  </w:style>
  <w:style w:type="character" w:customStyle="1" w:styleId="href">
    <w:name w:val="href"/>
    <w:basedOn w:val="DefaultParagraphFont"/>
  </w:style>
  <w:style w:type="paragraph" w:customStyle="1" w:styleId="Section2">
    <w:name w:val="Section_2"/>
    <w:basedOn w:val="Section1"/>
    <w:pPr>
      <w:jc w:val="left"/>
    </w:pPr>
    <w:rPr>
      <w:b w:val="0"/>
      <w:i/>
    </w:rPr>
  </w:style>
  <w:style w:type="paragraph" w:customStyle="1" w:styleId="Section3">
    <w:name w:val="Section_3"/>
    <w:basedOn w:val="Section1"/>
    <w:rPr>
      <w:b w:val="0"/>
    </w:rPr>
  </w:style>
  <w:style w:type="paragraph" w:customStyle="1" w:styleId="EquationLegend">
    <w:name w:val="Equation_Legend"/>
    <w:basedOn w:val="NormalIndent"/>
  </w:style>
  <w:style w:type="paragraph" w:customStyle="1" w:styleId="Call">
    <w:name w:val="Call"/>
    <w:basedOn w:val="Normal"/>
    <w:next w:val="Normal"/>
    <w:pPr>
      <w:tabs>
        <w:tab w:val="clear" w:pos="1871"/>
        <w:tab w:val="clear" w:pos="2268"/>
      </w:tabs>
      <w:spacing w:before="360"/>
      <w:ind w:left="1134"/>
    </w:pPr>
    <w:rPr>
      <w:i/>
    </w:rPr>
  </w:style>
  <w:style w:type="paragraph" w:customStyle="1" w:styleId="Headingb">
    <w:name w:val="Heading b"/>
    <w:basedOn w:val="Heading3"/>
    <w:pPr>
      <w:spacing w:before="400"/>
      <w:ind w:left="0" w:firstLine="0"/>
      <w:outlineLvl w:val="9"/>
    </w:pPr>
  </w:style>
  <w:style w:type="paragraph" w:customStyle="1" w:styleId="TableHead">
    <w:name w:val="Table_Head"/>
    <w:basedOn w:val="TableText"/>
    <w:next w:val="TableText"/>
    <w:pPr>
      <w:spacing w:before="80" w:after="80"/>
      <w:jc w:val="center"/>
    </w:pPr>
    <w:rPr>
      <w:b/>
    </w:rPr>
  </w:style>
  <w:style w:type="paragraph" w:customStyle="1" w:styleId="Line">
    <w:name w:val="Line"/>
    <w:basedOn w:val="Normal"/>
    <w:next w:val="Normal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sz w:val="20"/>
    </w:rPr>
  </w:style>
  <w:style w:type="paragraph" w:customStyle="1" w:styleId="Headingi">
    <w:name w:val="Heading i"/>
    <w:basedOn w:val="Headingb"/>
    <w:rPr>
      <w:b w:val="0"/>
      <w:i/>
    </w:rPr>
  </w:style>
  <w:style w:type="paragraph" w:styleId="TableofFigures">
    <w:name w:val="table of figures"/>
    <w:basedOn w:val="Normal"/>
    <w:next w:val="Normal"/>
    <w:semiHidden/>
    <w:pPr>
      <w:tabs>
        <w:tab w:val="clear" w:pos="1134"/>
        <w:tab w:val="clear" w:pos="1871"/>
        <w:tab w:val="clear" w:pos="2268"/>
        <w:tab w:val="right" w:leader="dot" w:pos="10773"/>
      </w:tabs>
      <w:spacing w:before="0"/>
      <w:jc w:val="left"/>
    </w:pPr>
    <w:rPr>
      <w:rFonts w:ascii="Arial" w:hAnsi="Arial"/>
      <w:sz w:val="16"/>
      <w:lang w:val="en-US"/>
    </w:rPr>
  </w:style>
  <w:style w:type="paragraph" w:customStyle="1" w:styleId="Part">
    <w:name w:val="Part"/>
    <w:basedOn w:val="Normal"/>
    <w:pPr>
      <w:tabs>
        <w:tab w:val="clear" w:pos="1134"/>
        <w:tab w:val="clear" w:pos="1871"/>
        <w:tab w:val="clear" w:pos="2268"/>
        <w:tab w:val="left" w:pos="1276"/>
        <w:tab w:val="left" w:pos="1701"/>
      </w:tabs>
      <w:spacing w:before="199"/>
      <w:ind w:left="1701" w:hanging="1701"/>
      <w:jc w:val="left"/>
    </w:pPr>
    <w:rPr>
      <w:rFonts w:ascii="Arial" w:hAnsi="Arial"/>
      <w:caps/>
      <w:sz w:val="22"/>
      <w:lang w:val="fr-FR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  <w:rPr>
      <w:sz w:val="20"/>
      <w:lang w:val="fr-FR"/>
    </w:rPr>
  </w:style>
  <w:style w:type="paragraph" w:customStyle="1" w:styleId="Tabletext0">
    <w:name w:val="Table_text"/>
    <w:basedOn w:val="Normal"/>
    <w:pPr>
      <w:tabs>
        <w:tab w:val="clear" w:pos="1871"/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sz w:val="22"/>
      <w:lang w:val="fr-FR"/>
    </w:rPr>
  </w:style>
  <w:style w:type="paragraph" w:customStyle="1" w:styleId="Headingb0">
    <w:name w:val="Heading_b"/>
    <w:basedOn w:val="Normal"/>
    <w:next w:val="Normal"/>
    <w:pPr>
      <w:keepNext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" w:hAnsi="Times"/>
      <w:b/>
      <w:lang w:val="fr-FR"/>
    </w:rPr>
  </w:style>
  <w:style w:type="paragraph" w:customStyle="1" w:styleId="Tablehead0">
    <w:name w:val="Table_head"/>
    <w:basedOn w:val="Tabletext0"/>
    <w:next w:val="Tabletext0"/>
    <w:pPr>
      <w:keepNext/>
      <w:spacing w:before="80" w:after="80"/>
      <w:jc w:val="center"/>
    </w:pPr>
    <w:rPr>
      <w:b/>
    </w:rPr>
  </w:style>
  <w:style w:type="character" w:customStyle="1" w:styleId="Artrefdef">
    <w:name w:val="Art_ref_def"/>
    <w:basedOn w:val="DefaultParagraphFont"/>
  </w:style>
  <w:style w:type="character" w:customStyle="1" w:styleId="Apprefdef">
    <w:name w:val="App_ref_def"/>
    <w:basedOn w:val="DefaultParagraphFont"/>
  </w:style>
  <w:style w:type="character" w:customStyle="1" w:styleId="Resrefdef">
    <w:name w:val="Res_ref_def"/>
    <w:basedOn w:val="DefaultParagraphFont"/>
  </w:style>
  <w:style w:type="paragraph" w:customStyle="1" w:styleId="HeaderRegProc">
    <w:name w:val="Header_RegProc"/>
    <w:basedOn w:val="Normal"/>
    <w:pPr>
      <w:tabs>
        <w:tab w:val="clear" w:pos="1134"/>
        <w:tab w:val="clear" w:pos="1871"/>
        <w:tab w:val="clear" w:pos="2268"/>
        <w:tab w:val="center" w:pos="4678"/>
        <w:tab w:val="right" w:pos="9356"/>
      </w:tabs>
      <w:spacing w:before="4"/>
      <w:ind w:left="142"/>
    </w:pPr>
    <w:rPr>
      <w:rFonts w:ascii="Arial" w:hAnsi="Arial" w:cs="Arial"/>
      <w:bCs/>
      <w:sz w:val="20"/>
      <w:lang w:val="es-ES"/>
    </w:rPr>
  </w:style>
  <w:style w:type="paragraph" w:customStyle="1" w:styleId="enumlev4">
    <w:name w:val="enumlev4"/>
    <w:basedOn w:val="enumlev3"/>
    <w:pPr>
      <w:tabs>
        <w:tab w:val="clear" w:pos="907"/>
        <w:tab w:val="left" w:pos="1814"/>
      </w:tabs>
      <w:spacing w:before="80"/>
      <w:ind w:left="1815"/>
    </w:pPr>
    <w:rPr>
      <w:lang w:val="fr-CH"/>
    </w:rPr>
  </w:style>
  <w:style w:type="character" w:customStyle="1" w:styleId="href2">
    <w:name w:val="href2"/>
    <w:basedOn w:val="href"/>
  </w:style>
  <w:style w:type="character" w:customStyle="1" w:styleId="Style1">
    <w:name w:val="Style1"/>
    <w:basedOn w:val="DefaultParagraphFont"/>
  </w:style>
  <w:style w:type="character" w:customStyle="1" w:styleId="Appdef">
    <w:name w:val="App_def"/>
    <w:basedOn w:val="DefaultParagraphFont"/>
    <w:rPr>
      <w:b/>
      <w:color w:val="FFCC00"/>
    </w:rPr>
  </w:style>
  <w:style w:type="character" w:customStyle="1" w:styleId="Appref">
    <w:name w:val="App_ref"/>
    <w:basedOn w:val="DefaultParagraphFont"/>
    <w:rPr>
      <w:color w:val="3366FF"/>
    </w:rPr>
  </w:style>
  <w:style w:type="character" w:customStyle="1" w:styleId="Artdef">
    <w:name w:val="Art_def"/>
    <w:basedOn w:val="DefaultParagraphFont"/>
    <w:rPr>
      <w:b/>
      <w:color w:val="FFCC00"/>
    </w:rPr>
  </w:style>
  <w:style w:type="character" w:customStyle="1" w:styleId="Artref">
    <w:name w:val="Art_ref"/>
    <w:basedOn w:val="DefaultParagraphFont"/>
    <w:rPr>
      <w:color w:val="3366FF"/>
    </w:rPr>
  </w:style>
  <w:style w:type="character" w:customStyle="1" w:styleId="Recdef">
    <w:name w:val="Rec_def"/>
    <w:basedOn w:val="DefaultParagraphFont"/>
    <w:rPr>
      <w:b/>
      <w:color w:val="FFCC00"/>
    </w:rPr>
  </w:style>
  <w:style w:type="character" w:customStyle="1" w:styleId="Recref">
    <w:name w:val="Rec_ref"/>
    <w:basedOn w:val="DefaultParagraphFont"/>
    <w:rPr>
      <w:color w:val="3366FF"/>
    </w:rPr>
  </w:style>
  <w:style w:type="character" w:customStyle="1" w:styleId="Resdef">
    <w:name w:val="Res_def"/>
    <w:basedOn w:val="DefaultParagraphFont"/>
    <w:rPr>
      <w:b/>
      <w:color w:val="FFCC00"/>
    </w:rPr>
  </w:style>
  <w:style w:type="character" w:customStyle="1" w:styleId="Resref">
    <w:name w:val="Res_ref"/>
    <w:basedOn w:val="DefaultParagraphFont"/>
    <w:rPr>
      <w:color w:val="3366FF"/>
    </w:rPr>
  </w:style>
  <w:style w:type="character" w:customStyle="1" w:styleId="Tableref0">
    <w:name w:val="Table_ref"/>
    <w:basedOn w:val="DefaultParagraphFont"/>
    <w:rPr>
      <w:color w:val="3366FF"/>
    </w:rPr>
  </w:style>
  <w:style w:type="character" w:customStyle="1" w:styleId="Appref0">
    <w:name w:val="App#_ref"/>
    <w:basedOn w:val="DefaultParagraphFont"/>
  </w:style>
  <w:style w:type="character" w:customStyle="1" w:styleId="Artref0">
    <w:name w:val="Art#_ref"/>
    <w:basedOn w:val="DefaultParagraphFont"/>
  </w:style>
  <w:style w:type="character" w:customStyle="1" w:styleId="Resref0">
    <w:name w:val="Res#_ref"/>
    <w:basedOn w:val="DefaultParagraphFont"/>
  </w:style>
  <w:style w:type="paragraph" w:customStyle="1" w:styleId="AnnexNo">
    <w:name w:val="Annex_No"/>
    <w:basedOn w:val="Normal"/>
    <w:next w:val="Normal"/>
    <w:rsid w:val="00AD5DE6"/>
    <w:pPr>
      <w:keepNext/>
      <w:keepLines/>
      <w:spacing w:before="480" w:after="80"/>
      <w:jc w:val="center"/>
    </w:pPr>
    <w:rPr>
      <w:caps/>
      <w:sz w:val="28"/>
    </w:rPr>
  </w:style>
  <w:style w:type="character" w:customStyle="1" w:styleId="FootnoteTextChar">
    <w:name w:val="Footnote Text Char"/>
    <w:aliases w:val="footnote text Char,ALTS FOOTNOTE Char,Footnote Text Char1 Char,Footnote Text Char Char1 Char,Footnote Text Char4 Char Char Char,Footnote Text Char1 Char1 Char1 Char Char,Footnote Text Char Char1 Char1 Char Char Char,DNV-FT Char"/>
    <w:basedOn w:val="DefaultParagraphFont"/>
    <w:link w:val="FootnoteText"/>
    <w:rsid w:val="00AD5DE6"/>
    <w:rPr>
      <w:lang w:val="en-GB" w:eastAsia="en-US"/>
    </w:rPr>
  </w:style>
  <w:style w:type="paragraph" w:customStyle="1" w:styleId="Sectiontitle">
    <w:name w:val="Section_title"/>
    <w:basedOn w:val="AnnexTitle"/>
    <w:next w:val="Normalaftertitle"/>
    <w:rsid w:val="00AD5DE6"/>
    <w:pPr>
      <w:tabs>
        <w:tab w:val="left" w:pos="1134"/>
        <w:tab w:val="left" w:pos="1871"/>
        <w:tab w:val="left" w:pos="2268"/>
      </w:tabs>
      <w:spacing w:before="240" w:after="280"/>
    </w:pPr>
    <w:rPr>
      <w:rFonts w:ascii="Times New Roman Bold" w:hAnsi="Times New Roman Bold"/>
      <w:noProof w:val="0"/>
      <w:lang w:val="en-GB"/>
    </w:rPr>
  </w:style>
  <w:style w:type="paragraph" w:customStyle="1" w:styleId="PartNo">
    <w:name w:val="Part_No"/>
    <w:basedOn w:val="AnnexNo"/>
    <w:next w:val="Normal"/>
    <w:rsid w:val="00AD5DE6"/>
  </w:style>
  <w:style w:type="paragraph" w:customStyle="1" w:styleId="Parttitle">
    <w:name w:val="Part_title"/>
    <w:basedOn w:val="AnnexTitle"/>
    <w:next w:val="Normalaftertitle"/>
    <w:rsid w:val="00AD5DE6"/>
    <w:pPr>
      <w:tabs>
        <w:tab w:val="left" w:pos="1134"/>
        <w:tab w:val="left" w:pos="1871"/>
        <w:tab w:val="left" w:pos="2268"/>
      </w:tabs>
      <w:spacing w:before="240" w:after="280"/>
    </w:pPr>
    <w:rPr>
      <w:rFonts w:ascii="Times New Roman Bold" w:hAnsi="Times New Roman Bold"/>
      <w:noProof w:val="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Regl_proc0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Regl_proc02.dot</Template>
  <TotalTime>43</TotalTime>
  <Pages>2</Pages>
  <Words>555</Words>
  <Characters>3169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Règles de procédures / Edition 2021</vt:lpstr>
    </vt:vector>
  </TitlesOfParts>
  <Manager>CP--107223/DD</Manager>
  <Company>ITU</Company>
  <LinksUpToDate>false</LinksUpToDate>
  <CharactersWithSpaces>3717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Rules of Procedure Edition of 2025</dc:title>
  <dc:subject/>
  <dc:creator/>
  <cp:keywords/>
  <dc:description/>
  <cp:lastModifiedBy>Gachet, Christelle</cp:lastModifiedBy>
  <cp:revision>40</cp:revision>
  <cp:lastPrinted>2025-12-02T13:20:00Z</cp:lastPrinted>
  <dcterms:created xsi:type="dcterms:W3CDTF">2012-08-08T06:51:00Z</dcterms:created>
  <dcterms:modified xsi:type="dcterms:W3CDTF">2025-12-02T14:08:00Z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AR</vt:lpwstr>
  </property>
  <property fmtid="{D5CDD505-2E9C-101B-9397-08002B2CF9AE}" pid="3" name="Header1">
    <vt:lpwstr>AP</vt:lpwstr>
  </property>
  <property fmtid="{D5CDD505-2E9C-101B-9397-08002B2CF9AE}" pid="4" name="Header2">
    <vt:lpwstr>B</vt:lpwstr>
  </property>
  <property fmtid="{D5CDD505-2E9C-101B-9397-08002B2CF9AE}" pid="5" name="Header10">
    <vt:lpwstr>-</vt:lpwstr>
  </property>
</Properties>
</file>