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0F6DE9DD" w:rsidR="00E052A7" w:rsidRDefault="00E052A7" w:rsidP="0089365D">
      <w:pPr>
        <w:pStyle w:val="Heading1"/>
        <w:spacing w:before="300"/>
        <w:ind w:left="0" w:firstLine="0"/>
        <w:jc w:val="center"/>
      </w:pPr>
      <w:r>
        <w:t>Rules concerning</w:t>
      </w:r>
    </w:p>
    <w:p w14:paraId="6D735A6A" w14:textId="133E8649" w:rsidR="00E052A7" w:rsidRDefault="00E052A7">
      <w:pPr>
        <w:pStyle w:val="Heading2"/>
        <w:ind w:left="0" w:firstLine="0"/>
        <w:jc w:val="center"/>
      </w:pPr>
      <w:r>
        <w:t xml:space="preserve">RESOLUTION  </w:t>
      </w:r>
      <w:r w:rsidR="00FD379E">
        <w:rPr>
          <w:rStyle w:val="href2"/>
        </w:rPr>
        <w:t>35</w:t>
      </w:r>
      <w:r>
        <w:t xml:space="preserve"> (</w:t>
      </w:r>
      <w:r w:rsidR="00FD379E">
        <w:t>Rev.</w:t>
      </w:r>
      <w:r>
        <w:t>WRC-</w:t>
      </w:r>
      <w:r w:rsidR="005F1E1A">
        <w:t>23</w:t>
      </w:r>
      <w:r>
        <w:t>)</w:t>
      </w:r>
    </w:p>
    <w:p w14:paraId="7D60942F" w14:textId="6231E6F6" w:rsidR="00E052A7" w:rsidRDefault="00840E1C" w:rsidP="003F79CF">
      <w:pPr>
        <w:pStyle w:val="Heading1"/>
        <w:ind w:left="0" w:firstLine="0"/>
        <w:jc w:val="center"/>
      </w:pPr>
      <w:r w:rsidRPr="00840E1C">
        <w:t xml:space="preserve">A milestone-based approach for the implementation of frequency </w:t>
      </w:r>
      <w:r w:rsidRPr="00840E1C">
        <w:br/>
        <w:t xml:space="preserve">assignments to space stations in a non-geostationary-satellite </w:t>
      </w:r>
      <w:r w:rsidRPr="00840E1C">
        <w:br/>
        <w:t>system in specific frequency bands and services</w:t>
      </w:r>
    </w:p>
    <w:p w14:paraId="72CF85B7" w14:textId="285ADFC6" w:rsidR="00F76650" w:rsidRPr="00F76650" w:rsidRDefault="00F76650" w:rsidP="00F76650">
      <w:pPr>
        <w:spacing w:before="400" w:line="280" w:lineRule="exact"/>
        <w:rPr>
          <w:rFonts w:asciiTheme="majorBidi" w:hAnsiTheme="majorBidi" w:cstheme="majorBidi"/>
          <w:szCs w:val="22"/>
        </w:rPr>
      </w:pPr>
      <w:r w:rsidRPr="00F76650">
        <w:rPr>
          <w:rFonts w:asciiTheme="majorBidi" w:hAnsiTheme="majorBidi" w:cstheme="majorBidi"/>
          <w:szCs w:val="22"/>
        </w:rPr>
        <w:t xml:space="preserve">For the application of </w:t>
      </w:r>
      <w:r w:rsidRPr="00F76650">
        <w:rPr>
          <w:rFonts w:asciiTheme="majorBidi" w:hAnsiTheme="majorBidi" w:cstheme="majorBidi"/>
          <w:i/>
          <w:iCs/>
          <w:szCs w:val="22"/>
        </w:rPr>
        <w:t>resolves</w:t>
      </w:r>
      <w:r w:rsidRPr="00F76650">
        <w:rPr>
          <w:rFonts w:asciiTheme="majorBidi" w:hAnsiTheme="majorBidi" w:cstheme="majorBidi"/>
          <w:szCs w:val="22"/>
        </w:rPr>
        <w:t xml:space="preserve"> 17 </w:t>
      </w:r>
      <w:r w:rsidRPr="00F76650">
        <w:rPr>
          <w:rFonts w:asciiTheme="majorBidi" w:hAnsiTheme="majorBidi" w:cstheme="majorBidi"/>
          <w:i/>
          <w:iCs/>
          <w:szCs w:val="22"/>
        </w:rPr>
        <w:t>b)</w:t>
      </w:r>
      <w:r w:rsidRPr="00F76650">
        <w:rPr>
          <w:rFonts w:asciiTheme="majorBidi" w:hAnsiTheme="majorBidi" w:cstheme="majorBidi"/>
          <w:szCs w:val="22"/>
        </w:rPr>
        <w:t> </w:t>
      </w:r>
      <w:proofErr w:type="spellStart"/>
      <w:r w:rsidRPr="00F76650">
        <w:rPr>
          <w:rFonts w:asciiTheme="majorBidi" w:hAnsiTheme="majorBidi" w:cstheme="majorBidi"/>
          <w:szCs w:val="22"/>
        </w:rPr>
        <w:t>i</w:t>
      </w:r>
      <w:proofErr w:type="spellEnd"/>
      <w:r w:rsidRPr="00F76650">
        <w:rPr>
          <w:rFonts w:asciiTheme="majorBidi" w:hAnsiTheme="majorBidi" w:cstheme="majorBidi"/>
          <w:szCs w:val="22"/>
        </w:rPr>
        <w:t>) of Resolution</w:t>
      </w:r>
      <w:r w:rsidRPr="00F76650">
        <w:rPr>
          <w:rFonts w:asciiTheme="majorBidi" w:hAnsiTheme="majorBidi" w:cstheme="majorBidi"/>
          <w:b/>
          <w:bCs/>
          <w:szCs w:val="22"/>
        </w:rPr>
        <w:t> 35 (Rev.WRC</w:t>
      </w:r>
      <w:r w:rsidRPr="00F76650">
        <w:rPr>
          <w:rFonts w:asciiTheme="majorBidi" w:hAnsiTheme="majorBidi" w:cstheme="majorBidi"/>
          <w:b/>
          <w:bCs/>
          <w:szCs w:val="22"/>
        </w:rPr>
        <w:noBreakHyphen/>
        <w:t>23)</w:t>
      </w:r>
      <w:r w:rsidRPr="00F76650">
        <w:rPr>
          <w:rFonts w:asciiTheme="majorBidi" w:hAnsiTheme="majorBidi" w:cstheme="majorBidi"/>
          <w:szCs w:val="22"/>
        </w:rPr>
        <w:t xml:space="preserve">, the Board understands that all satellites in any orbital plane not listed in the final complete deployment information, and all orbital planes where no satellite is listed in the final complete deployment information, submitted under </w:t>
      </w:r>
      <w:r w:rsidRPr="00F76650">
        <w:rPr>
          <w:rFonts w:asciiTheme="majorBidi" w:hAnsiTheme="majorBidi" w:cstheme="majorBidi"/>
          <w:i/>
          <w:iCs/>
          <w:szCs w:val="22"/>
        </w:rPr>
        <w:t>resolves</w:t>
      </w:r>
      <w:r w:rsidRPr="00F76650">
        <w:rPr>
          <w:rFonts w:asciiTheme="majorBidi" w:hAnsiTheme="majorBidi" w:cstheme="majorBidi"/>
          <w:szCs w:val="22"/>
        </w:rPr>
        <w:t> 2, 3, 7 or 8, as appropriate, of Resolution </w:t>
      </w:r>
      <w:r w:rsidRPr="00F76650">
        <w:rPr>
          <w:rFonts w:asciiTheme="majorBidi" w:hAnsiTheme="majorBidi" w:cstheme="majorBidi"/>
          <w:b/>
          <w:bCs/>
          <w:szCs w:val="22"/>
        </w:rPr>
        <w:t>35 (Rev.WRC</w:t>
      </w:r>
      <w:r w:rsidRPr="00F76650">
        <w:rPr>
          <w:rFonts w:asciiTheme="majorBidi" w:hAnsiTheme="majorBidi" w:cstheme="majorBidi"/>
          <w:b/>
          <w:bCs/>
          <w:szCs w:val="22"/>
        </w:rPr>
        <w:noBreakHyphen/>
        <w:t>23)</w:t>
      </w:r>
      <w:r w:rsidRPr="00F76650">
        <w:rPr>
          <w:rFonts w:asciiTheme="majorBidi" w:hAnsiTheme="majorBidi" w:cstheme="majorBidi"/>
          <w:szCs w:val="22"/>
        </w:rPr>
        <w:t xml:space="preserve"> will have to be suppressed from the notice. Consequently, any beams and groups of frequency assignments solely associated with such orbital planes or satellites will also have to be suppressed.</w:t>
      </w:r>
    </w:p>
    <w:p w14:paraId="1E49B84A" w14:textId="77777777" w:rsidR="00F76650" w:rsidRPr="00F76650" w:rsidRDefault="00F76650" w:rsidP="00B27A25">
      <w:r w:rsidRPr="00F76650">
        <w:t xml:space="preserve">Regarding frequency assignments that were associated with the remaining orbital planes and satellites, if the modifications to the notified characteristics of the satellite system provided for under </w:t>
      </w:r>
      <w:r w:rsidRPr="00F76650">
        <w:rPr>
          <w:i/>
          <w:iCs/>
        </w:rPr>
        <w:t>resolves</w:t>
      </w:r>
      <w:r w:rsidRPr="00F76650">
        <w:t> 11 of Resolution </w:t>
      </w:r>
      <w:r w:rsidRPr="00F76650">
        <w:rPr>
          <w:b/>
          <w:bCs/>
        </w:rPr>
        <w:t>35 (Rev.WRC</w:t>
      </w:r>
      <w:r w:rsidRPr="00F76650">
        <w:rPr>
          <w:b/>
          <w:bCs/>
        </w:rPr>
        <w:noBreakHyphen/>
        <w:t>23)</w:t>
      </w:r>
      <w:r w:rsidRPr="00F76650">
        <w:t xml:space="preserve"> were not submitted following failure to reach the established milestones, the Board concluded that, in the application of </w:t>
      </w:r>
      <w:r w:rsidRPr="00F76650">
        <w:rPr>
          <w:i/>
          <w:iCs/>
        </w:rPr>
        <w:t>resolves</w:t>
      </w:r>
      <w:r w:rsidRPr="00F76650">
        <w:t> 17 </w:t>
      </w:r>
      <w:r w:rsidRPr="00F76650">
        <w:rPr>
          <w:i/>
          <w:iCs/>
        </w:rPr>
        <w:t>b)</w:t>
      </w:r>
      <w:r w:rsidRPr="00F76650">
        <w:t> ii), a symbol will be inserted into the “Remarks” field indicating that those frequency assignments are not in compliance with Resolution</w:t>
      </w:r>
      <w:r w:rsidRPr="00F76650">
        <w:rPr>
          <w:b/>
          <w:bCs/>
        </w:rPr>
        <w:t> 35 (Rev.WRC</w:t>
      </w:r>
      <w:r w:rsidRPr="00F76650">
        <w:rPr>
          <w:b/>
          <w:bCs/>
        </w:rPr>
        <w:noBreakHyphen/>
        <w:t>23)</w:t>
      </w:r>
      <w:r w:rsidRPr="00F76650">
        <w:t xml:space="preserve"> and will no longer be taken into account under subsequent examinations under Nos. </w:t>
      </w:r>
      <w:r w:rsidRPr="00F76650">
        <w:rPr>
          <w:b/>
          <w:bCs/>
          <w:lang w:eastAsia="zh-CN"/>
        </w:rPr>
        <w:t>9.36</w:t>
      </w:r>
      <w:r w:rsidRPr="00F76650">
        <w:rPr>
          <w:lang w:eastAsia="zh-CN"/>
        </w:rPr>
        <w:t xml:space="preserve">, </w:t>
      </w:r>
      <w:r w:rsidRPr="00F76650">
        <w:rPr>
          <w:b/>
          <w:bCs/>
          <w:lang w:eastAsia="zh-CN"/>
        </w:rPr>
        <w:t xml:space="preserve">11.32 </w:t>
      </w:r>
      <w:r w:rsidRPr="00F76650">
        <w:rPr>
          <w:lang w:eastAsia="zh-CN"/>
        </w:rPr>
        <w:t>or </w:t>
      </w:r>
      <w:r w:rsidRPr="00F76650">
        <w:rPr>
          <w:b/>
          <w:bCs/>
          <w:lang w:eastAsia="zh-CN"/>
        </w:rPr>
        <w:t>11.32A</w:t>
      </w:r>
      <w:r w:rsidRPr="00F76650">
        <w:t>. The information recorded under the date of protection or “2D-date” (i.e. the date from which a frequency assignment is taken into account as defined in § 1 </w:t>
      </w:r>
      <w:r w:rsidRPr="00F76650">
        <w:rPr>
          <w:i/>
          <w:iCs/>
        </w:rPr>
        <w:t>e)</w:t>
      </w:r>
      <w:r w:rsidRPr="00F76650">
        <w:t xml:space="preserve"> of Appendix </w:t>
      </w:r>
      <w:r w:rsidRPr="00F76650">
        <w:rPr>
          <w:b/>
          <w:bCs/>
        </w:rPr>
        <w:t>5</w:t>
      </w:r>
      <w:r w:rsidRPr="00F76650">
        <w:t>) and the information concerning the status of coordination agreements will also be removed for those frequency assignments.</w:t>
      </w:r>
    </w:p>
    <w:p w14:paraId="0D2FBDA3" w14:textId="77777777" w:rsidR="00F76650" w:rsidRPr="00F76650" w:rsidRDefault="00F76650" w:rsidP="00B27A25">
      <w:r w:rsidRPr="00F76650">
        <w:t>Following those actions, the Board noted that such frequency assignments will be recorded in the Master Register for information purposes only and shall not cause harmful interference to, or claim protection from, a station operating in accordance with the Radio Regulations, in a manner similar to a recording with a request for the application of No. </w:t>
      </w:r>
      <w:r w:rsidRPr="00F76650">
        <w:rPr>
          <w:b/>
          <w:bCs/>
        </w:rPr>
        <w:t>4.4</w:t>
      </w:r>
      <w:r w:rsidRPr="00F76650">
        <w:t>. The Board instructed the Bureau to publish the updated status of such frequency assignments in a BR IFIC.</w:t>
      </w:r>
    </w:p>
    <w:p w14:paraId="7B8AC604" w14:textId="77777777" w:rsidR="00F76650" w:rsidRPr="00F76650" w:rsidRDefault="00F76650" w:rsidP="00B27A25">
      <w:pPr>
        <w:rPr>
          <w:lang w:eastAsia="en-GB"/>
        </w:rPr>
      </w:pPr>
      <w:r w:rsidRPr="00F76650">
        <w:rPr>
          <w:lang w:eastAsia="en-GB"/>
        </w:rPr>
        <w:t xml:space="preserve">Noting that </w:t>
      </w:r>
      <w:r w:rsidRPr="00F76650">
        <w:rPr>
          <w:i/>
          <w:iCs/>
          <w:lang w:eastAsia="en-GB"/>
        </w:rPr>
        <w:t>resolves </w:t>
      </w:r>
      <w:r w:rsidRPr="00F76650">
        <w:rPr>
          <w:lang w:eastAsia="en-GB"/>
        </w:rPr>
        <w:t>17 applies only in cases where a notifying administration fails to provide the required information and in order to avoid retaining unused frequency assignments in the Master Register, the Board also instructed the Bureau to apply No. </w:t>
      </w:r>
      <w:r w:rsidRPr="00F76650">
        <w:rPr>
          <w:b/>
          <w:bCs/>
          <w:lang w:eastAsia="en-GB"/>
        </w:rPr>
        <w:t xml:space="preserve">13.6 </w:t>
      </w:r>
      <w:r w:rsidRPr="00F76650">
        <w:rPr>
          <w:lang w:eastAsia="en-GB"/>
        </w:rPr>
        <w:t>before</w:t>
      </w:r>
      <w:r w:rsidRPr="00F76650">
        <w:rPr>
          <w:b/>
          <w:bCs/>
          <w:lang w:eastAsia="en-GB"/>
        </w:rPr>
        <w:t xml:space="preserve"> </w:t>
      </w:r>
      <w:r w:rsidRPr="00F76650">
        <w:rPr>
          <w:lang w:eastAsia="en-GB"/>
        </w:rPr>
        <w:t>recording and publishing the updated status of such frequency assignments.</w:t>
      </w:r>
    </w:p>
    <w:p w14:paraId="1A8C89E1" w14:textId="77777777" w:rsidR="009B2AF4" w:rsidRPr="00390648" w:rsidRDefault="009B2AF4" w:rsidP="00390648"/>
    <w:p w14:paraId="02257F70" w14:textId="77777777" w:rsidR="00E052A7" w:rsidRDefault="00E052A7">
      <w:pPr>
        <w:jc w:val="center"/>
        <w:rPr>
          <w:color w:val="000000"/>
        </w:rPr>
      </w:pPr>
      <w:r>
        <w:rPr>
          <w:color w:val="000000"/>
        </w:rPr>
        <w:t>____________________</w:t>
      </w:r>
    </w:p>
    <w:p w14:paraId="445AFBC5" w14:textId="77777777" w:rsidR="00E052A7" w:rsidRDefault="00E052A7" w:rsidP="00E36ED1">
      <w:pPr>
        <w:rPr>
          <w:lang w:val="en-US"/>
        </w:rPr>
      </w:pPr>
    </w:p>
    <w:sectPr w:rsidR="00E052A7"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DC4C" w14:textId="77777777" w:rsidR="0030590E" w:rsidRDefault="0030590E">
      <w:r>
        <w:separator/>
      </w:r>
    </w:p>
  </w:endnote>
  <w:endnote w:type="continuationSeparator" w:id="0">
    <w:p w14:paraId="7C9258E0" w14:textId="77777777" w:rsidR="0030590E" w:rsidRDefault="0030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1488" w14:textId="77777777" w:rsidR="0030590E" w:rsidRDefault="0030590E">
      <w:r>
        <w:rPr>
          <w:b/>
        </w:rPr>
        <w:t>_______________</w:t>
      </w:r>
    </w:p>
  </w:footnote>
  <w:footnote w:type="continuationSeparator" w:id="0">
    <w:p w14:paraId="668E1AD7" w14:textId="77777777" w:rsidR="0030590E" w:rsidRDefault="0030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1E46987E" w:rsidR="00B00715" w:rsidRDefault="00B00715" w:rsidP="00B00715">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2F641302" w:rsidR="00B00715" w:rsidRDefault="00B00715" w:rsidP="00B00715">
          <w:pPr>
            <w:pStyle w:val="HeaderRegProc"/>
            <w:rPr>
              <w:lang w:val="fr-FR"/>
            </w:rPr>
          </w:pPr>
          <w:r>
            <w:t>RES</w:t>
          </w:r>
          <w:r>
            <w:fldChar w:fldCharType="begin"/>
          </w:r>
          <w:r>
            <w:instrText>styleref href2</w:instrText>
          </w:r>
          <w:r>
            <w:fldChar w:fldCharType="separate"/>
          </w:r>
          <w:r w:rsidR="007A7654">
            <w:rPr>
              <w:noProof/>
            </w:rPr>
            <w:t>35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65A55F0B" w:rsidR="00B00715" w:rsidRDefault="00B00715" w:rsidP="00B00715">
          <w:pPr>
            <w:pStyle w:val="HeaderRegProc"/>
            <w:rPr>
              <w:lang w:val="fr-CH"/>
            </w:rPr>
          </w:pPr>
          <w:proofErr w:type="spellStart"/>
          <w:proofErr w:type="gramStart"/>
          <w:r>
            <w:rPr>
              <w:lang w:val="fr-CH"/>
            </w:rPr>
            <w:t>rev</w:t>
          </w:r>
          <w:proofErr w:type="spellEnd"/>
          <w:proofErr w:type="gramEnd"/>
          <w:r>
            <w:rPr>
              <w:lang w:val="fr-CH"/>
            </w:rPr>
            <w:t xml:space="preserve">. </w:t>
          </w:r>
          <w:r w:rsidR="007A7654">
            <w:t>-</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2742B"/>
    <w:rsid w:val="000B1472"/>
    <w:rsid w:val="000B6CC5"/>
    <w:rsid w:val="000D5391"/>
    <w:rsid w:val="000E2988"/>
    <w:rsid w:val="00114820"/>
    <w:rsid w:val="001204C7"/>
    <w:rsid w:val="001B1E4D"/>
    <w:rsid w:val="001C7192"/>
    <w:rsid w:val="00204C1C"/>
    <w:rsid w:val="002415D2"/>
    <w:rsid w:val="0026413C"/>
    <w:rsid w:val="002F6FCF"/>
    <w:rsid w:val="0030590E"/>
    <w:rsid w:val="00390648"/>
    <w:rsid w:val="00395F3E"/>
    <w:rsid w:val="003C1437"/>
    <w:rsid w:val="003D6283"/>
    <w:rsid w:val="003F79CF"/>
    <w:rsid w:val="00483705"/>
    <w:rsid w:val="005068FA"/>
    <w:rsid w:val="0054657E"/>
    <w:rsid w:val="005930F7"/>
    <w:rsid w:val="005F1E1A"/>
    <w:rsid w:val="00625FC5"/>
    <w:rsid w:val="006B40CA"/>
    <w:rsid w:val="00747EBF"/>
    <w:rsid w:val="007A181A"/>
    <w:rsid w:val="007A7654"/>
    <w:rsid w:val="00803152"/>
    <w:rsid w:val="00824378"/>
    <w:rsid w:val="00840E1C"/>
    <w:rsid w:val="0089365D"/>
    <w:rsid w:val="00935DCA"/>
    <w:rsid w:val="009B2AF4"/>
    <w:rsid w:val="00A32360"/>
    <w:rsid w:val="00A70933"/>
    <w:rsid w:val="00A829C2"/>
    <w:rsid w:val="00AD5DE6"/>
    <w:rsid w:val="00B00715"/>
    <w:rsid w:val="00B2732B"/>
    <w:rsid w:val="00B27A25"/>
    <w:rsid w:val="00B472F8"/>
    <w:rsid w:val="00BA22BB"/>
    <w:rsid w:val="00BE2E17"/>
    <w:rsid w:val="00C160BD"/>
    <w:rsid w:val="00C20100"/>
    <w:rsid w:val="00CC1BC0"/>
    <w:rsid w:val="00D2060F"/>
    <w:rsid w:val="00D45A79"/>
    <w:rsid w:val="00DD28B6"/>
    <w:rsid w:val="00E052A7"/>
    <w:rsid w:val="00E36ED1"/>
    <w:rsid w:val="00E567A5"/>
    <w:rsid w:val="00E70951"/>
    <w:rsid w:val="00EA7B06"/>
    <w:rsid w:val="00F04B48"/>
    <w:rsid w:val="00F73346"/>
    <w:rsid w:val="00F76650"/>
    <w:rsid w:val="00FD3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AnnexNo">
    <w:name w:val="Annex_No"/>
    <w:basedOn w:val="Normal"/>
    <w:next w:val="Normal"/>
    <w:rsid w:val="00AD5DE6"/>
    <w:pPr>
      <w:keepNext/>
      <w:keepLines/>
      <w:spacing w:before="480" w:after="80"/>
      <w:jc w:val="center"/>
    </w:pPr>
    <w:rPr>
      <w:caps/>
      <w:sz w:val="2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D5DE6"/>
    <w:rPr>
      <w:lang w:val="en-GB" w:eastAsia="en-US"/>
    </w:rPr>
  </w:style>
  <w:style w:type="paragraph" w:customStyle="1" w:styleId="Sectiontitle">
    <w:name w:val="Section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 w:type="paragraph" w:customStyle="1" w:styleId="PartNo">
    <w:name w:val="Part_No"/>
    <w:basedOn w:val="AnnexNo"/>
    <w:next w:val="Normal"/>
    <w:rsid w:val="00AD5DE6"/>
  </w:style>
  <w:style w:type="paragraph" w:customStyle="1" w:styleId="Parttitle">
    <w:name w:val="Part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TotalTime>
  <Pages>1</Pages>
  <Words>354</Words>
  <Characters>2200</Characters>
  <Application>Microsoft Office Word</Application>
  <DocSecurity>0</DocSecurity>
  <Lines>52</Lines>
  <Paragraphs>30</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Gachet, Christelle</cp:lastModifiedBy>
  <cp:revision>18</cp:revision>
  <cp:lastPrinted>2024-11-28T14:08:00Z</cp:lastPrinted>
  <dcterms:created xsi:type="dcterms:W3CDTF">2024-11-25T15:41:00Z</dcterms:created>
  <dcterms:modified xsi:type="dcterms:W3CDTF">2025-11-18T11:13:00Z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