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E2D0DB" w14:textId="0F6DE9DD" w:rsidR="00E052A7" w:rsidRDefault="00E052A7" w:rsidP="0089365D">
      <w:pPr>
        <w:pStyle w:val="Heading1"/>
        <w:spacing w:before="300"/>
        <w:ind w:left="0" w:firstLine="0"/>
        <w:jc w:val="center"/>
      </w:pPr>
      <w:r>
        <w:t>Rules concerning</w:t>
      </w:r>
    </w:p>
    <w:p w14:paraId="6D735A6A" w14:textId="78863F38" w:rsidR="00E052A7" w:rsidRDefault="00E052A7">
      <w:pPr>
        <w:pStyle w:val="Heading2"/>
        <w:ind w:left="0" w:firstLine="0"/>
        <w:jc w:val="center"/>
      </w:pPr>
      <w:r>
        <w:t xml:space="preserve">RESOLUTION  </w:t>
      </w:r>
      <w:r w:rsidR="00395F3E">
        <w:rPr>
          <w:rStyle w:val="href2"/>
        </w:rPr>
        <w:t>32</w:t>
      </w:r>
      <w:r>
        <w:t xml:space="preserve"> (</w:t>
      </w:r>
      <w:r w:rsidR="00D31DD0">
        <w:t>Rev.</w:t>
      </w:r>
      <w:r>
        <w:t>WRC-</w:t>
      </w:r>
      <w:r w:rsidR="00CB43E8">
        <w:t>23</w:t>
      </w:r>
      <w:r>
        <w:t>)</w:t>
      </w:r>
    </w:p>
    <w:p w14:paraId="7D60942F" w14:textId="601D8FF1" w:rsidR="00E052A7" w:rsidRDefault="003F79CF" w:rsidP="003F79CF">
      <w:pPr>
        <w:pStyle w:val="Heading1"/>
        <w:ind w:left="0" w:firstLine="0"/>
        <w:jc w:val="center"/>
      </w:pPr>
      <w:r w:rsidRPr="003F79CF">
        <w:t xml:space="preserve">Regulatory procedures for frequency assignments to non-geostationary-satellite networks or systems identified as short-duration mission not subject to the application of Section II of Article </w:t>
      </w:r>
      <w:r w:rsidR="001C7192">
        <w:t>9</w:t>
      </w:r>
    </w:p>
    <w:p w14:paraId="30F5A022" w14:textId="7815EDD0" w:rsidR="00E36ED1" w:rsidRPr="00CB43E8" w:rsidRDefault="00B472F8" w:rsidP="00E36ED1">
      <w:pPr>
        <w:tabs>
          <w:tab w:val="left" w:pos="3402"/>
        </w:tabs>
        <w:spacing w:before="160" w:line="280" w:lineRule="exact"/>
        <w:rPr>
          <w:szCs w:val="28"/>
        </w:rPr>
      </w:pPr>
      <w:r>
        <w:rPr>
          <w:szCs w:val="28"/>
        </w:rPr>
        <w:t>Section</w:t>
      </w:r>
      <w:r w:rsidR="00E36ED1" w:rsidRPr="00CB43E8">
        <w:rPr>
          <w:szCs w:val="28"/>
        </w:rPr>
        <w:t xml:space="preserve"> 4 of the Annex to Resolution </w:t>
      </w:r>
      <w:r w:rsidR="00E36ED1" w:rsidRPr="00CB43E8">
        <w:rPr>
          <w:b/>
          <w:bCs/>
          <w:szCs w:val="28"/>
        </w:rPr>
        <w:t>32 (</w:t>
      </w:r>
      <w:r w:rsidR="00D31DD0">
        <w:rPr>
          <w:b/>
          <w:bCs/>
          <w:szCs w:val="28"/>
        </w:rPr>
        <w:t>Rev.</w:t>
      </w:r>
      <w:r w:rsidR="00E36ED1" w:rsidRPr="00CB43E8">
        <w:rPr>
          <w:b/>
          <w:bCs/>
          <w:szCs w:val="28"/>
        </w:rPr>
        <w:t>WRC-</w:t>
      </w:r>
      <w:r w:rsidR="00CB43E8">
        <w:rPr>
          <w:b/>
          <w:bCs/>
          <w:szCs w:val="28"/>
        </w:rPr>
        <w:t>23</w:t>
      </w:r>
      <w:r w:rsidR="00E36ED1" w:rsidRPr="00CB43E8">
        <w:rPr>
          <w:b/>
          <w:bCs/>
          <w:szCs w:val="28"/>
        </w:rPr>
        <w:t>)</w:t>
      </w:r>
      <w:r w:rsidR="00E36ED1" w:rsidRPr="00CB43E8">
        <w:rPr>
          <w:szCs w:val="28"/>
        </w:rPr>
        <w:t xml:space="preserve"> indicate that the notification information relating to non-GSO networks or systems identified as short-duration mission shall be communicated to the Radiocommunication Bureau only after the launch of a satellite in the case of a satellite network or of the first satellite in the case of a system requiring multiple launches, and not later than two months after the date of bringing into use. This provision applies instead of No. </w:t>
      </w:r>
      <w:r w:rsidR="00E36ED1" w:rsidRPr="00CB43E8">
        <w:rPr>
          <w:b/>
          <w:bCs/>
          <w:szCs w:val="28"/>
        </w:rPr>
        <w:t>11.25</w:t>
      </w:r>
      <w:r w:rsidR="00E36ED1" w:rsidRPr="00CB43E8">
        <w:rPr>
          <w:szCs w:val="28"/>
        </w:rPr>
        <w:t xml:space="preserve"> for frequency assignments to non-GSO networks or systems with short-duration missions. </w:t>
      </w:r>
    </w:p>
    <w:p w14:paraId="5A0D03A7" w14:textId="77777777" w:rsidR="00E36ED1" w:rsidRPr="00CB43E8" w:rsidRDefault="00E36ED1" w:rsidP="00E36ED1">
      <w:pPr>
        <w:tabs>
          <w:tab w:val="left" w:pos="3402"/>
        </w:tabs>
        <w:spacing w:line="280" w:lineRule="exact"/>
        <w:rPr>
          <w:szCs w:val="28"/>
        </w:rPr>
      </w:pPr>
      <w:r w:rsidRPr="00CB43E8">
        <w:rPr>
          <w:szCs w:val="28"/>
        </w:rPr>
        <w:t xml:space="preserve">However, No. </w:t>
      </w:r>
      <w:r w:rsidRPr="00CB43E8">
        <w:rPr>
          <w:b/>
          <w:bCs/>
          <w:szCs w:val="28"/>
        </w:rPr>
        <w:t>9.1</w:t>
      </w:r>
      <w:r w:rsidRPr="00CB43E8">
        <w:rPr>
          <w:szCs w:val="28"/>
        </w:rPr>
        <w:t xml:space="preserve"> restricts the date of receipt of notification to be not earlier than four months after the publication of the API special section.</w:t>
      </w:r>
    </w:p>
    <w:p w14:paraId="40520C90" w14:textId="77777777" w:rsidR="00E36ED1" w:rsidRPr="00CB43E8" w:rsidRDefault="00E36ED1" w:rsidP="00E36ED1">
      <w:pPr>
        <w:tabs>
          <w:tab w:val="left" w:pos="3402"/>
        </w:tabs>
        <w:spacing w:line="280" w:lineRule="exact"/>
        <w:rPr>
          <w:szCs w:val="28"/>
        </w:rPr>
      </w:pPr>
      <w:r w:rsidRPr="00CB43E8">
        <w:rPr>
          <w:szCs w:val="28"/>
        </w:rPr>
        <w:t>It may therefore occur that notification information relating to non-GSO networks or systems identified as short-duration missions be communicated to the Bureau not later than two months after the date of bringing into use but earlier than four months after the publication of the API special section.</w:t>
      </w:r>
    </w:p>
    <w:p w14:paraId="26B8C38F" w14:textId="250D53D4" w:rsidR="00E36ED1" w:rsidRPr="00CB43E8" w:rsidRDefault="00E36ED1" w:rsidP="00E36ED1">
      <w:pPr>
        <w:tabs>
          <w:tab w:val="left" w:pos="3402"/>
        </w:tabs>
        <w:spacing w:line="280" w:lineRule="exact"/>
        <w:rPr>
          <w:szCs w:val="28"/>
        </w:rPr>
      </w:pPr>
      <w:r w:rsidRPr="00CB43E8">
        <w:rPr>
          <w:szCs w:val="28"/>
        </w:rPr>
        <w:t xml:space="preserve">Noting that § 4 of the Annex to Resolution </w:t>
      </w:r>
      <w:r w:rsidRPr="00CB43E8">
        <w:rPr>
          <w:b/>
          <w:bCs/>
          <w:szCs w:val="28"/>
        </w:rPr>
        <w:t>32 (</w:t>
      </w:r>
      <w:r w:rsidR="00D31DD0">
        <w:rPr>
          <w:b/>
          <w:bCs/>
          <w:szCs w:val="28"/>
        </w:rPr>
        <w:t>Rev.</w:t>
      </w:r>
      <w:r w:rsidRPr="00CB43E8">
        <w:rPr>
          <w:b/>
          <w:bCs/>
          <w:szCs w:val="28"/>
        </w:rPr>
        <w:t>WRC-</w:t>
      </w:r>
      <w:r w:rsidR="00CB43E8">
        <w:rPr>
          <w:b/>
          <w:bCs/>
          <w:szCs w:val="28"/>
        </w:rPr>
        <w:t>23</w:t>
      </w:r>
      <w:r w:rsidRPr="00CB43E8">
        <w:rPr>
          <w:b/>
          <w:bCs/>
          <w:szCs w:val="28"/>
        </w:rPr>
        <w:t>)</w:t>
      </w:r>
      <w:r w:rsidRPr="00CB43E8">
        <w:rPr>
          <w:szCs w:val="28"/>
        </w:rPr>
        <w:t xml:space="preserve"> relates to the time when the notification information has to be communicated to the Bureau, whereas No. </w:t>
      </w:r>
      <w:r w:rsidRPr="00CB43E8">
        <w:rPr>
          <w:b/>
          <w:bCs/>
          <w:szCs w:val="28"/>
        </w:rPr>
        <w:t>9.1</w:t>
      </w:r>
      <w:r w:rsidRPr="00CB43E8">
        <w:rPr>
          <w:szCs w:val="28"/>
        </w:rPr>
        <w:t xml:space="preserve"> concerns the establishment of the formal date of receipt, the Board decided that the Bureau shall publish such notification notices with a date of receipt established in accordance with No. </w:t>
      </w:r>
      <w:r w:rsidRPr="00CB43E8">
        <w:rPr>
          <w:b/>
          <w:bCs/>
          <w:szCs w:val="28"/>
        </w:rPr>
        <w:t>9.1</w:t>
      </w:r>
      <w:r w:rsidRPr="00CB43E8">
        <w:rPr>
          <w:szCs w:val="28"/>
        </w:rPr>
        <w:t xml:space="preserve">, together with a note indicating the date to which the information was communicated to the Radiocommunication Bureau, in order for Administrations to be informed of the compliance of these notices with § 4 of the Annex to Resolution </w:t>
      </w:r>
      <w:r w:rsidRPr="00CB43E8">
        <w:rPr>
          <w:b/>
          <w:bCs/>
          <w:szCs w:val="28"/>
        </w:rPr>
        <w:t>32 (</w:t>
      </w:r>
      <w:r w:rsidR="00D31DD0">
        <w:rPr>
          <w:b/>
          <w:bCs/>
          <w:szCs w:val="28"/>
        </w:rPr>
        <w:t>Rev.</w:t>
      </w:r>
      <w:r w:rsidRPr="00CB43E8">
        <w:rPr>
          <w:b/>
          <w:bCs/>
          <w:szCs w:val="28"/>
        </w:rPr>
        <w:t>WRC-</w:t>
      </w:r>
      <w:r w:rsidR="00CB43E8">
        <w:rPr>
          <w:b/>
          <w:bCs/>
          <w:szCs w:val="28"/>
        </w:rPr>
        <w:t>23</w:t>
      </w:r>
      <w:r w:rsidRPr="00CB43E8">
        <w:rPr>
          <w:b/>
          <w:bCs/>
          <w:szCs w:val="28"/>
        </w:rPr>
        <w:t>)</w:t>
      </w:r>
      <w:r w:rsidRPr="00CB43E8">
        <w:rPr>
          <w:szCs w:val="28"/>
        </w:rPr>
        <w:t>.</w:t>
      </w:r>
    </w:p>
    <w:p w14:paraId="3B749283" w14:textId="77777777" w:rsidR="00E052A7" w:rsidRDefault="00E052A7" w:rsidP="0089365D">
      <w:pPr>
        <w:rPr>
          <w:lang w:val="en-US"/>
        </w:rPr>
      </w:pPr>
    </w:p>
    <w:p w14:paraId="02257F70" w14:textId="77777777" w:rsidR="00E052A7" w:rsidRDefault="00E052A7">
      <w:pPr>
        <w:jc w:val="center"/>
        <w:rPr>
          <w:color w:val="000000"/>
        </w:rPr>
      </w:pPr>
      <w:r>
        <w:rPr>
          <w:color w:val="000000"/>
        </w:rPr>
        <w:t>____________________</w:t>
      </w:r>
    </w:p>
    <w:p w14:paraId="7396A8FA" w14:textId="77777777" w:rsidR="00E052A7" w:rsidRDefault="00E052A7" w:rsidP="0089365D"/>
    <w:p w14:paraId="445AFBC5" w14:textId="77777777" w:rsidR="00E052A7" w:rsidRDefault="00E052A7" w:rsidP="00E36ED1">
      <w:pPr>
        <w:rPr>
          <w:lang w:val="en-US"/>
        </w:rPr>
      </w:pPr>
    </w:p>
    <w:sectPr w:rsidR="00E052A7" w:rsidSect="0089365D">
      <w:headerReference w:type="first" r:id="rId6"/>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0BCB7" w14:textId="77777777" w:rsidR="000B6CC5" w:rsidRDefault="000B6CC5">
      <w:r>
        <w:separator/>
      </w:r>
    </w:p>
  </w:endnote>
  <w:endnote w:type="continuationSeparator" w:id="0">
    <w:p w14:paraId="49F949AC" w14:textId="77777777" w:rsidR="000B6CC5" w:rsidRDefault="000B6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C3534" w14:textId="77777777" w:rsidR="000B6CC5" w:rsidRDefault="000B6CC5">
      <w:r>
        <w:rPr>
          <w:b/>
        </w:rPr>
        <w:t>_______________</w:t>
      </w:r>
    </w:p>
  </w:footnote>
  <w:footnote w:type="continuationSeparator" w:id="0">
    <w:p w14:paraId="67D6BDE3" w14:textId="77777777" w:rsidR="000B6CC5" w:rsidRDefault="000B6C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00715" w14:paraId="6EA4E789" w14:textId="77777777" w:rsidTr="00E766BD">
      <w:trPr>
        <w:cantSplit/>
        <w:jc w:val="right"/>
      </w:trPr>
      <w:tc>
        <w:tcPr>
          <w:tcW w:w="1701" w:type="dxa"/>
          <w:tcBorders>
            <w:top w:val="single" w:sz="6" w:space="0" w:color="auto"/>
            <w:left w:val="single" w:sz="6" w:space="0" w:color="auto"/>
            <w:bottom w:val="single" w:sz="6" w:space="0" w:color="auto"/>
            <w:right w:val="single" w:sz="6" w:space="0" w:color="auto"/>
          </w:tcBorders>
        </w:tcPr>
        <w:p w14:paraId="22BD916C" w14:textId="1E46987E" w:rsidR="00B00715" w:rsidRDefault="00B00715" w:rsidP="00B00715">
          <w:pPr>
            <w:pStyle w:val="HeaderRegProc"/>
          </w:pPr>
          <w:r>
            <w:t>Part A1</w:t>
          </w:r>
        </w:p>
      </w:tc>
      <w:tc>
        <w:tcPr>
          <w:tcW w:w="1701" w:type="dxa"/>
          <w:tcBorders>
            <w:top w:val="single" w:sz="6" w:space="0" w:color="auto"/>
            <w:left w:val="single" w:sz="6" w:space="0" w:color="auto"/>
            <w:bottom w:val="single" w:sz="6" w:space="0" w:color="auto"/>
            <w:right w:val="single" w:sz="6" w:space="0" w:color="auto"/>
          </w:tcBorders>
        </w:tcPr>
        <w:p w14:paraId="5D8094A7" w14:textId="7069C435" w:rsidR="00B00715" w:rsidRDefault="00B00715" w:rsidP="00B00715">
          <w:pPr>
            <w:pStyle w:val="HeaderRegProc"/>
            <w:rPr>
              <w:lang w:val="fr-FR"/>
            </w:rPr>
          </w:pPr>
          <w:r>
            <w:t>RES</w:t>
          </w:r>
          <w:r>
            <w:fldChar w:fldCharType="begin"/>
          </w:r>
          <w:r>
            <w:instrText>styleref href2</w:instrText>
          </w:r>
          <w:r>
            <w:fldChar w:fldCharType="separate"/>
          </w:r>
          <w:r w:rsidR="00D31DD0">
            <w:rPr>
              <w:noProof/>
            </w:rPr>
            <w:t>32</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8D3C241" w14:textId="77777777" w:rsidR="00B00715" w:rsidRDefault="00B00715" w:rsidP="00B00715">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ED00D8E" w14:textId="3D62C189" w:rsidR="00B00715" w:rsidRDefault="00B00715" w:rsidP="00B00715">
          <w:pPr>
            <w:pStyle w:val="HeaderRegProc"/>
            <w:rPr>
              <w:lang w:val="fr-CH"/>
            </w:rPr>
          </w:pPr>
          <w:r>
            <w:rPr>
              <w:lang w:val="fr-CH"/>
            </w:rPr>
            <w:t xml:space="preserve">rev. </w:t>
          </w:r>
          <w:r w:rsidR="00CB43E8">
            <w:t>-</w:t>
          </w:r>
        </w:p>
      </w:tc>
    </w:tr>
  </w:tbl>
  <w:p w14:paraId="3CE4A68B" w14:textId="77777777" w:rsidR="00E052A7" w:rsidRDefault="00E052A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052A7"/>
    <w:rsid w:val="000B1472"/>
    <w:rsid w:val="000B6CC5"/>
    <w:rsid w:val="001C7192"/>
    <w:rsid w:val="00204C1C"/>
    <w:rsid w:val="00395F3E"/>
    <w:rsid w:val="003D6283"/>
    <w:rsid w:val="003F79CF"/>
    <w:rsid w:val="00432F22"/>
    <w:rsid w:val="006B40CA"/>
    <w:rsid w:val="00803152"/>
    <w:rsid w:val="00824378"/>
    <w:rsid w:val="0089365D"/>
    <w:rsid w:val="00B00715"/>
    <w:rsid w:val="00B2732B"/>
    <w:rsid w:val="00B472F8"/>
    <w:rsid w:val="00CB43E8"/>
    <w:rsid w:val="00CC1BC0"/>
    <w:rsid w:val="00D31DD0"/>
    <w:rsid w:val="00E052A7"/>
    <w:rsid w:val="00E36ED1"/>
    <w:rsid w:val="00F733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6DC919"/>
  <w15:docId w15:val="{8CDC531D-625F-434C-8810-B845F92B1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23</TotalTime>
  <Pages>1</Pages>
  <Words>263</Words>
  <Characters>1639</Characters>
  <Application>Microsoft Office Word</Application>
  <DocSecurity>0</DocSecurity>
  <Lines>39</Lines>
  <Paragraphs>22</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of Procedure Edition of 2025</dc:title>
  <dc:subject>RES1 du RR</dc:subject>
  <dc:creator/>
  <cp:keywords/>
  <dc:description/>
  <cp:lastModifiedBy>Gachet, Christelle</cp:lastModifiedBy>
  <cp:revision>17</cp:revision>
  <cp:lastPrinted>2020-12-15T08:59:00Z</cp:lastPrinted>
  <dcterms:created xsi:type="dcterms:W3CDTF">2012-08-08T06:51:00Z</dcterms:created>
  <dcterms:modified xsi:type="dcterms:W3CDTF">2025-11-18T12:14:00Z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