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17857" w14:textId="77777777" w:rsidR="002150F8" w:rsidRPr="008E5ED7" w:rsidRDefault="002150F8" w:rsidP="00552405">
      <w:pPr>
        <w:pStyle w:val="Heading1"/>
        <w:spacing w:before="300"/>
        <w:ind w:left="0" w:firstLine="0"/>
        <w:jc w:val="center"/>
      </w:pPr>
      <w:r w:rsidRPr="008E5ED7">
        <w:t>Rules concerning</w:t>
      </w:r>
    </w:p>
    <w:p w14:paraId="41924C51" w14:textId="77777777" w:rsidR="002150F8" w:rsidRPr="008E5ED7" w:rsidRDefault="002150F8">
      <w:pPr>
        <w:pStyle w:val="Heading2"/>
        <w:jc w:val="center"/>
      </w:pPr>
      <w:r w:rsidRPr="008E5ED7">
        <w:t xml:space="preserve">APPENDIX  </w:t>
      </w:r>
      <w:r w:rsidRPr="008E5ED7">
        <w:rPr>
          <w:rStyle w:val="href2"/>
        </w:rPr>
        <w:t>30A</w:t>
      </w:r>
      <w:r w:rsidRPr="008E5ED7">
        <w:t xml:space="preserve"> to the RR</w:t>
      </w:r>
    </w:p>
    <w:p w14:paraId="2486876F" w14:textId="77777777"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14:paraId="58067627" w14:textId="77777777" w:rsidR="00D416CC" w:rsidRPr="00D416CC" w:rsidRDefault="00D416CC" w:rsidP="007F63CA">
      <w:pPr>
        <w:pStyle w:val="Heading8"/>
        <w:spacing w:before="240"/>
      </w:pPr>
      <w:r w:rsidRPr="00D416CC">
        <w:t>Art. 2A</w:t>
      </w:r>
    </w:p>
    <w:p w14:paraId="0AEFA54A" w14:textId="77777777" w:rsidR="00D416CC" w:rsidRPr="00236B7B" w:rsidRDefault="00D416CC" w:rsidP="00EC7E46">
      <w:pPr>
        <w:pStyle w:val="Heading2"/>
        <w:spacing w:before="120"/>
        <w:ind w:left="0" w:firstLine="0"/>
        <w:jc w:val="center"/>
        <w:rPr>
          <w:rFonts w:asciiTheme="minorHAnsi" w:hAnsiTheme="minorHAnsi"/>
          <w:b w:val="0"/>
        </w:rPr>
      </w:pPr>
      <w:r w:rsidRPr="00D416CC">
        <w:t xml:space="preserve">Use of the </w:t>
      </w:r>
      <w:proofErr w:type="spellStart"/>
      <w:r w:rsidRPr="00D416CC">
        <w:t>guardbands</w:t>
      </w:r>
      <w:proofErr w:type="spellEnd"/>
    </w:p>
    <w:p w14:paraId="349E4D13" w14:textId="77777777" w:rsidR="002150F8" w:rsidRPr="008E5ED7" w:rsidRDefault="002150F8">
      <w:pPr>
        <w:pStyle w:val="Heading8"/>
        <w:spacing w:before="240"/>
      </w:pPr>
      <w:bookmarkStart w:id="0" w:name="_Toc510511260"/>
      <w:r w:rsidRPr="008E5ED7">
        <w:t>Art. 4</w:t>
      </w:r>
      <w:bookmarkEnd w:id="0"/>
    </w:p>
    <w:p w14:paraId="37FFAE24" w14:textId="473B27B0" w:rsidR="002150F8" w:rsidRPr="008E5ED7" w:rsidRDefault="002150F8" w:rsidP="00EC7E46">
      <w:pPr>
        <w:pStyle w:val="Heading2"/>
        <w:spacing w:before="240"/>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w:t>
      </w:r>
      <w:proofErr w:type="gramStart"/>
      <w:r w:rsidRPr="008E5ED7">
        <w:t>Regions</w:t>
      </w:r>
      <w:proofErr w:type="gramEnd"/>
      <w:r w:rsidRPr="008E5ED7">
        <w:t xml:space="preserve"> </w:t>
      </w:r>
      <w:r w:rsidRPr="008E5ED7">
        <w:rPr>
          <w:rStyle w:val="href"/>
        </w:rPr>
        <w:t>1</w:t>
      </w:r>
      <w:r w:rsidRPr="008E5ED7">
        <w:t xml:space="preserve"> and 3</w:t>
      </w:r>
      <w:r w:rsidR="00804E0D">
        <w:rPr>
          <w:rStyle w:val="FootnoteReference"/>
        </w:rPr>
        <w:footnoteReference w:customMarkFollows="1" w:id="1"/>
        <w:t>*</w:t>
      </w:r>
    </w:p>
    <w:p w14:paraId="66C8658E" w14:textId="77777777"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14:paraId="30ECE78E" w14:textId="77777777"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14:paraId="0B7C0CCE" w14:textId="77777777" w:rsidR="002150F8" w:rsidRPr="008E5ED7" w:rsidRDefault="002150F8" w:rsidP="00EC7E46">
      <w:pPr>
        <w:spacing w:before="160"/>
      </w:pPr>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14:paraId="7A0ACBE6" w14:textId="77777777" w:rsidR="00DE57AE" w:rsidRDefault="00DE57AE" w:rsidP="00EC7E46">
      <w:pPr>
        <w:spacing w:before="160"/>
      </w:pPr>
      <w:r>
        <w:br w:type="page"/>
      </w:r>
    </w:p>
    <w:p w14:paraId="3103E2A0" w14:textId="309FB5B6" w:rsidR="002150F8" w:rsidRPr="008E5ED7" w:rsidRDefault="002150F8" w:rsidP="00EC7E46">
      <w:pPr>
        <w:spacing w:before="160"/>
      </w:pPr>
      <w:r w:rsidRPr="008E5ED7">
        <w:lastRenderedPageBreak/>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06DE839C" w14:textId="12BDA60C" w:rsidR="002150F8" w:rsidRPr="008E5ED7" w:rsidRDefault="002150F8" w:rsidP="00E50A04">
      <w:r w:rsidRPr="008E5ED7">
        <w:t>4</w:t>
      </w:r>
      <w:r w:rsidRPr="008E5ED7">
        <w:tab/>
        <w:t xml:space="preserve">According to </w:t>
      </w:r>
      <w:r w:rsidRPr="008E5ED7">
        <w:rPr>
          <w:i/>
          <w:iCs/>
        </w:rPr>
        <w:t>resolves</w:t>
      </w:r>
      <w:r w:rsidRPr="008E5ED7">
        <w:t xml:space="preserve"> 5 of Resolution </w:t>
      </w:r>
      <w:r w:rsidRPr="008E5ED7">
        <w:rPr>
          <w:rStyle w:val="Resref"/>
          <w:b/>
          <w:bCs/>
          <w:color w:val="000000"/>
        </w:rPr>
        <w:t>548 (</w:t>
      </w:r>
      <w:r w:rsidR="00102440">
        <w:rPr>
          <w:rStyle w:val="Resref"/>
          <w:b/>
          <w:bCs/>
          <w:color w:val="000000"/>
        </w:rPr>
        <w:t>Rev.</w:t>
      </w:r>
      <w:r w:rsidRPr="008E5ED7">
        <w:rPr>
          <w:rStyle w:val="Resref"/>
          <w:b/>
          <w:bCs/>
          <w:color w:val="000000"/>
        </w:rPr>
        <w:t>WRC-</w:t>
      </w:r>
      <w:r w:rsidR="005D60D8">
        <w:rPr>
          <w:rStyle w:val="Resref"/>
          <w:b/>
          <w:bCs/>
          <w:color w:val="000000"/>
        </w:rPr>
        <w:t>12</w:t>
      </w:r>
      <w:r w:rsidRPr="008E5ED7">
        <w:rPr>
          <w:rStyle w:val="Resref"/>
          <w:b/>
          <w:bCs/>
          <w:color w:val="000000"/>
        </w:rPr>
        <w:t>)</w:t>
      </w:r>
      <w:r w:rsidRPr="008E5ED7">
        <w:t xml:space="preserve">, in the processing of Regions 1 and 3 Article 4 submissions received after 2 June 2000 for identification of affected administrations, each network in a group shall be examined separately without </w:t>
      </w:r>
      <w:proofErr w:type="gramStart"/>
      <w:r w:rsidRPr="008E5ED7">
        <w:t>taking into account</w:t>
      </w:r>
      <w:proofErr w:type="gramEnd"/>
      <w:r w:rsidRPr="008E5ED7">
        <w:t xml:space="preserve">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00C96159">
        <w:br/>
      </w:r>
      <w:r w:rsidRPr="008E5ED7">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14:paraId="216BB052" w14:textId="7F7F9CE6" w:rsidR="002150F8" w:rsidRPr="008E5ED7" w:rsidRDefault="002150F8" w:rsidP="005D60D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t>
      </w:r>
      <w:r w:rsidR="00102440">
        <w:rPr>
          <w:rStyle w:val="Resref"/>
          <w:b/>
          <w:bCs/>
          <w:color w:val="000000"/>
        </w:rPr>
        <w:t>Rev.</w:t>
      </w:r>
      <w:r w:rsidRPr="008E5ED7">
        <w:rPr>
          <w:rStyle w:val="Resref"/>
          <w:b/>
          <w:bCs/>
          <w:color w:val="000000"/>
        </w:rPr>
        <w:t>WRC-</w:t>
      </w:r>
      <w:r w:rsidR="005D60D8">
        <w:rPr>
          <w:rStyle w:val="Resref"/>
          <w:b/>
          <w:bCs/>
          <w:color w:val="000000"/>
        </w:rPr>
        <w:t>12</w:t>
      </w:r>
      <w:r w:rsidRPr="008E5ED7">
        <w:rPr>
          <w:rStyle w:val="Resref"/>
          <w:b/>
          <w:bCs/>
          <w:color w:val="000000"/>
        </w:rPr>
        <w:t>)</w:t>
      </w:r>
      <w:r w:rsidRPr="008E5ED7">
        <w:t>, the Board concluded that the following method should be used.</w:t>
      </w:r>
    </w:p>
    <w:p w14:paraId="3B57F98E" w14:textId="77777777" w:rsidR="002150F8" w:rsidRPr="008E5ED7" w:rsidRDefault="002150F8">
      <w:r w:rsidRPr="008E5ED7">
        <w:t xml:space="preserve">Identification of affected administrations should be carried out without </w:t>
      </w:r>
      <w:proofErr w:type="gramStart"/>
      <w:r w:rsidRPr="008E5ED7">
        <w:t>taking into account</w:t>
      </w:r>
      <w:proofErr w:type="gramEnd"/>
      <w:r w:rsidRPr="008E5ED7">
        <w:t xml:space="preserve"> the interference contribution from the Plan and the List assignments grouped with assignments of an Article 4 network under examination based on the reference situation established without </w:t>
      </w:r>
      <w:proofErr w:type="gramStart"/>
      <w:r w:rsidRPr="008E5ED7">
        <w:t>taking into account</w:t>
      </w:r>
      <w:proofErr w:type="gramEnd"/>
      <w:r w:rsidRPr="008E5ED7">
        <w:t xml:space="preserve"> the interference contribution from those grouped assignments.</w:t>
      </w:r>
    </w:p>
    <w:p w14:paraId="390D862B" w14:textId="7120C1E7" w:rsidR="002150F8" w:rsidRPr="008E5ED7" w:rsidRDefault="002150F8" w:rsidP="005D60D8">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t>
      </w:r>
      <w:r w:rsidR="00102440">
        <w:rPr>
          <w:rStyle w:val="Resref"/>
          <w:b/>
          <w:bCs/>
          <w:color w:val="000000"/>
        </w:rPr>
        <w:t>Rev.</w:t>
      </w:r>
      <w:r w:rsidRPr="008E5ED7">
        <w:rPr>
          <w:rStyle w:val="Resref"/>
          <w:b/>
          <w:bCs/>
          <w:color w:val="000000"/>
        </w:rPr>
        <w:t>WRC-</w:t>
      </w:r>
      <w:r w:rsidR="005D60D8">
        <w:rPr>
          <w:rStyle w:val="Resref"/>
          <w:b/>
          <w:bCs/>
          <w:color w:val="000000"/>
        </w:rPr>
        <w:t>12</w:t>
      </w:r>
      <w:r w:rsidRPr="008E5ED7">
        <w:rPr>
          <w:rStyle w:val="Resref"/>
          <w:b/>
          <w:bCs/>
          <w:color w:val="000000"/>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14:paraId="56E0E155" w14:textId="77777777"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rFonts w:ascii="Symbol" w:eastAsia="Symbol" w:hAnsi="Symbol" w:cs="Symbol"/>
          <w:color w:val="000000"/>
        </w:rPr>
        <w:t>°</w:t>
      </w:r>
      <w:r w:rsidRPr="008E5ED7">
        <w:rPr>
          <w:color w:val="000000"/>
        </w:rPr>
        <w:t xml:space="preserve"> orbital separation which was allowed for clusters within the Region 2 Plan and its subsequent modifications).</w:t>
      </w:r>
    </w:p>
    <w:p w14:paraId="0C315F2F" w14:textId="05303DC5"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administration under Article 4 of that Appendix based on the following conditions:</w:t>
      </w:r>
    </w:p>
    <w:p w14:paraId="5D1D57BA" w14:textId="77777777"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14:paraId="6755C976" w14:textId="77777777" w:rsidR="00DE57AE" w:rsidRDefault="00DE57AE">
      <w:pPr>
        <w:pStyle w:val="enumlev1"/>
      </w:pPr>
      <w:r>
        <w:br w:type="page"/>
      </w:r>
    </w:p>
    <w:p w14:paraId="49BB699D" w14:textId="2700DE1D" w:rsidR="002150F8" w:rsidRPr="008E5ED7" w:rsidRDefault="002150F8">
      <w:pPr>
        <w:pStyle w:val="enumlev1"/>
      </w:pPr>
      <w:r w:rsidRPr="008E5ED7">
        <w:lastRenderedPageBreak/>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35CF8D38" w14:textId="5EA6262A" w:rsidR="002150F8" w:rsidRPr="008E5ED7" w:rsidRDefault="002150F8" w:rsidP="00552405">
      <w:r w:rsidRPr="008E5ED7">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14:paraId="7669675F" w14:textId="1C5EF6E0" w:rsidR="002150F8" w:rsidRPr="008E5ED7" w:rsidRDefault="002150F8">
      <w:pPr>
        <w:pStyle w:val="Heading9"/>
      </w:pPr>
      <w:r w:rsidRPr="008E5ED7">
        <w:t xml:space="preserve">4.1.1 </w:t>
      </w:r>
      <w:r w:rsidRPr="008E5ED7">
        <w:rPr>
          <w:i/>
          <w:iCs/>
        </w:rPr>
        <w:t>c)</w:t>
      </w:r>
    </w:p>
    <w:p w14:paraId="44AF9309" w14:textId="77777777" w:rsidR="002150F8" w:rsidRPr="008E5ED7" w:rsidRDefault="002150F8" w:rsidP="00552405">
      <w:r w:rsidRPr="008E5ED7">
        <w:t xml:space="preserve">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t>
      </w:r>
      <w:proofErr w:type="gramStart"/>
      <w:r w:rsidRPr="008E5ED7">
        <w:t>whose</w:t>
      </w:r>
      <w:proofErr w:type="gramEnd"/>
      <w:r w:rsidRPr="008E5ED7">
        <w:t xml:space="preserve"> necessary</w:t>
      </w:r>
      <w:r w:rsidRPr="008E5ED7">
        <w:rPr>
          <w:rStyle w:val="FootnoteReference"/>
        </w:rPr>
        <w:footnoteReference w:customMarkFollows="1" w:id="2"/>
        <w:t>1</w:t>
      </w:r>
      <w:r w:rsidRPr="008E5ED7">
        <w:t xml:space="preserve"> bandwidth overlaps the necessary</w:t>
      </w:r>
      <w:r w:rsidRPr="002C7F4E">
        <w:rPr>
          <w:rStyle w:val="FootnoteReference"/>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 xml:space="preserve">3 List. The Region 2 administration is identified as having services which </w:t>
      </w:r>
      <w:proofErr w:type="gramStart"/>
      <w:r w:rsidRPr="008E5ED7">
        <w:t>are considered to be</w:t>
      </w:r>
      <w:proofErr w:type="gramEnd"/>
      <w:r w:rsidRPr="008E5ED7">
        <w:t xml:space="preserv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1EA88CEC" w14:textId="77777777" w:rsidR="002150F8" w:rsidRPr="008E5ED7" w:rsidRDefault="002150F8">
      <w:pPr>
        <w:pStyle w:val="Heading9"/>
      </w:pPr>
      <w:r w:rsidRPr="008E5ED7">
        <w:t>4.1.3</w:t>
      </w:r>
    </w:p>
    <w:p w14:paraId="43330C9B" w14:textId="77777777"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 xml:space="preserve">4.1.3 and entered in the Regions 1 and 3 List, shall also be removed from the Plan or the List according to the case. The Bureau does not need to recalculate the affected administration(s) </w:t>
      </w:r>
      <w:proofErr w:type="gramStart"/>
      <w:r w:rsidRPr="008E5ED7">
        <w:t>as a result of</w:t>
      </w:r>
      <w:proofErr w:type="gramEnd"/>
      <w:r w:rsidRPr="008E5ED7">
        <w:t xml:space="preserve"> the above-mentioned cancellation.</w:t>
      </w:r>
    </w:p>
    <w:p w14:paraId="18776C1B" w14:textId="77777777" w:rsidR="002150F8" w:rsidRPr="008E5ED7" w:rsidRDefault="002150F8">
      <w:r w:rsidRPr="008E5ED7">
        <w:t>2</w:t>
      </w:r>
      <w:r w:rsidRPr="008E5ED7">
        <w:tab/>
        <w:t>See also Rules of Procedure concerning Receivability of the Forms of Notice.</w:t>
      </w:r>
    </w:p>
    <w:p w14:paraId="387AFA76" w14:textId="77777777" w:rsidR="002150F8" w:rsidRPr="008E5ED7" w:rsidRDefault="002150F8" w:rsidP="00552405">
      <w:pPr>
        <w:pStyle w:val="Heading9"/>
      </w:pPr>
      <w:r w:rsidRPr="008E5ED7">
        <w:t>4.1.7</w:t>
      </w:r>
    </w:p>
    <w:p w14:paraId="60E7529D" w14:textId="55C2ACE0" w:rsidR="002150F8" w:rsidRDefault="002150F8">
      <w:r w:rsidRPr="008E5ED7">
        <w:t xml:space="preserve">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w:t>
      </w:r>
      <w:proofErr w:type="gramStart"/>
      <w:r w:rsidRPr="008E5ED7">
        <w:t>otherwise</w:t>
      </w:r>
      <w:proofErr w:type="gramEnd"/>
      <w:r w:rsidRPr="008E5ED7">
        <w:t xml:space="preserve"> the requesting administration will be informed that its name will not be published, it being left to the notifying administration to consider if it is appropriate to take the request into account.</w:t>
      </w:r>
    </w:p>
    <w:p w14:paraId="286EE38B" w14:textId="2949C034" w:rsidR="000F1A13" w:rsidRDefault="000F1A13">
      <w:r>
        <w:br w:type="page"/>
      </w:r>
    </w:p>
    <w:p w14:paraId="25593165" w14:textId="77777777" w:rsidR="002150F8" w:rsidRPr="008E5ED7" w:rsidRDefault="002150F8">
      <w:pPr>
        <w:pStyle w:val="Heading9"/>
      </w:pPr>
      <w:r w:rsidRPr="008E5ED7">
        <w:lastRenderedPageBreak/>
        <w:t>4.1.7</w:t>
      </w:r>
      <w:r w:rsidRPr="008E5ED7">
        <w:rPr>
          <w:i/>
          <w:iCs/>
        </w:rPr>
        <w:t>bis</w:t>
      </w:r>
    </w:p>
    <w:p w14:paraId="69C8B9CB" w14:textId="77777777" w:rsidR="002150F8" w:rsidRPr="008E5ED7" w:rsidRDefault="002150F8">
      <w:r w:rsidRPr="008E5ED7">
        <w:t>The agreement referred to in § </w:t>
      </w:r>
      <w:r w:rsidRPr="00C927FD">
        <w:t>4.1.7</w:t>
      </w:r>
      <w:r w:rsidRPr="00C927FD">
        <w:rPr>
          <w:i/>
          <w:iCs/>
        </w:rPr>
        <w:t>bis</w:t>
      </w:r>
      <w:r w:rsidRPr="008E5ED7">
        <w:t xml:space="preserve"> is the agreement of the administrations identified under § 4.1.1 and of those under § 4.1.7 which have been confirmed by the Bureau using the appropriate criteria.</w:t>
      </w:r>
    </w:p>
    <w:p w14:paraId="2FF9539E" w14:textId="77777777" w:rsidR="002150F8" w:rsidRPr="008E5ED7" w:rsidRDefault="002150F8">
      <w:pPr>
        <w:pStyle w:val="Heading9"/>
      </w:pPr>
      <w:r w:rsidRPr="008E5ED7">
        <w:t>4.1.8</w:t>
      </w:r>
    </w:p>
    <w:p w14:paraId="0B09A0AE" w14:textId="77777777" w:rsidR="002150F8" w:rsidRDefault="002150F8">
      <w:r w:rsidRPr="008E5ED7">
        <w:t>An administration which has only requested additional information in accordance with § 4.1.8 or § 4.2.12 will not be considered by the Bureau to have submitted comments in accordance with § 4.1.10 or § 4.2.14 respectively.</w:t>
      </w:r>
    </w:p>
    <w:p w14:paraId="661DF73E" w14:textId="77777777" w:rsidR="00A3100C" w:rsidRPr="00F95244" w:rsidRDefault="00A3100C" w:rsidP="00102440">
      <w:pPr>
        <w:pStyle w:val="Heading9"/>
        <w:rPr>
          <w:lang w:val="en-US"/>
        </w:rPr>
      </w:pPr>
      <w:r>
        <w:rPr>
          <w:lang w:val="en-US"/>
        </w:rPr>
        <w:t>4.1.10c</w:t>
      </w:r>
    </w:p>
    <w:p w14:paraId="0BE915CD" w14:textId="5F74D648" w:rsidR="00AC3A33" w:rsidRPr="008E5ED7" w:rsidRDefault="00A3100C" w:rsidP="00102440">
      <w:pPr>
        <w:spacing w:before="120" w:line="276" w:lineRule="auto"/>
      </w:pPr>
      <w:r w:rsidRPr="00AC6E5A">
        <w:t xml:space="preserve">See the Rules of Procedure concerning § </w:t>
      </w:r>
      <w:r>
        <w:t>4</w:t>
      </w:r>
      <w:r w:rsidRPr="00AC6E5A">
        <w:t>.</w:t>
      </w:r>
      <w:r>
        <w:t>1</w:t>
      </w:r>
      <w:r w:rsidRPr="00AC6E5A">
        <w:t>.1</w:t>
      </w:r>
      <w:r>
        <w:t>0c</w:t>
      </w:r>
      <w:r w:rsidRPr="00AC6E5A">
        <w:t xml:space="preserve"> of Article </w:t>
      </w:r>
      <w:r>
        <w:t>4</w:t>
      </w:r>
      <w:r w:rsidRPr="00AC6E5A">
        <w:t xml:space="preserve"> of Appendix </w:t>
      </w:r>
      <w:r w:rsidRPr="00D1161C">
        <w:rPr>
          <w:b/>
          <w:bCs/>
        </w:rPr>
        <w:t>30</w:t>
      </w:r>
      <w:r w:rsidRPr="00AC6E5A">
        <w:t>.</w:t>
      </w:r>
      <w:r>
        <w:t xml:space="preserve"> </w:t>
      </w:r>
    </w:p>
    <w:p w14:paraId="0B65E33E" w14:textId="77777777" w:rsidR="002150F8" w:rsidRPr="008E5ED7" w:rsidRDefault="002150F8">
      <w:pPr>
        <w:pStyle w:val="Heading9"/>
      </w:pPr>
      <w:r w:rsidRPr="008E5ED7">
        <w:t>4.1.11</w:t>
      </w:r>
    </w:p>
    <w:p w14:paraId="5ECB858F" w14:textId="77777777" w:rsidR="002150F8" w:rsidRDefault="002150F8" w:rsidP="00552405">
      <w:r w:rsidRPr="008E5ED7">
        <w:t>See also comments under §</w:t>
      </w:r>
      <w:r w:rsidR="00552405" w:rsidRPr="008E5ED7">
        <w:t> </w:t>
      </w:r>
      <w:r w:rsidRPr="008E5ED7">
        <w:t>4.1.3 and 4.2.6 and Rules of Procedure relating to the Receivability of the Forms of Notice.</w:t>
      </w:r>
    </w:p>
    <w:p w14:paraId="40CF9617" w14:textId="77777777" w:rsidR="007F63CA" w:rsidRPr="007F63CA" w:rsidRDefault="007F63CA" w:rsidP="007F63CA">
      <w:r w:rsidRPr="007F63CA">
        <w:rPr>
          <w:b/>
          <w:bCs/>
        </w:rPr>
        <w:t>Note</w:t>
      </w:r>
      <w:r w:rsidRPr="007F63CA">
        <w:t xml:space="preserve">:  WRC-15 took the decision related to the </w:t>
      </w:r>
      <w:proofErr w:type="spellStart"/>
      <w:r w:rsidRPr="007F63CA">
        <w:t>RoP</w:t>
      </w:r>
      <w:proofErr w:type="spellEnd"/>
      <w:r w:rsidRPr="007F63CA">
        <w:t xml:space="preserve">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w:t>
      </w:r>
      <w:r w:rsidR="0041080B">
        <w:t>oc. CMR15/505, approval of Doc. </w:t>
      </w:r>
      <w:r w:rsidRPr="007F63CA">
        <w:t>CMR15/416 in relation to Section 3.2.6.4 of Doc. 4 (Add2) (Rev1), as follows:</w:t>
      </w:r>
    </w:p>
    <w:p w14:paraId="76BDD3B5" w14:textId="77777777"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14:paraId="6B6FC169" w14:textId="77777777"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w:t>
      </w:r>
      <w:proofErr w:type="gramStart"/>
      <w:r w:rsidRPr="007F63CA">
        <w:rPr>
          <w:i/>
          <w:iCs/>
        </w:rPr>
        <w:t>as a result of</w:t>
      </w:r>
      <w:proofErr w:type="gramEnd"/>
      <w:r w:rsidRPr="007F63CA">
        <w:rPr>
          <w:i/>
          <w:iCs/>
        </w:rPr>
        <w:t xml:space="preserve"> the modification than that produced by the initial proposal in accordance with § 4.1.11. The Bureau then requests the notifying administration to modify the submitted characteristics </w:t>
      </w:r>
      <w:proofErr w:type="gramStart"/>
      <w:r w:rsidRPr="007F63CA">
        <w:rPr>
          <w:i/>
          <w:iCs/>
        </w:rPr>
        <w:t>in order to</w:t>
      </w:r>
      <w:proofErr w:type="gramEnd"/>
      <w:r w:rsidRPr="007F63CA">
        <w:rPr>
          <w:i/>
          <w:iCs/>
        </w:rPr>
        <w:t xml:space="preserve">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14:paraId="395BC052" w14:textId="77777777"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14:paraId="0FEDE847" w14:textId="77777777"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14:paraId="34F4A125" w14:textId="77777777" w:rsidR="007F63CA" w:rsidRPr="008E5ED7" w:rsidRDefault="007F63CA" w:rsidP="00AE076A">
      <w:pPr>
        <w:spacing w:before="120"/>
      </w:pPr>
      <w:r w:rsidRPr="007F63CA">
        <w:rPr>
          <w:i/>
          <w:iCs/>
        </w:rPr>
        <w:t>WRC-15 endorsed the current BR practice outlined in this section.”</w:t>
      </w:r>
    </w:p>
    <w:p w14:paraId="27D6C882" w14:textId="77777777" w:rsidR="002150F8" w:rsidRPr="008E5ED7" w:rsidRDefault="002150F8">
      <w:pPr>
        <w:pStyle w:val="Heading9"/>
      </w:pPr>
      <w:r w:rsidRPr="008E5ED7">
        <w:t>4.1.15</w:t>
      </w:r>
    </w:p>
    <w:p w14:paraId="75D6E250" w14:textId="77777777" w:rsidR="002150F8"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14:paraId="40DA5D38" w14:textId="77777777" w:rsidR="00EB2D2B" w:rsidRPr="008E5ED7" w:rsidRDefault="00EB2D2B" w:rsidP="00552405"/>
    <w:p w14:paraId="5432476F" w14:textId="77777777" w:rsidR="00EB2D2B" w:rsidRDefault="00EB2D2B" w:rsidP="00552405">
      <w:pPr>
        <w:sectPr w:rsidR="00EB2D2B">
          <w:headerReference w:type="even" r:id="rId8"/>
          <w:headerReference w:type="default" r:id="rId9"/>
          <w:pgSz w:w="11907" w:h="16840" w:code="9"/>
          <w:pgMar w:top="1701" w:right="851" w:bottom="1134" w:left="1985" w:header="720" w:footer="482" w:gutter="0"/>
          <w:cols w:space="720"/>
          <w:vAlign w:val="both"/>
        </w:sectPr>
      </w:pPr>
    </w:p>
    <w:p w14:paraId="70F42154" w14:textId="77777777"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 xml:space="preserve">2 Plan modifications which are still at the stage of application of Article 4. Nevertheless, the Bureau does not need to recalculate the affected administration(s) </w:t>
      </w:r>
      <w:proofErr w:type="gramStart"/>
      <w:r w:rsidRPr="008E5ED7">
        <w:t>as a result of</w:t>
      </w:r>
      <w:proofErr w:type="gramEnd"/>
      <w:r w:rsidRPr="008E5ED7">
        <w:t xml:space="preserve"> the above-mentioned update.</w:t>
      </w:r>
    </w:p>
    <w:p w14:paraId="60AF7C6A" w14:textId="77777777" w:rsidR="002150F8" w:rsidRPr="008E5ED7" w:rsidRDefault="002150F8">
      <w:pPr>
        <w:pStyle w:val="Heading9"/>
      </w:pPr>
      <w:r w:rsidRPr="008E5ED7">
        <w:t>4.1.23</w:t>
      </w:r>
    </w:p>
    <w:p w14:paraId="4744D3BC" w14:textId="77777777" w:rsidR="002150F8" w:rsidRDefault="002150F8">
      <w:r w:rsidRPr="008E5ED7">
        <w:t xml:space="preserve">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w:t>
      </w:r>
      <w:proofErr w:type="gramStart"/>
      <w:r w:rsidRPr="008E5ED7">
        <w:t>as a result of</w:t>
      </w:r>
      <w:proofErr w:type="gramEnd"/>
      <w:r w:rsidRPr="008E5ED7">
        <w:t xml:space="preserve"> the above-mentioned cancellation.</w:t>
      </w:r>
    </w:p>
    <w:p w14:paraId="0287B3AE" w14:textId="43034F3D" w:rsidR="00AB75CE" w:rsidRPr="00F808BD" w:rsidRDefault="00AB75CE" w:rsidP="00AB75C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1</w:t>
      </w:r>
      <w:r>
        <w:rPr>
          <w:rFonts w:asciiTheme="majorBidi" w:hAnsiTheme="majorBidi" w:cstheme="majorBidi"/>
          <w:b/>
        </w:rPr>
        <w:tab/>
      </w:r>
      <w:r>
        <w:rPr>
          <w:rFonts w:asciiTheme="majorBidi" w:hAnsiTheme="majorBidi" w:cstheme="majorBidi"/>
          <w:b/>
        </w:rPr>
        <w:tab/>
      </w:r>
    </w:p>
    <w:p w14:paraId="77B5B073"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The Board understands that this provision applies only to a satellite network identified under § 4.1.1 </w:t>
      </w:r>
      <w:r w:rsidRPr="00EB2D2B">
        <w:rPr>
          <w:rFonts w:asciiTheme="majorBidi" w:hAnsiTheme="majorBidi" w:cstheme="majorBidi"/>
          <w:i/>
          <w:iCs/>
          <w:szCs w:val="22"/>
        </w:rPr>
        <w:t>b)</w:t>
      </w:r>
      <w:r w:rsidRPr="00EB2D2B">
        <w:rPr>
          <w:rFonts w:asciiTheme="majorBidi" w:hAnsiTheme="majorBidi" w:cstheme="majorBidi"/>
          <w:szCs w:val="22"/>
        </w:rPr>
        <w:t xml:space="preserve"> of Article 4 of Appendix </w:t>
      </w:r>
      <w:r w:rsidRPr="00EB2D2B">
        <w:rPr>
          <w:rFonts w:asciiTheme="majorBidi" w:hAnsiTheme="majorBidi" w:cstheme="majorBidi"/>
          <w:b/>
          <w:bCs/>
          <w:szCs w:val="22"/>
        </w:rPr>
        <w:t>30A</w:t>
      </w:r>
      <w:r w:rsidRPr="00EB2D2B">
        <w:rPr>
          <w:rFonts w:asciiTheme="majorBidi" w:hAnsiTheme="majorBidi" w:cstheme="majorBidi"/>
          <w:szCs w:val="22"/>
        </w:rPr>
        <w:t>. Such a satellite network shall have been entered in the List, notified, and brought into use by the time the Bureau receives a request for assistance under § 4.1.31.</w:t>
      </w:r>
    </w:p>
    <w:p w14:paraId="103F319A"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Upon receipt of a request for assistance from either the notifying administration applying § 4.1.30 or an administration identified under § 4.1.1 </w:t>
      </w:r>
      <w:r w:rsidRPr="00EB2D2B">
        <w:rPr>
          <w:rFonts w:asciiTheme="majorBidi" w:hAnsiTheme="majorBidi" w:cstheme="majorBidi"/>
          <w:i/>
          <w:iCs/>
          <w:szCs w:val="22"/>
        </w:rPr>
        <w:t>b)</w:t>
      </w:r>
      <w:r w:rsidRPr="00EB2D2B">
        <w:rPr>
          <w:rFonts w:asciiTheme="majorBidi" w:hAnsiTheme="majorBidi" w:cstheme="majorBidi"/>
          <w:szCs w:val="22"/>
        </w:rPr>
        <w:t xml:space="preserve"> of Appendix </w:t>
      </w:r>
      <w:r w:rsidRPr="00EB2D2B">
        <w:rPr>
          <w:rFonts w:asciiTheme="majorBidi" w:hAnsiTheme="majorBidi" w:cstheme="majorBidi"/>
          <w:b/>
          <w:bCs/>
          <w:szCs w:val="22"/>
        </w:rPr>
        <w:t>30A</w:t>
      </w:r>
      <w:r w:rsidRPr="00EB2D2B">
        <w:rPr>
          <w:rFonts w:asciiTheme="majorBidi" w:hAnsiTheme="majorBidi" w:cstheme="majorBidi"/>
          <w:szCs w:val="22"/>
        </w:rPr>
        <w:t>, the Board decided that the Bureau shall request the notifying administration of the satellite networks which are identified as affected to provide their actual operational parameters within 30 days. If there is no reply within the 30 days, the Bureau shall send a reminder giving an additional 15-day period to reply.</w:t>
      </w:r>
    </w:p>
    <w:p w14:paraId="635EA44E"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 xml:space="preserve">Upon receipt of the requested operational parameters, the Bureau shall perform the compatibility analysis using those parameters instead of the corresponding parameters of the affected satellite network in the List. The compatibility analysis shall be performed on the same principles as those used in the examination under § 4.1.1 </w:t>
      </w:r>
      <w:r w:rsidRPr="00EB2D2B">
        <w:rPr>
          <w:rFonts w:asciiTheme="majorBidi" w:hAnsiTheme="majorBidi" w:cstheme="majorBidi"/>
          <w:i/>
          <w:iCs/>
          <w:szCs w:val="22"/>
        </w:rPr>
        <w:t>b)</w:t>
      </w:r>
      <w:r w:rsidRPr="00EB2D2B">
        <w:rPr>
          <w:rFonts w:asciiTheme="majorBidi" w:hAnsiTheme="majorBidi" w:cstheme="majorBidi"/>
          <w:szCs w:val="22"/>
        </w:rPr>
        <w:t xml:space="preserve"> or in application of footnote 9</w:t>
      </w:r>
      <w:r w:rsidRPr="00EB2D2B">
        <w:rPr>
          <w:rFonts w:asciiTheme="majorBidi" w:hAnsiTheme="majorBidi" w:cstheme="majorBidi"/>
          <w:i/>
          <w:iCs/>
          <w:szCs w:val="22"/>
        </w:rPr>
        <w:t>bis</w:t>
      </w:r>
      <w:r w:rsidRPr="00EB2D2B">
        <w:rPr>
          <w:rFonts w:asciiTheme="majorBidi" w:hAnsiTheme="majorBidi" w:cstheme="majorBidi"/>
          <w:szCs w:val="22"/>
        </w:rPr>
        <w:t xml:space="preserve"> to § 4.1.12, as applicable, and the latest available Appendix </w:t>
      </w:r>
      <w:r w:rsidRPr="00EB2D2B">
        <w:rPr>
          <w:rFonts w:asciiTheme="majorBidi" w:hAnsiTheme="majorBidi" w:cstheme="majorBidi"/>
          <w:b/>
          <w:bCs/>
          <w:szCs w:val="22"/>
        </w:rPr>
        <w:t>30</w:t>
      </w:r>
      <w:r w:rsidRPr="00EB2D2B">
        <w:rPr>
          <w:rFonts w:asciiTheme="majorBidi" w:hAnsiTheme="majorBidi" w:cstheme="majorBidi"/>
          <w:szCs w:val="22"/>
        </w:rPr>
        <w:t>/</w:t>
      </w:r>
      <w:r w:rsidRPr="00EB2D2B">
        <w:rPr>
          <w:rFonts w:asciiTheme="majorBidi" w:hAnsiTheme="majorBidi" w:cstheme="majorBidi"/>
          <w:b/>
          <w:bCs/>
          <w:szCs w:val="22"/>
        </w:rPr>
        <w:t>30A</w:t>
      </w:r>
      <w:r w:rsidRPr="00EB2D2B">
        <w:rPr>
          <w:rFonts w:asciiTheme="majorBidi" w:hAnsiTheme="majorBidi" w:cstheme="majorBidi"/>
          <w:szCs w:val="22"/>
        </w:rPr>
        <w:t xml:space="preserve"> master database.</w:t>
      </w:r>
      <w:r w:rsidRPr="00EB2D2B">
        <w:rPr>
          <w:rFonts w:asciiTheme="majorBidi" w:hAnsiTheme="majorBidi" w:cstheme="majorBidi"/>
          <w:color w:val="000000"/>
          <w:position w:val="6"/>
          <w:sz w:val="18"/>
          <w:szCs w:val="24"/>
        </w:rPr>
        <w:footnoteReference w:customMarkFollows="1" w:id="3"/>
        <w:t>1bis</w:t>
      </w:r>
      <w:r w:rsidRPr="00EB2D2B">
        <w:rPr>
          <w:rFonts w:asciiTheme="majorBidi" w:hAnsiTheme="majorBidi" w:cstheme="majorBidi"/>
          <w:szCs w:val="22"/>
        </w:rPr>
        <w:t xml:space="preserve"> The Bureau shall inform both the notifying administration having requested the application of § 4.1.30 and the notifying administration of the affected satellite network of the results of its compatibility analysis.</w:t>
      </w:r>
    </w:p>
    <w:p w14:paraId="56FFC398" w14:textId="77777777" w:rsidR="00833160" w:rsidRDefault="00833160" w:rsidP="00AB75CE">
      <w:pPr>
        <w:spacing w:before="160" w:line="280" w:lineRule="exact"/>
        <w:rPr>
          <w:rFonts w:asciiTheme="majorBidi" w:hAnsiTheme="majorBidi" w:cstheme="majorBidi"/>
          <w:szCs w:val="22"/>
        </w:rPr>
      </w:pPr>
      <w:r>
        <w:rPr>
          <w:rFonts w:asciiTheme="majorBidi" w:hAnsiTheme="majorBidi" w:cstheme="majorBidi"/>
          <w:szCs w:val="22"/>
        </w:rPr>
        <w:br w:type="page"/>
      </w:r>
    </w:p>
    <w:p w14:paraId="40D2297D" w14:textId="5519B9F5"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lastRenderedPageBreak/>
        <w:t xml:space="preserve">The notifying administration of the affected satellite network should also be invited to make modifications to the characteristics of the frequency assignments recorded in the Master Register </w:t>
      </w:r>
      <w:proofErr w:type="gramStart"/>
      <w:r w:rsidRPr="00EB2D2B">
        <w:rPr>
          <w:rFonts w:asciiTheme="majorBidi" w:hAnsiTheme="majorBidi" w:cstheme="majorBidi"/>
          <w:szCs w:val="22"/>
        </w:rPr>
        <w:t>in order to</w:t>
      </w:r>
      <w:proofErr w:type="gramEnd"/>
      <w:r w:rsidRPr="00EB2D2B">
        <w:rPr>
          <w:rFonts w:asciiTheme="majorBidi" w:hAnsiTheme="majorBidi" w:cstheme="majorBidi"/>
          <w:szCs w:val="22"/>
        </w:rPr>
        <w:t xml:space="preserve"> align them with their actual operational parameters.</w:t>
      </w:r>
    </w:p>
    <w:p w14:paraId="598E827D" w14:textId="5CA7F658" w:rsidR="00AB75CE" w:rsidRPr="00EB2D2B" w:rsidRDefault="00AB75CE" w:rsidP="00AB75CE">
      <w:pPr>
        <w:spacing w:before="160" w:line="280" w:lineRule="exact"/>
        <w:rPr>
          <w:rFonts w:asciiTheme="majorBidi" w:hAnsiTheme="majorBidi" w:cstheme="majorBidi"/>
          <w:b/>
          <w:bCs/>
          <w:szCs w:val="22"/>
        </w:rPr>
      </w:pPr>
      <w:r w:rsidRPr="00EB2D2B">
        <w:rPr>
          <w:rFonts w:asciiTheme="majorBidi" w:hAnsiTheme="majorBidi" w:cstheme="majorBidi"/>
          <w:szCs w:val="22"/>
        </w:rPr>
        <w:t xml:space="preserve">If there is still no reply within 15 days following the reminder, the Board concluded that the Bureau shall inform the administrations concerned that it is not </w:t>
      </w:r>
      <w:proofErr w:type="gramStart"/>
      <w:r w:rsidRPr="00EB2D2B">
        <w:rPr>
          <w:rFonts w:asciiTheme="majorBidi" w:hAnsiTheme="majorBidi" w:cstheme="majorBidi"/>
          <w:szCs w:val="22"/>
        </w:rPr>
        <w:t>in a position</w:t>
      </w:r>
      <w:proofErr w:type="gramEnd"/>
      <w:r w:rsidRPr="00EB2D2B">
        <w:rPr>
          <w:rFonts w:asciiTheme="majorBidi" w:hAnsiTheme="majorBidi" w:cstheme="majorBidi"/>
          <w:szCs w:val="22"/>
        </w:rPr>
        <w:t xml:space="preserve"> to perform the compatibility analysis under § 4.1.31.</w:t>
      </w:r>
    </w:p>
    <w:p w14:paraId="7599C9A5" w14:textId="4CAFA0F0" w:rsidR="006949ED" w:rsidRPr="00EB2D2B" w:rsidRDefault="006949ED" w:rsidP="006949ED">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B2D2B">
        <w:rPr>
          <w:rFonts w:asciiTheme="majorBidi" w:hAnsiTheme="majorBidi" w:cstheme="majorBidi"/>
          <w:b/>
        </w:rPr>
        <w:t>4.1.32</w:t>
      </w:r>
      <w:r w:rsidR="003E578E">
        <w:rPr>
          <w:rFonts w:asciiTheme="majorBidi" w:hAnsiTheme="majorBidi" w:cstheme="majorBidi"/>
          <w:b/>
        </w:rPr>
        <w:tab/>
      </w:r>
      <w:r w:rsidR="003E578E">
        <w:rPr>
          <w:rFonts w:asciiTheme="majorBidi" w:hAnsiTheme="majorBidi" w:cstheme="majorBidi"/>
          <w:b/>
        </w:rPr>
        <w:tab/>
      </w:r>
    </w:p>
    <w:p w14:paraId="27D9B554"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1</w:t>
      </w:r>
      <w:r w:rsidRPr="00EB2D2B">
        <w:rPr>
          <w:rFonts w:asciiTheme="majorBidi" w:hAnsiTheme="majorBidi" w:cstheme="majorBidi"/>
          <w:szCs w:val="22"/>
        </w:rPr>
        <w:tab/>
        <w:t>This provision indicates to the Bureau how to generate the satellite antenna gain diagram for an affected frequency assignment in the Regions 1 and 3 feeder-link List when examining a submission under § 4.1.30. The first step to generate the diagram is to create the −10 dB contour of minimum ellipses for all territories inside each service area of the satellite network(s) identified under § 4.1.1b) of Appendix </w:t>
      </w:r>
      <w:r w:rsidRPr="00EB2D2B">
        <w:rPr>
          <w:rFonts w:asciiTheme="majorBidi" w:hAnsiTheme="majorBidi" w:cstheme="majorBidi"/>
          <w:b/>
          <w:bCs/>
          <w:szCs w:val="22"/>
        </w:rPr>
        <w:t>30A</w:t>
      </w:r>
      <w:r w:rsidRPr="00EB2D2B">
        <w:rPr>
          <w:rFonts w:asciiTheme="majorBidi" w:hAnsiTheme="majorBidi" w:cstheme="majorBidi"/>
          <w:szCs w:val="22"/>
        </w:rPr>
        <w:t>. A question arises as to which space station antenna pattern shall be used in application of § 4.1.32. The Board instructed the Bureau to use the Appendix </w:t>
      </w:r>
      <w:r w:rsidRPr="00EB2D2B">
        <w:rPr>
          <w:rFonts w:asciiTheme="majorBidi" w:hAnsiTheme="majorBidi" w:cstheme="majorBidi"/>
          <w:b/>
          <w:bCs/>
          <w:szCs w:val="22"/>
        </w:rPr>
        <w:t>30A</w:t>
      </w:r>
      <w:r w:rsidRPr="00EB2D2B">
        <w:rPr>
          <w:rFonts w:asciiTheme="majorBidi" w:hAnsiTheme="majorBidi" w:cstheme="majorBidi"/>
          <w:szCs w:val="22"/>
        </w:rPr>
        <w:t xml:space="preserve"> reference receiving space station antenna pattern for </w:t>
      </w:r>
      <w:proofErr w:type="gramStart"/>
      <w:r w:rsidRPr="00EB2D2B">
        <w:rPr>
          <w:rFonts w:asciiTheme="majorBidi" w:hAnsiTheme="majorBidi" w:cstheme="majorBidi"/>
          <w:szCs w:val="22"/>
        </w:rPr>
        <w:t>Regions</w:t>
      </w:r>
      <w:proofErr w:type="gramEnd"/>
      <w:r w:rsidRPr="00EB2D2B">
        <w:rPr>
          <w:rFonts w:asciiTheme="majorBidi" w:hAnsiTheme="majorBidi" w:cstheme="majorBidi"/>
          <w:szCs w:val="22"/>
        </w:rPr>
        <w:t> 1 and 3 without fast roll-off for creating the minimum ellipse covering a territory and the −10 dB contour of each individual minimum ellipse. The pattern corresponds to the pattern code APSRR_403V01 in the Antenna Pattern Library maintained by the Bureau.</w:t>
      </w:r>
    </w:p>
    <w:p w14:paraId="660E310E"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2</w:t>
      </w:r>
      <w:r w:rsidRPr="00EB2D2B">
        <w:rPr>
          <w:rFonts w:asciiTheme="majorBidi" w:hAnsiTheme="majorBidi" w:cstheme="majorBidi"/>
          <w:szCs w:val="22"/>
        </w:rPr>
        <w:tab/>
        <w:t>To ensure that there are enough test points to generate each minimum ellipse, the individual set of test points per national territory should be those contained in the corresponding feeder-link Plan assignment plus the originally submitted test points associated with the service area and located inside that territory. If the total number of test points for any territory in a service area is less than 20, the Bureau shall consult the notifying administration of the identified satellite network to find out whether it wishes to add more test points in that territory.</w:t>
      </w:r>
    </w:p>
    <w:p w14:paraId="497CC23F"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3</w:t>
      </w:r>
      <w:r w:rsidRPr="00EB2D2B">
        <w:rPr>
          <w:rFonts w:asciiTheme="majorBidi" w:hAnsiTheme="majorBidi" w:cstheme="majorBidi"/>
          <w:szCs w:val="22"/>
        </w:rPr>
        <w:tab/>
        <w:t xml:space="preserve">In creating the minimum ellipses, the Board decided that a rotation accuracy of 1.0° and a pointing error of 0.1° should be </w:t>
      </w:r>
      <w:proofErr w:type="gramStart"/>
      <w:r w:rsidRPr="00EB2D2B">
        <w:rPr>
          <w:rFonts w:asciiTheme="majorBidi" w:hAnsiTheme="majorBidi" w:cstheme="majorBidi"/>
          <w:szCs w:val="22"/>
        </w:rPr>
        <w:t>taken into account</w:t>
      </w:r>
      <w:proofErr w:type="gramEnd"/>
      <w:r w:rsidRPr="00EB2D2B">
        <w:rPr>
          <w:rFonts w:asciiTheme="majorBidi" w:hAnsiTheme="majorBidi" w:cstheme="majorBidi"/>
          <w:szCs w:val="22"/>
        </w:rPr>
        <w:t>.</w:t>
      </w:r>
    </w:p>
    <w:p w14:paraId="5234D4C2"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4</w:t>
      </w:r>
      <w:r w:rsidRPr="00EB2D2B">
        <w:rPr>
          <w:rFonts w:asciiTheme="majorBidi" w:hAnsiTheme="majorBidi" w:cstheme="majorBidi"/>
          <w:szCs w:val="22"/>
        </w:rPr>
        <w:tab/>
        <w:t>The test points taken from national assignments in the feeder-link Plan or added during the application of § 4.1.32 are only for the purpose of generating the minimum ellipses and the combined ellipses and will not be used in technical examinations.</w:t>
      </w:r>
    </w:p>
    <w:p w14:paraId="58C20421" w14:textId="682E31BC" w:rsidR="00AB75CE" w:rsidRPr="00F808BD" w:rsidRDefault="00AB75CE" w:rsidP="00AB75C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3</w:t>
      </w:r>
      <w:r>
        <w:rPr>
          <w:rFonts w:asciiTheme="majorBidi" w:hAnsiTheme="majorBidi" w:cstheme="majorBidi"/>
          <w:b/>
        </w:rPr>
        <w:tab/>
      </w:r>
      <w:r>
        <w:rPr>
          <w:rFonts w:asciiTheme="majorBidi" w:hAnsiTheme="majorBidi" w:cstheme="majorBidi"/>
          <w:b/>
        </w:rPr>
        <w:tab/>
      </w:r>
    </w:p>
    <w:p w14:paraId="3A2C99DD"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The Board understands that the “latter assignment” mentioned in this provision refers to a frequency assignment identified as potentially affected when examining the submission subject to § 4.1.30.</w:t>
      </w:r>
    </w:p>
    <w:p w14:paraId="10C559D8" w14:textId="77777777" w:rsidR="00833160" w:rsidRDefault="00833160" w:rsidP="00AB75CE">
      <w:pPr>
        <w:spacing w:before="160" w:line="280" w:lineRule="exact"/>
        <w:rPr>
          <w:rFonts w:asciiTheme="majorBidi" w:hAnsiTheme="majorBidi" w:cstheme="majorBidi"/>
          <w:szCs w:val="22"/>
        </w:rPr>
        <w:sectPr w:rsidR="00833160">
          <w:footnotePr>
            <w:pos w:val="beneathText"/>
          </w:footnotePr>
          <w:pgSz w:w="11907" w:h="16840" w:code="9"/>
          <w:pgMar w:top="1701" w:right="851" w:bottom="1134" w:left="1985" w:header="720" w:footer="482" w:gutter="0"/>
          <w:cols w:space="720"/>
          <w:vAlign w:val="both"/>
        </w:sectPr>
      </w:pPr>
    </w:p>
    <w:p w14:paraId="772E6399" w14:textId="5E3905E8" w:rsidR="00833160"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lastRenderedPageBreak/>
        <w:t>With respect to the condition for not updating the reference situation of a frequency assignment which is still identified as affected, it is not clear if “based on its submitted feeder-link coverage area” refers to the originally submitted coverage area (i.e. the one in the List) or to the coverage area that was submitted as an “actual operational parameter” in application of § 4.1.31. In addition, the provision does not give clear instruction on whether the reference situation of the “still affected” satellite network should be updated when the administrations concerned reach agreement under § 4.1.30</w:t>
      </w:r>
      <w:r w:rsidRPr="00EB2D2B">
        <w:rPr>
          <w:rFonts w:asciiTheme="majorBidi" w:hAnsiTheme="majorBidi" w:cstheme="majorBidi"/>
          <w:i/>
          <w:iCs/>
          <w:szCs w:val="22"/>
        </w:rPr>
        <w:t>bis.</w:t>
      </w:r>
      <w:r w:rsidRPr="00EB2D2B">
        <w:rPr>
          <w:rFonts w:asciiTheme="majorBidi" w:hAnsiTheme="majorBidi" w:cstheme="majorBidi"/>
          <w:szCs w:val="22"/>
        </w:rPr>
        <w:t xml:space="preserve"> </w:t>
      </w:r>
    </w:p>
    <w:p w14:paraId="5C1785EE" w14:textId="64E18A75" w:rsidR="00AB75CE" w:rsidRPr="00EB2D2B" w:rsidRDefault="00AB75CE" w:rsidP="00AB75CE">
      <w:pPr>
        <w:spacing w:before="160" w:line="280" w:lineRule="exact"/>
        <w:rPr>
          <w:rFonts w:asciiTheme="majorBidi" w:hAnsiTheme="majorBidi" w:cstheme="majorBidi"/>
          <w:szCs w:val="22"/>
          <w:highlight w:val="yellow"/>
        </w:rPr>
      </w:pPr>
      <w:r w:rsidRPr="00EB2D2B">
        <w:rPr>
          <w:rFonts w:asciiTheme="majorBidi" w:hAnsiTheme="majorBidi" w:cstheme="majorBidi"/>
          <w:szCs w:val="22"/>
        </w:rPr>
        <w:t>The Board thus instructed the Bureau, when a frequency assignment subject to § 4.1.30 is entered in the List, to consult both the notifying administration having requested the application of § 4.1.30 and the notifying administration of the affected satellite network and not to update the reference situation of the frequency assignments which are still identified as affected, based on the originally submitted coverage area, unless both parties agree to update the reference situation.</w:t>
      </w:r>
    </w:p>
    <w:p w14:paraId="367BBC59" w14:textId="77777777" w:rsidR="002150F8" w:rsidRPr="008E5ED7" w:rsidRDefault="002150F8">
      <w:pPr>
        <w:pStyle w:val="Heading9"/>
      </w:pPr>
      <w:r w:rsidRPr="008E5ED7">
        <w:t xml:space="preserve">4.2.1 </w:t>
      </w:r>
      <w:r w:rsidRPr="008E5ED7">
        <w:rPr>
          <w:i/>
          <w:iCs/>
        </w:rPr>
        <w:t>a)</w:t>
      </w:r>
    </w:p>
    <w:p w14:paraId="43F56F22" w14:textId="77777777" w:rsidR="002150F8" w:rsidRDefault="002150F8" w:rsidP="00552405">
      <w:r w:rsidRPr="008E5ED7">
        <w:t xml:space="preserve">This paragraph refers to the modification in the sense of a change to </w:t>
      </w:r>
      <w:r w:rsidRPr="00020A8C">
        <w:rPr>
          <w:i/>
          <w:iCs/>
        </w:rPr>
        <w:t>“the characteristics of any of its frequency assignments in the FSS which are shown in the Region</w:t>
      </w:r>
      <w:r w:rsidR="00552405" w:rsidRPr="00020A8C">
        <w:rPr>
          <w:i/>
          <w:iCs/>
        </w:rPr>
        <w:t xml:space="preserve"> </w:t>
      </w:r>
      <w:r w:rsidRPr="00020A8C">
        <w:rPr>
          <w:i/>
          <w:iCs/>
        </w:rPr>
        <w:t>2 feeder-link Plan”</w:t>
      </w:r>
      <w:r w:rsidRPr="008E5ED7">
        <w:t>.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14:paraId="39B54C29" w14:textId="77777777" w:rsidR="002150F8" w:rsidRPr="008E5ED7" w:rsidRDefault="002150F8">
      <w:r w:rsidRPr="008E5ED7">
        <w:t>See also Rules of Procedure relating to § 4.2.6.</w:t>
      </w:r>
    </w:p>
    <w:p w14:paraId="7B378E71" w14:textId="77777777" w:rsidR="002150F8" w:rsidRPr="008E5ED7" w:rsidRDefault="002150F8">
      <w:pPr>
        <w:pStyle w:val="Heading9"/>
      </w:pPr>
      <w:bookmarkStart w:id="2" w:name="_Toc510511263"/>
      <w:r w:rsidRPr="008E5ED7">
        <w:t xml:space="preserve">4.2.1 </w:t>
      </w:r>
      <w:r w:rsidRPr="008E5ED7">
        <w:rPr>
          <w:i/>
        </w:rPr>
        <w:t>b)</w:t>
      </w:r>
      <w:bookmarkEnd w:id="2"/>
    </w:p>
    <w:p w14:paraId="1D60852E" w14:textId="77777777" w:rsidR="002150F8" w:rsidRPr="008E5ED7" w:rsidRDefault="002150F8">
      <w:r w:rsidRPr="008E5ED7">
        <w:t xml:space="preserve">See Rules of Procedure relating to § 4.2.1 </w:t>
      </w:r>
      <w:r w:rsidRPr="008E5ED7">
        <w:rPr>
          <w:i/>
        </w:rPr>
        <w:t>a)</w:t>
      </w:r>
      <w:r w:rsidRPr="008E5ED7">
        <w:t xml:space="preserve"> above.</w:t>
      </w:r>
    </w:p>
    <w:p w14:paraId="1AE20091" w14:textId="77777777" w:rsidR="002150F8" w:rsidRPr="008E5ED7" w:rsidRDefault="002150F8">
      <w:r w:rsidRPr="008E5ED7">
        <w:t>See also Rules of Procedure relating to § 4.2.6.</w:t>
      </w:r>
    </w:p>
    <w:p w14:paraId="6B3C7FC2" w14:textId="77777777" w:rsidR="002150F8" w:rsidRPr="008E5ED7" w:rsidRDefault="002150F8">
      <w:pPr>
        <w:pStyle w:val="Heading9"/>
      </w:pPr>
      <w:bookmarkStart w:id="3" w:name="_Toc510511264"/>
      <w:r w:rsidRPr="008E5ED7">
        <w:t xml:space="preserve">4.2.1 </w:t>
      </w:r>
      <w:r w:rsidRPr="008E5ED7">
        <w:rPr>
          <w:i/>
        </w:rPr>
        <w:t>c)</w:t>
      </w:r>
      <w:bookmarkEnd w:id="3"/>
    </w:p>
    <w:p w14:paraId="0AFE2174" w14:textId="77777777" w:rsidR="002150F8" w:rsidRDefault="002150F8">
      <w:r w:rsidRPr="008E5ED7">
        <w:t xml:space="preserve">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w:t>
      </w:r>
      <w:proofErr w:type="gramStart"/>
      <w:r w:rsidRPr="008E5ED7">
        <w:t>as a result of</w:t>
      </w:r>
      <w:proofErr w:type="gramEnd"/>
      <w:r w:rsidRPr="008E5ED7">
        <w:t xml:space="preserve"> the above-mentioned cancellation.</w:t>
      </w:r>
    </w:p>
    <w:p w14:paraId="0E268D02" w14:textId="77777777" w:rsidR="00833160" w:rsidRDefault="00833160">
      <w:pPr>
        <w:rPr>
          <w:u w:val="single"/>
        </w:rPr>
        <w:sectPr w:rsidR="00833160">
          <w:footnotePr>
            <w:pos w:val="beneathText"/>
          </w:footnotePr>
          <w:pgSz w:w="11907" w:h="16840" w:code="9"/>
          <w:pgMar w:top="1701" w:right="851" w:bottom="1134" w:left="1985" w:header="720" w:footer="482" w:gutter="0"/>
          <w:cols w:space="720"/>
          <w:vAlign w:val="both"/>
        </w:sectPr>
      </w:pPr>
    </w:p>
    <w:p w14:paraId="499F59E2" w14:textId="77777777" w:rsidR="002150F8" w:rsidRPr="008E5ED7" w:rsidRDefault="002150F8">
      <w:pPr>
        <w:pStyle w:val="Heading9"/>
        <w:pBdr>
          <w:right w:val="single" w:sz="6" w:space="0" w:color="auto"/>
        </w:pBdr>
        <w:ind w:right="7484"/>
        <w:jc w:val="left"/>
      </w:pPr>
      <w:r w:rsidRPr="008E5ED7">
        <w:lastRenderedPageBreak/>
        <w:t xml:space="preserve">4.2.2 </w:t>
      </w:r>
      <w:r w:rsidRPr="008E5ED7">
        <w:rPr>
          <w:i/>
          <w:iCs/>
        </w:rPr>
        <w:t>a)</w:t>
      </w:r>
      <w:r w:rsidRPr="008E5ED7">
        <w:rPr>
          <w:i/>
          <w:iCs/>
        </w:rPr>
        <w:br/>
      </w:r>
      <w:r w:rsidRPr="008E5ED7">
        <w:t xml:space="preserve">and 4.2.2 </w:t>
      </w:r>
      <w:r w:rsidRPr="008E5ED7">
        <w:rPr>
          <w:i/>
          <w:iCs/>
        </w:rPr>
        <w:t>b)</w:t>
      </w:r>
    </w:p>
    <w:p w14:paraId="01480B25" w14:textId="77777777"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 xml:space="preserve">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t>
      </w:r>
      <w:proofErr w:type="gramStart"/>
      <w:r w:rsidRPr="008E5ED7">
        <w:t>whose</w:t>
      </w:r>
      <w:proofErr w:type="gramEnd"/>
      <w:r w:rsidRPr="008E5ED7">
        <w:t xml:space="preserve"> necessary</w:t>
      </w:r>
      <w:r w:rsidRPr="008E5ED7">
        <w:rPr>
          <w:rStyle w:val="FootnoteReference"/>
          <w:sz w:val="20"/>
        </w:rPr>
        <w:footnoteReference w:customMarkFollows="1" w:id="4"/>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43E04E54" w14:textId="77777777" w:rsidR="002150F8" w:rsidRPr="008E5ED7" w:rsidRDefault="002150F8">
      <w:pPr>
        <w:pStyle w:val="Heading9"/>
      </w:pPr>
      <w:r w:rsidRPr="008E5ED7">
        <w:t xml:space="preserve">4.2.2 </w:t>
      </w:r>
      <w:r w:rsidRPr="008E5ED7">
        <w:rPr>
          <w:i/>
          <w:iCs/>
        </w:rPr>
        <w:t>c)</w:t>
      </w:r>
    </w:p>
    <w:p w14:paraId="0F29B5BA" w14:textId="77777777"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14:paraId="4E2D4AE7" w14:textId="4D7FB4D8" w:rsidR="002150F8" w:rsidRPr="008E5ED7" w:rsidRDefault="002150F8" w:rsidP="005D60D8">
      <w:r w:rsidRPr="008E5ED7">
        <w:t>2</w:t>
      </w:r>
      <w:r w:rsidRPr="008E5ED7">
        <w:tab/>
        <w:t xml:space="preserve">According to Resolution </w:t>
      </w:r>
      <w:r w:rsidRPr="008E5ED7">
        <w:rPr>
          <w:rStyle w:val="Resref"/>
          <w:b/>
          <w:bCs/>
          <w:color w:val="000000"/>
        </w:rPr>
        <w:t>42 (Rev.WRC-</w:t>
      </w:r>
      <w:r w:rsidR="005D60D8">
        <w:rPr>
          <w:rStyle w:val="Resref"/>
          <w:b/>
          <w:bCs/>
          <w:color w:val="000000"/>
        </w:rPr>
        <w:t>1</w:t>
      </w:r>
      <w:r w:rsidR="00DB70CE">
        <w:rPr>
          <w:rStyle w:val="Resref"/>
          <w:b/>
          <w:bCs/>
          <w:color w:val="000000"/>
        </w:rPr>
        <w:t>9</w:t>
      </w:r>
      <w:r w:rsidRPr="008E5ED7">
        <w:rPr>
          <w:rStyle w:val="Resref"/>
          <w:b/>
          <w:bCs/>
          <w:color w:val="000000"/>
        </w:rPr>
        <w:t>)</w:t>
      </w:r>
      <w:r w:rsidRPr="008E5ED7">
        <w:t>, the Board decided that, when apply</w:t>
      </w:r>
      <w:r w:rsidRPr="008E5ED7">
        <w:softHyphen/>
        <w:t>ing this paragraph, the Bureau shall not take account of the interim systems.</w:t>
      </w:r>
    </w:p>
    <w:p w14:paraId="3A9F71CF" w14:textId="77777777"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14:paraId="11DDEFA3" w14:textId="77777777" w:rsidR="002150F8" w:rsidRPr="008E5ED7" w:rsidRDefault="002150F8">
      <w:pPr>
        <w:pStyle w:val="Heading9"/>
      </w:pPr>
      <w:r w:rsidRPr="008E5ED7">
        <w:t>4.2.6</w:t>
      </w:r>
    </w:p>
    <w:p w14:paraId="0A3F071A" w14:textId="77777777" w:rsidR="002150F8" w:rsidRPr="008E5ED7" w:rsidRDefault="002150F8">
      <w:r w:rsidRPr="008E5ED7">
        <w:t>See Rules of Procedure relating to § 4.1.3.</w:t>
      </w:r>
    </w:p>
    <w:p w14:paraId="2F001D7B" w14:textId="77777777" w:rsidR="002150F8" w:rsidRPr="008E5ED7" w:rsidRDefault="002150F8">
      <w:pPr>
        <w:pStyle w:val="Heading9"/>
      </w:pPr>
      <w:r w:rsidRPr="008E5ED7">
        <w:t>4.2.10</w:t>
      </w:r>
    </w:p>
    <w:p w14:paraId="3277B188" w14:textId="77777777" w:rsidR="002150F8" w:rsidRDefault="002150F8">
      <w:r w:rsidRPr="008E5ED7">
        <w:t>See Rules of Procedure relating to § 4.1.7.</w:t>
      </w:r>
    </w:p>
    <w:p w14:paraId="7C9F52A5" w14:textId="77777777" w:rsidR="00833160" w:rsidRPr="008E5ED7" w:rsidRDefault="00833160"/>
    <w:p w14:paraId="5B83AB31" w14:textId="77777777" w:rsidR="00833160" w:rsidRDefault="00833160">
      <w:pPr>
        <w:tabs>
          <w:tab w:val="clear" w:pos="1134"/>
          <w:tab w:val="clear" w:pos="1871"/>
          <w:tab w:val="clear" w:pos="2268"/>
        </w:tabs>
        <w:overflowPunct/>
        <w:autoSpaceDE/>
        <w:autoSpaceDN/>
        <w:adjustRightInd/>
        <w:spacing w:before="0"/>
        <w:jc w:val="left"/>
        <w:textAlignment w:val="auto"/>
        <w:sectPr w:rsidR="00833160" w:rsidSect="00102440">
          <w:headerReference w:type="default" r:id="rId10"/>
          <w:footnotePr>
            <w:pos w:val="beneathText"/>
          </w:footnotePr>
          <w:pgSz w:w="11907" w:h="16840" w:code="9"/>
          <w:pgMar w:top="1701" w:right="851" w:bottom="1134" w:left="1985" w:header="720" w:footer="482" w:gutter="0"/>
          <w:cols w:space="720"/>
          <w:vAlign w:val="both"/>
        </w:sectPr>
      </w:pPr>
    </w:p>
    <w:p w14:paraId="6D1F5DC5" w14:textId="77777777" w:rsidR="002150F8" w:rsidRPr="008E5ED7" w:rsidRDefault="002150F8">
      <w:pPr>
        <w:pStyle w:val="Heading9"/>
      </w:pPr>
      <w:r w:rsidRPr="008E5ED7">
        <w:lastRenderedPageBreak/>
        <w:t>4.2.11</w:t>
      </w:r>
    </w:p>
    <w:p w14:paraId="675D3CA2" w14:textId="77777777"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14:paraId="7EEC0C9B" w14:textId="77777777" w:rsidR="002150F8" w:rsidRPr="008E5ED7" w:rsidRDefault="002150F8">
      <w:pPr>
        <w:pStyle w:val="Heading9"/>
      </w:pPr>
      <w:r w:rsidRPr="008E5ED7">
        <w:t>4.2.12</w:t>
      </w:r>
    </w:p>
    <w:p w14:paraId="40AC9CE1" w14:textId="77777777" w:rsidR="002150F8" w:rsidRPr="008E5ED7" w:rsidRDefault="002150F8">
      <w:r w:rsidRPr="008E5ED7">
        <w:t>See Rules of Procedure relating to § 4.1.8.</w:t>
      </w:r>
    </w:p>
    <w:p w14:paraId="390B4645" w14:textId="77777777" w:rsidR="002150F8" w:rsidRPr="008E5ED7" w:rsidRDefault="002150F8">
      <w:pPr>
        <w:pStyle w:val="Heading9"/>
      </w:pPr>
      <w:r w:rsidRPr="008E5ED7">
        <w:t>4.2.15</w:t>
      </w:r>
    </w:p>
    <w:p w14:paraId="00939971" w14:textId="77777777" w:rsidR="002150F8" w:rsidRPr="008E5ED7" w:rsidRDefault="002150F8">
      <w:r w:rsidRPr="008E5ED7">
        <w:t>See Rules of Procedure relating to § 4.1.11.</w:t>
      </w:r>
    </w:p>
    <w:p w14:paraId="39722565" w14:textId="77777777" w:rsidR="002150F8" w:rsidRPr="008E5ED7" w:rsidRDefault="002150F8">
      <w:pPr>
        <w:pStyle w:val="Heading9"/>
      </w:pPr>
      <w:r w:rsidRPr="008E5ED7">
        <w:t>4.2.19</w:t>
      </w:r>
    </w:p>
    <w:p w14:paraId="6B116703" w14:textId="77777777" w:rsidR="002150F8" w:rsidRPr="008E5ED7" w:rsidRDefault="002150F8">
      <w:r w:rsidRPr="008E5ED7">
        <w:t>See Rules of Procedure relating to § 4.1.15.</w:t>
      </w:r>
    </w:p>
    <w:p w14:paraId="15A9C2CC" w14:textId="77777777" w:rsidR="002150F8" w:rsidRPr="008E5ED7" w:rsidRDefault="002150F8">
      <w:pPr>
        <w:pStyle w:val="Heading9"/>
      </w:pPr>
      <w:r w:rsidRPr="008E5ED7">
        <w:t>4.2.24</w:t>
      </w:r>
    </w:p>
    <w:p w14:paraId="2CA2C462" w14:textId="77777777" w:rsidR="002150F8" w:rsidRPr="008E5ED7" w:rsidRDefault="002150F8">
      <w:r w:rsidRPr="008E5ED7">
        <w:t>See Rules of Procedure relating to § 4.1.23.</w:t>
      </w:r>
    </w:p>
    <w:p w14:paraId="7B54A6E2" w14:textId="77777777" w:rsidR="002150F8" w:rsidRPr="008E5ED7" w:rsidRDefault="002150F8">
      <w:pPr>
        <w:pStyle w:val="Heading8"/>
      </w:pPr>
      <w:bookmarkStart w:id="4" w:name="_Toc510511283"/>
      <w:r w:rsidRPr="008E5ED7">
        <w:t>Art. 5</w:t>
      </w:r>
      <w:bookmarkEnd w:id="4"/>
    </w:p>
    <w:p w14:paraId="799330A6" w14:textId="77777777" w:rsidR="002150F8" w:rsidRPr="008E5ED7" w:rsidRDefault="002150F8">
      <w:pPr>
        <w:pStyle w:val="Heading2"/>
        <w:spacing w:before="240"/>
        <w:ind w:left="0" w:firstLine="0"/>
        <w:jc w:val="center"/>
      </w:pPr>
      <w:bookmarkStart w:id="5" w:name="_Toc510511284"/>
      <w:r w:rsidRPr="008E5ED7">
        <w:t>Notification, examination and recording</w:t>
      </w:r>
      <w:bookmarkEnd w:id="5"/>
    </w:p>
    <w:p w14:paraId="1EBE3696" w14:textId="77777777" w:rsidR="002150F8" w:rsidRPr="008E5ED7" w:rsidRDefault="002150F8">
      <w:pPr>
        <w:pStyle w:val="Heading9"/>
      </w:pPr>
      <w:bookmarkStart w:id="6" w:name="_Toc510511285"/>
      <w:r w:rsidRPr="008E5ED7">
        <w:t xml:space="preserve">5.2.1 </w:t>
      </w:r>
      <w:r w:rsidRPr="008E5ED7">
        <w:rPr>
          <w:i/>
        </w:rPr>
        <w:t>b)</w:t>
      </w:r>
      <w:bookmarkEnd w:id="6"/>
    </w:p>
    <w:p w14:paraId="0240C9B9" w14:textId="77777777" w:rsidR="002150F8" w:rsidRPr="008E5ED7" w:rsidRDefault="002150F8" w:rsidP="00695ECC">
      <w:r w:rsidRPr="008E5ED7">
        <w:t>1</w:t>
      </w:r>
      <w:r w:rsidRPr="008E5ED7">
        <w:tab/>
        <w:t>The Board has considered the question whether the examination with respect to conformity with the Plan</w:t>
      </w:r>
      <w:r w:rsidRPr="008E5ED7">
        <w:rPr>
          <w:rStyle w:val="FootnoteReference"/>
          <w:sz w:val="20"/>
        </w:rPr>
        <w:footnoteReference w:customMarkFollows="1" w:id="5"/>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of the Plans. The</w:t>
      </w:r>
      <w:r w:rsidR="00552405" w:rsidRPr="008E5ED7">
        <w:t xml:space="preserve"> </w:t>
      </w:r>
      <w:r w:rsidRPr="008E5ED7">
        <w:t>Board</w:t>
      </w:r>
      <w:r w:rsidR="00552405" w:rsidRPr="008E5ED7">
        <w:t xml:space="preserve"> </w:t>
      </w:r>
      <w:r w:rsidRPr="008E5ED7">
        <w:t xml:space="preserve">concluded that some of the technical criteria contained in Annex 3 need to be </w:t>
      </w:r>
      <w:proofErr w:type="gramStart"/>
      <w:r w:rsidRPr="008E5ED7">
        <w:t>taken into account</w:t>
      </w:r>
      <w:proofErr w:type="gramEnd"/>
      <w:r w:rsidRPr="008E5ED7">
        <w:t xml:space="preserve"> in this examination. Therefore, the examination from the viewpoint of conformity with the Plan is carried out in two steps:</w:t>
      </w:r>
    </w:p>
    <w:p w14:paraId="0A877EA6" w14:textId="77777777"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w:t>
      </w:r>
      <w:proofErr w:type="gramStart"/>
      <w:r w:rsidRPr="008E5ED7">
        <w:t>notified;</w:t>
      </w:r>
      <w:proofErr w:type="gramEnd"/>
    </w:p>
    <w:p w14:paraId="0B1261E1" w14:textId="77777777" w:rsidR="008806A1" w:rsidRDefault="008806A1">
      <w:pPr>
        <w:tabs>
          <w:tab w:val="clear" w:pos="1134"/>
          <w:tab w:val="clear" w:pos="1871"/>
          <w:tab w:val="clear" w:pos="2268"/>
        </w:tabs>
        <w:overflowPunct/>
        <w:autoSpaceDE/>
        <w:autoSpaceDN/>
        <w:adjustRightInd/>
        <w:spacing w:before="0"/>
        <w:jc w:val="left"/>
        <w:textAlignment w:val="auto"/>
        <w:rPr>
          <w:i/>
        </w:rPr>
      </w:pPr>
      <w:r>
        <w:rPr>
          <w:i/>
        </w:rPr>
        <w:br w:type="page"/>
      </w:r>
    </w:p>
    <w:p w14:paraId="5B41A85A" w14:textId="77777777" w:rsidR="002150F8" w:rsidRPr="008E5ED7" w:rsidRDefault="002150F8" w:rsidP="00AD1A4A">
      <w:pPr>
        <w:pStyle w:val="enumlev1"/>
      </w:pPr>
      <w:r w:rsidRPr="008E5ED7">
        <w:rPr>
          <w:i/>
        </w:rPr>
        <w:lastRenderedPageBreak/>
        <w:t>b)</w:t>
      </w:r>
      <w:r w:rsidRPr="008E5ED7">
        <w:tab/>
        <w:t>to ensure that the protection criteria resulting from the Region 2 Plan</w:t>
      </w:r>
      <w:r w:rsidR="00AD1A4A" w:rsidRPr="00695ECC">
        <w:rPr>
          <w:rStyle w:val="FootnoteReference"/>
        </w:rPr>
        <w:t>3</w:t>
      </w:r>
      <w:r w:rsidRPr="008E5ED7">
        <w:t>, or from the Regions 1 and 3 Plan(s) and List(s), as appropriate, are not exceeded. To this effect, the following characteristics of the satellite network are examined:</w:t>
      </w:r>
    </w:p>
    <w:p w14:paraId="00E47B6A" w14:textId="77777777" w:rsidR="002150F8" w:rsidRPr="008E5ED7" w:rsidRDefault="002150F8">
      <w:pPr>
        <w:pStyle w:val="enumlev2"/>
      </w:pPr>
      <w:proofErr w:type="spellStart"/>
      <w:r w:rsidRPr="008E5ED7">
        <w:t>i</w:t>
      </w:r>
      <w:proofErr w:type="spellEnd"/>
      <w:r w:rsidRPr="008E5ED7">
        <w:t>)</w:t>
      </w:r>
      <w:r w:rsidRPr="008E5ED7">
        <w:tab/>
        <w:t>For a receiving space station:</w:t>
      </w:r>
    </w:p>
    <w:p w14:paraId="585F419C" w14:textId="77777777"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proofErr w:type="gramStart"/>
      <w:r w:rsidRPr="008E5ED7">
        <w:t>);</w:t>
      </w:r>
      <w:proofErr w:type="gramEnd"/>
    </w:p>
    <w:p w14:paraId="5964EF0A" w14:textId="77777777"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proofErr w:type="gramStart"/>
      <w:r w:rsidRPr="008E5ED7">
        <w:t>);</w:t>
      </w:r>
      <w:proofErr w:type="gramEnd"/>
    </w:p>
    <w:p w14:paraId="1033311F" w14:textId="77777777" w:rsidR="002150F8" w:rsidRPr="008E5ED7" w:rsidRDefault="002150F8" w:rsidP="00552405">
      <w:pPr>
        <w:pStyle w:val="enumlev3"/>
      </w:pPr>
      <w:r w:rsidRPr="008E5ED7">
        <w:t>–</w:t>
      </w:r>
      <w:r w:rsidRPr="008E5ED7">
        <w:tab/>
        <w:t xml:space="preserve">channel number/frequency (as indicated in Column 3 of Article 9 and in Column 5 of the Tables entitled </w:t>
      </w:r>
      <w:r w:rsidRPr="00020A8C">
        <w:rPr>
          <w:i/>
          <w:iCs/>
        </w:rPr>
        <w:t>“Minimum equivalent protection margin in the Regions 1 and</w:t>
      </w:r>
      <w:r w:rsidR="00552405" w:rsidRPr="00020A8C">
        <w:rPr>
          <w:i/>
          <w:iCs/>
        </w:rPr>
        <w:t xml:space="preserve"> </w:t>
      </w:r>
      <w:r w:rsidRPr="00020A8C">
        <w:rPr>
          <w:i/>
          <w:iCs/>
        </w:rPr>
        <w:t>3 feeder-link Plan in the frequency band 14.5-14.8 GHz (sorted by orbital position)”</w:t>
      </w:r>
      <w:r w:rsidRPr="008E5ED7">
        <w:t xml:space="preserve"> and </w:t>
      </w:r>
      <w:r w:rsidRPr="00020A8C">
        <w:rPr>
          <w:i/>
          <w:iCs/>
        </w:rPr>
        <w:t>“Minimum equivalent protection margin in the Regions 1 and 3 feeder-link Plan in the frequency band 17.3-18.1 GHz (sorted by orbital position)”</w:t>
      </w:r>
      <w:r w:rsidRPr="008E5ED7">
        <w:t xml:space="preserve"> of Article</w:t>
      </w:r>
      <w:r w:rsidR="00552405" w:rsidRPr="008E5ED7">
        <w:t> </w:t>
      </w:r>
      <w:r w:rsidRPr="008E5ED7">
        <w:t>9A of Appendix </w:t>
      </w:r>
      <w:r w:rsidRPr="008E5ED7">
        <w:rPr>
          <w:rStyle w:val="Appref"/>
          <w:b/>
          <w:color w:val="000000"/>
        </w:rPr>
        <w:t>30A</w:t>
      </w:r>
      <w:r w:rsidRPr="008E5ED7">
        <w:t>);</w:t>
      </w:r>
    </w:p>
    <w:p w14:paraId="16F0279D" w14:textId="77777777" w:rsidR="002150F8" w:rsidRPr="008E5ED7" w:rsidRDefault="002150F8">
      <w:pPr>
        <w:pStyle w:val="enumlev3"/>
      </w:pPr>
      <w:r w:rsidRPr="008E5ED7">
        <w:t>–</w:t>
      </w:r>
      <w:r w:rsidRPr="008E5ED7">
        <w:tab/>
        <w:t>boresight coordinates (as indicated in Column 4 of Articles 9 and 9A of Appendix </w:t>
      </w:r>
      <w:r w:rsidRPr="008E5ED7">
        <w:rPr>
          <w:rStyle w:val="Appref"/>
          <w:b/>
          <w:color w:val="000000"/>
        </w:rPr>
        <w:t>30A</w:t>
      </w:r>
      <w:proofErr w:type="gramStart"/>
      <w:r w:rsidRPr="008E5ED7">
        <w:t>);</w:t>
      </w:r>
      <w:proofErr w:type="gramEnd"/>
    </w:p>
    <w:p w14:paraId="162C721A" w14:textId="77777777" w:rsidR="002150F8" w:rsidRPr="008E5ED7" w:rsidRDefault="002150F8">
      <w:pPr>
        <w:pStyle w:val="enumlev3"/>
      </w:pPr>
      <w:r w:rsidRPr="008E5ED7">
        <w:t>–</w:t>
      </w:r>
      <w:r w:rsidRPr="008E5ED7">
        <w:tab/>
        <w:t>in the case of elliptical beam:</w:t>
      </w:r>
    </w:p>
    <w:p w14:paraId="42220E89" w14:textId="77777777" w:rsidR="002150F8" w:rsidRPr="00A12A25" w:rsidRDefault="002150F8" w:rsidP="6DF7C664">
      <w:pPr>
        <w:pStyle w:val="enumlev4"/>
        <w:rPr>
          <w:lang w:val="en-GB"/>
        </w:rPr>
      </w:pPr>
      <w:r w:rsidRPr="00A12A25">
        <w:rPr>
          <w:lang w:val="en-GB"/>
        </w:rPr>
        <w:t>–</w:t>
      </w:r>
      <w:r w:rsidRPr="00A12A25">
        <w:rPr>
          <w:lang w:val="en-GB"/>
        </w:rPr>
        <w:tab/>
        <w:t>antenna beamwidth (as indicated in Column 5 of Articles 9 and 9A of Appendix </w:t>
      </w:r>
      <w:r w:rsidRPr="00A12A25">
        <w:rPr>
          <w:rStyle w:val="Appref"/>
          <w:b/>
          <w:bCs/>
          <w:color w:val="000000" w:themeColor="text1"/>
          <w:lang w:val="en-GB"/>
        </w:rPr>
        <w:t>30A</w:t>
      </w:r>
      <w:proofErr w:type="gramStart"/>
      <w:r w:rsidRPr="00A12A25">
        <w:rPr>
          <w:lang w:val="en-GB"/>
        </w:rPr>
        <w:t>);</w:t>
      </w:r>
      <w:proofErr w:type="gramEnd"/>
    </w:p>
    <w:p w14:paraId="2F94755D" w14:textId="77777777" w:rsidR="002150F8" w:rsidRPr="00A12A25" w:rsidRDefault="002150F8" w:rsidP="6DF7C664">
      <w:pPr>
        <w:pStyle w:val="enumlev4"/>
        <w:rPr>
          <w:lang w:val="en-GB"/>
        </w:rPr>
      </w:pPr>
      <w:r w:rsidRPr="00A12A25">
        <w:rPr>
          <w:lang w:val="en-GB"/>
        </w:rPr>
        <w:t>–</w:t>
      </w:r>
      <w:r w:rsidRPr="00A12A25">
        <w:rPr>
          <w:lang w:val="en-GB"/>
        </w:rPr>
        <w:tab/>
        <w:t>ellipse orientation (as indicated in Columns 6 and 5 of Articles 9 and</w:t>
      </w:r>
      <w:r w:rsidR="00552405" w:rsidRPr="00A12A25">
        <w:rPr>
          <w:lang w:val="en-GB"/>
        </w:rPr>
        <w:t> </w:t>
      </w:r>
      <w:r w:rsidRPr="00A12A25">
        <w:rPr>
          <w:lang w:val="en-GB"/>
        </w:rPr>
        <w:t>9A, respectively of Appendix </w:t>
      </w:r>
      <w:r w:rsidRPr="00A12A25">
        <w:rPr>
          <w:rStyle w:val="Appref"/>
          <w:b/>
          <w:bCs/>
          <w:color w:val="000000" w:themeColor="text1"/>
          <w:lang w:val="en-GB"/>
        </w:rPr>
        <w:t>30A</w:t>
      </w:r>
      <w:proofErr w:type="gramStart"/>
      <w:r w:rsidRPr="00A12A25">
        <w:rPr>
          <w:lang w:val="en-GB"/>
        </w:rPr>
        <w:t>);</w:t>
      </w:r>
      <w:proofErr w:type="gramEnd"/>
    </w:p>
    <w:p w14:paraId="6D673139" w14:textId="77777777" w:rsidR="002150F8" w:rsidRPr="00A12A25" w:rsidRDefault="002150F8" w:rsidP="6DF7C664">
      <w:pPr>
        <w:pStyle w:val="enumlev4"/>
        <w:rPr>
          <w:lang w:val="en-GB"/>
        </w:rPr>
      </w:pPr>
      <w:r w:rsidRPr="00A12A25">
        <w:rPr>
          <w:lang w:val="en-GB"/>
        </w:rPr>
        <w:t>–</w:t>
      </w:r>
      <w:r w:rsidRPr="00A12A25">
        <w:rPr>
          <w:lang w:val="en-GB"/>
        </w:rPr>
        <w:tab/>
        <w:t>antenna</w:t>
      </w:r>
      <w:r w:rsidRPr="00A12A25">
        <w:rPr>
          <w:sz w:val="20"/>
          <w:lang w:val="en-GB"/>
        </w:rPr>
        <w:t xml:space="preserve"> </w:t>
      </w:r>
      <w:r w:rsidRPr="00A12A25">
        <w:rPr>
          <w:lang w:val="en-GB"/>
        </w:rPr>
        <w:t>rotational</w:t>
      </w:r>
      <w:r w:rsidRPr="00A12A25">
        <w:rPr>
          <w:sz w:val="20"/>
          <w:lang w:val="en-GB"/>
        </w:rPr>
        <w:t xml:space="preserve"> </w:t>
      </w:r>
      <w:r w:rsidRPr="00A12A25">
        <w:rPr>
          <w:lang w:val="en-GB"/>
        </w:rPr>
        <w:t>accuracy</w:t>
      </w:r>
      <w:r w:rsidRPr="00A12A25">
        <w:rPr>
          <w:sz w:val="20"/>
          <w:lang w:val="en-GB"/>
        </w:rPr>
        <w:t xml:space="preserve"> </w:t>
      </w:r>
      <w:r w:rsidRPr="00A12A25">
        <w:rPr>
          <w:lang w:val="en-GB"/>
        </w:rPr>
        <w:t>(same</w:t>
      </w:r>
      <w:r w:rsidRPr="00A12A25">
        <w:rPr>
          <w:sz w:val="20"/>
          <w:lang w:val="en-GB"/>
        </w:rPr>
        <w:t xml:space="preserve"> </w:t>
      </w:r>
      <w:r w:rsidRPr="00A12A25">
        <w:rPr>
          <w:lang w:val="en-GB"/>
        </w:rPr>
        <w:t>as</w:t>
      </w:r>
      <w:r w:rsidRPr="00A12A25">
        <w:rPr>
          <w:sz w:val="20"/>
          <w:lang w:val="en-GB"/>
        </w:rPr>
        <w:t xml:space="preserve"> </w:t>
      </w:r>
      <w:r w:rsidRPr="00A12A25">
        <w:rPr>
          <w:lang w:val="en-GB"/>
        </w:rPr>
        <w:t>or</w:t>
      </w:r>
      <w:r w:rsidRPr="00A12A25">
        <w:rPr>
          <w:sz w:val="20"/>
          <w:lang w:val="en-GB"/>
        </w:rPr>
        <w:t xml:space="preserve"> </w:t>
      </w:r>
      <w:r w:rsidRPr="00A12A25">
        <w:rPr>
          <w:lang w:val="en-GB"/>
        </w:rPr>
        <w:t>better</w:t>
      </w:r>
      <w:r w:rsidRPr="00A12A25">
        <w:rPr>
          <w:sz w:val="20"/>
          <w:lang w:val="en-GB"/>
        </w:rPr>
        <w:t xml:space="preserve"> </w:t>
      </w:r>
      <w:r w:rsidRPr="00A12A25">
        <w:rPr>
          <w:lang w:val="en-GB"/>
        </w:rPr>
        <w:t>than</w:t>
      </w:r>
      <w:r w:rsidRPr="00A12A25">
        <w:rPr>
          <w:sz w:val="20"/>
          <w:lang w:val="en-GB"/>
        </w:rPr>
        <w:t xml:space="preserve"> </w:t>
      </w:r>
      <w:r w:rsidRPr="00A12A25">
        <w:rPr>
          <w:lang w:val="en-GB"/>
        </w:rPr>
        <w:t>§ 3.7.4</w:t>
      </w:r>
      <w:r w:rsidRPr="00A12A25">
        <w:rPr>
          <w:sz w:val="20"/>
          <w:lang w:val="en-GB"/>
        </w:rPr>
        <w:t xml:space="preserve"> </w:t>
      </w:r>
      <w:r w:rsidRPr="00A12A25">
        <w:rPr>
          <w:lang w:val="en-GB"/>
        </w:rPr>
        <w:t>(Regions</w:t>
      </w:r>
      <w:r w:rsidRPr="00A12A25">
        <w:rPr>
          <w:sz w:val="20"/>
          <w:lang w:val="en-GB"/>
        </w:rPr>
        <w:t> </w:t>
      </w:r>
      <w:r w:rsidRPr="00A12A25">
        <w:rPr>
          <w:lang w:val="en-GB"/>
        </w:rPr>
        <w:t>1</w:t>
      </w:r>
      <w:r w:rsidRPr="00A12A25">
        <w:rPr>
          <w:sz w:val="20"/>
          <w:lang w:val="en-GB"/>
        </w:rPr>
        <w:t xml:space="preserve"> </w:t>
      </w:r>
      <w:r w:rsidRPr="00A12A25">
        <w:rPr>
          <w:lang w:val="en-GB"/>
        </w:rPr>
        <w:t>and 3) or 4.6.4 (Region 2) of Annex 3 to Appendix</w:t>
      </w:r>
      <w:r w:rsidR="00552405" w:rsidRPr="00A12A25">
        <w:rPr>
          <w:lang w:val="en-GB"/>
        </w:rPr>
        <w:t> </w:t>
      </w:r>
      <w:r w:rsidRPr="00A12A25">
        <w:rPr>
          <w:rStyle w:val="Appref"/>
          <w:b/>
          <w:bCs/>
          <w:color w:val="000000" w:themeColor="text1"/>
          <w:lang w:val="en-GB"/>
        </w:rPr>
        <w:t>30A</w:t>
      </w:r>
      <w:proofErr w:type="gramStart"/>
      <w:r w:rsidRPr="00A12A25">
        <w:rPr>
          <w:lang w:val="en-GB"/>
        </w:rPr>
        <w:t>);</w:t>
      </w:r>
      <w:proofErr w:type="gramEnd"/>
    </w:p>
    <w:p w14:paraId="2AD839A4" w14:textId="77777777"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proofErr w:type="gramStart"/>
      <w:r w:rsidRPr="008E5ED7">
        <w:t>);</w:t>
      </w:r>
      <w:proofErr w:type="gramEnd"/>
    </w:p>
    <w:p w14:paraId="44280BA4" w14:textId="77777777" w:rsidR="002150F8" w:rsidRPr="008E5ED7" w:rsidRDefault="002150F8">
      <w:pPr>
        <w:pStyle w:val="enumlev3"/>
      </w:pPr>
      <w:r w:rsidRPr="008E5ED7">
        <w:t>–</w:t>
      </w:r>
      <w:r w:rsidRPr="008E5ED7">
        <w:tab/>
        <w:t>service area (test points shall be located within the service area</w:t>
      </w:r>
      <w:proofErr w:type="gramStart"/>
      <w:r w:rsidRPr="008E5ED7">
        <w:t>);</w:t>
      </w:r>
      <w:proofErr w:type="gramEnd"/>
    </w:p>
    <w:p w14:paraId="4F535BDB" w14:textId="77777777"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proofErr w:type="gramStart"/>
      <w:r w:rsidRPr="008E5ED7">
        <w:t>);</w:t>
      </w:r>
      <w:proofErr w:type="gramEnd"/>
    </w:p>
    <w:p w14:paraId="4091115F" w14:textId="77777777" w:rsidR="00833160" w:rsidRDefault="00833160" w:rsidP="00552405">
      <w:pPr>
        <w:pStyle w:val="enumlev3"/>
      </w:pPr>
    </w:p>
    <w:p w14:paraId="22A5353C" w14:textId="77777777" w:rsidR="00833160" w:rsidRDefault="00833160" w:rsidP="00552405">
      <w:pPr>
        <w:pStyle w:val="enumlev3"/>
        <w:sectPr w:rsidR="00833160">
          <w:footnotePr>
            <w:pos w:val="beneathText"/>
          </w:footnotePr>
          <w:pgSz w:w="11907" w:h="16840" w:code="9"/>
          <w:pgMar w:top="1701" w:right="851" w:bottom="1134" w:left="1985" w:header="720" w:footer="482" w:gutter="0"/>
          <w:cols w:space="720"/>
          <w:vAlign w:val="both"/>
        </w:sectPr>
      </w:pPr>
    </w:p>
    <w:p w14:paraId="4BF7D320" w14:textId="70E58664" w:rsidR="002150F8" w:rsidRPr="008E5ED7" w:rsidRDefault="002150F8" w:rsidP="00552405">
      <w:pPr>
        <w:pStyle w:val="enumlev3"/>
      </w:pPr>
      <w:r w:rsidRPr="008E5ED7">
        <w:lastRenderedPageBreak/>
        <w:t>–</w:t>
      </w:r>
      <w:r w:rsidRPr="008E5ED7">
        <w:tab/>
        <w:t>antenna characteristics (same as or better than those indicated in Columns 6 or</w:t>
      </w:r>
      <w:r w:rsidR="00552405" w:rsidRPr="008E5ED7">
        <w:t> </w:t>
      </w:r>
      <w:r w:rsidRPr="008E5ED7">
        <w:t xml:space="preserve">7 as appropriate of Article 9A of Appendix </w:t>
      </w:r>
      <w:r w:rsidRPr="008E5ED7">
        <w:rPr>
          <w:rStyle w:val="Appref"/>
          <w:b/>
          <w:color w:val="000000"/>
        </w:rPr>
        <w:t>30A</w:t>
      </w:r>
      <w:r w:rsidRPr="008E5ED7">
        <w:t xml:space="preserve"> in the case of the Regions</w:t>
      </w:r>
      <w:r w:rsidR="00552405" w:rsidRPr="008E5ED7">
        <w:t> </w:t>
      </w:r>
      <w:r w:rsidRPr="008E5ED7">
        <w:t>1 and 3 Plan, or otherwise same as or better than § 4.6 of Annex 3 to Appendix </w:t>
      </w:r>
      <w:r w:rsidRPr="008E5ED7">
        <w:rPr>
          <w:rStyle w:val="Appref"/>
          <w:b/>
          <w:color w:val="000000"/>
        </w:rPr>
        <w:t>30A</w:t>
      </w:r>
      <w:proofErr w:type="gramStart"/>
      <w:r w:rsidRPr="008E5ED7">
        <w:t>);</w:t>
      </w:r>
      <w:proofErr w:type="gramEnd"/>
    </w:p>
    <w:p w14:paraId="7D6B420C" w14:textId="77777777"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proofErr w:type="gramStart"/>
      <w:r w:rsidRPr="008E5ED7">
        <w:t>);</w:t>
      </w:r>
      <w:proofErr w:type="gramEnd"/>
    </w:p>
    <w:p w14:paraId="16D1B4E2" w14:textId="77777777"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proofErr w:type="gramStart"/>
      <w:r w:rsidRPr="008E5ED7">
        <w:t>);</w:t>
      </w:r>
      <w:proofErr w:type="gramEnd"/>
    </w:p>
    <w:p w14:paraId="0614F296" w14:textId="77777777"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proofErr w:type="gramStart"/>
      <w:r w:rsidRPr="008E5ED7">
        <w:t>);</w:t>
      </w:r>
      <w:proofErr w:type="gramEnd"/>
      <w:r w:rsidRPr="008E5ED7">
        <w:t xml:space="preserve"> </w:t>
      </w:r>
    </w:p>
    <w:p w14:paraId="6CAB059C" w14:textId="77777777"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proofErr w:type="gramStart"/>
      <w:r w:rsidRPr="008E5ED7">
        <w:t>);</w:t>
      </w:r>
      <w:proofErr w:type="gramEnd"/>
    </w:p>
    <w:p w14:paraId="78031673" w14:textId="77777777"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w:t>
      </w:r>
      <w:proofErr w:type="gramStart"/>
      <w:r w:rsidRPr="008E5ED7">
        <w:t>Regions</w:t>
      </w:r>
      <w:proofErr w:type="gramEnd"/>
      <w:r w:rsidRPr="008E5ED7">
        <w:t xml:space="preserve"> 1 and 3, and §</w:t>
      </w:r>
      <w:r w:rsidR="00552405" w:rsidRPr="008E5ED7">
        <w:t> </w:t>
      </w:r>
      <w:r w:rsidRPr="008E5ED7">
        <w:t>4.9 of the same Annex for Region</w:t>
      </w:r>
      <w:r w:rsidR="00552405" w:rsidRPr="008E5ED7">
        <w:t> </w:t>
      </w:r>
      <w:r w:rsidRPr="008E5ED7">
        <w:t>2).</w:t>
      </w:r>
    </w:p>
    <w:p w14:paraId="29811F75" w14:textId="77777777" w:rsidR="002150F8" w:rsidRPr="008E5ED7" w:rsidRDefault="002150F8">
      <w:pPr>
        <w:pStyle w:val="enumlev2"/>
      </w:pPr>
      <w:r w:rsidRPr="008E5ED7">
        <w:t>ii)</w:t>
      </w:r>
      <w:r w:rsidRPr="008E5ED7">
        <w:tab/>
        <w:t>For an associated transmitting earth station:</w:t>
      </w:r>
    </w:p>
    <w:p w14:paraId="59A091B6" w14:textId="77777777" w:rsidR="002150F8" w:rsidRPr="008E5ED7" w:rsidRDefault="002150F8">
      <w:pPr>
        <w:pStyle w:val="enumlev3"/>
      </w:pPr>
      <w:r w:rsidRPr="008E5ED7">
        <w:t>–</w:t>
      </w:r>
      <w:r w:rsidRPr="008E5ED7">
        <w:tab/>
      </w:r>
      <w:proofErr w:type="spellStart"/>
      <w:r w:rsidRPr="008E5ED7">
        <w:t>e.i.r.p</w:t>
      </w:r>
      <w:proofErr w:type="spellEnd"/>
      <w:r w:rsidRPr="008E5ED7">
        <w:t>.: Columns 8 and 11 of Articles 9 and 9A, respectively of Appendix </w:t>
      </w:r>
      <w:proofErr w:type="gramStart"/>
      <w:r w:rsidRPr="008E5ED7">
        <w:rPr>
          <w:rStyle w:val="Appref"/>
          <w:b/>
          <w:color w:val="000000"/>
        </w:rPr>
        <w:t>30A</w:t>
      </w:r>
      <w:r w:rsidRPr="008E5ED7">
        <w:t>;</w:t>
      </w:r>
      <w:proofErr w:type="gramEnd"/>
    </w:p>
    <w:p w14:paraId="0002D487" w14:textId="77777777" w:rsidR="002150F8" w:rsidRPr="008E5ED7" w:rsidRDefault="002150F8">
      <w:pPr>
        <w:pStyle w:val="enumlev3"/>
      </w:pPr>
      <w:r w:rsidRPr="008E5ED7">
        <w:t>–</w:t>
      </w:r>
      <w:r w:rsidRPr="008E5ED7">
        <w:tab/>
        <w:t>antenna diameter: § 3.5.1 or 4.4.1 of Annex 3 to Appendix </w:t>
      </w:r>
      <w:proofErr w:type="gramStart"/>
      <w:r w:rsidRPr="008E5ED7">
        <w:rPr>
          <w:rStyle w:val="Appref"/>
          <w:b/>
          <w:color w:val="000000"/>
        </w:rPr>
        <w:t>30A</w:t>
      </w:r>
      <w:r w:rsidRPr="008E5ED7">
        <w:t>;</w:t>
      </w:r>
      <w:proofErr w:type="gramEnd"/>
    </w:p>
    <w:p w14:paraId="079FF79E" w14:textId="77777777"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roofErr w:type="gramStart"/>
      <w:r w:rsidRPr="008E5ED7">
        <w:t>);</w:t>
      </w:r>
      <w:proofErr w:type="gramEnd"/>
    </w:p>
    <w:p w14:paraId="1EEB2133" w14:textId="77777777" w:rsidR="002150F8" w:rsidRPr="008E5ED7" w:rsidRDefault="002150F8">
      <w:pPr>
        <w:pStyle w:val="enumlev3"/>
      </w:pPr>
      <w:r w:rsidRPr="008E5ED7">
        <w:t>–</w:t>
      </w:r>
      <w:r w:rsidRPr="008E5ED7">
        <w:tab/>
        <w:t>transmit power: § 3.6 or 4.5 of Annex 3 to Appendix </w:t>
      </w:r>
      <w:proofErr w:type="gramStart"/>
      <w:r w:rsidRPr="008E5ED7">
        <w:rPr>
          <w:rStyle w:val="Appref"/>
          <w:b/>
          <w:color w:val="000000"/>
        </w:rPr>
        <w:t>30A</w:t>
      </w:r>
      <w:r w:rsidRPr="008E5ED7">
        <w:t>;</w:t>
      </w:r>
      <w:proofErr w:type="gramEnd"/>
    </w:p>
    <w:p w14:paraId="3D6556B3" w14:textId="77777777" w:rsidR="002150F8" w:rsidRPr="008E5ED7" w:rsidRDefault="002150F8">
      <w:pPr>
        <w:pStyle w:val="enumlev3"/>
      </w:pPr>
      <w:r w:rsidRPr="008E5ED7">
        <w:t>–</w:t>
      </w:r>
      <w:r w:rsidRPr="008E5ED7">
        <w:tab/>
        <w:t xml:space="preserve">the location of the associated earth station to be associated with test points within the service </w:t>
      </w:r>
      <w:proofErr w:type="gramStart"/>
      <w:r w:rsidRPr="008E5ED7">
        <w:t>area;</w:t>
      </w:r>
      <w:proofErr w:type="gramEnd"/>
    </w:p>
    <w:p w14:paraId="73BBE219" w14:textId="77777777"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14:paraId="09DDC774" w14:textId="77777777"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14:paraId="1C39760C" w14:textId="77777777"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6"/>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 xml:space="preserve">The Board concluded that all technical characteristics published in the Part B Special Section for a given network need to be </w:t>
      </w:r>
      <w:proofErr w:type="gramStart"/>
      <w:r w:rsidRPr="008E5ED7">
        <w:t>taken into account</w:t>
      </w:r>
      <w:proofErr w:type="gramEnd"/>
      <w:r w:rsidRPr="008E5ED7">
        <w:t xml:space="preserve"> in this examination. Therefore, the exami</w:t>
      </w:r>
      <w:r w:rsidR="00552405" w:rsidRPr="008E5ED7">
        <w:softHyphen/>
      </w:r>
      <w:r w:rsidRPr="008E5ED7">
        <w:t>nation from the viewpoint of conformity with the Lists is carried out in two steps:</w:t>
      </w:r>
    </w:p>
    <w:p w14:paraId="63727A15" w14:textId="77777777" w:rsidR="002150F8" w:rsidRPr="008E5ED7" w:rsidRDefault="002150F8" w:rsidP="00552405">
      <w:pPr>
        <w:pStyle w:val="enumlev1"/>
      </w:pPr>
      <w:r w:rsidRPr="008E5ED7">
        <w:rPr>
          <w:i/>
        </w:rPr>
        <w:t>a)</w:t>
      </w:r>
      <w:r w:rsidRPr="008E5ED7">
        <w:tab/>
        <w:t>to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w:t>
      </w:r>
      <w:proofErr w:type="gramStart"/>
      <w:r w:rsidRPr="008E5ED7">
        <w:t>out;</w:t>
      </w:r>
      <w:proofErr w:type="gramEnd"/>
    </w:p>
    <w:p w14:paraId="39C25BA9" w14:textId="77777777"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14:paraId="704328AD" w14:textId="77777777"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14:paraId="5B7C5D39" w14:textId="77777777" w:rsidR="002150F8" w:rsidRPr="008E5ED7" w:rsidRDefault="002150F8">
      <w:pPr>
        <w:pStyle w:val="Heading9"/>
      </w:pPr>
      <w:bookmarkStart w:id="7" w:name="_Toc510511286"/>
      <w:r w:rsidRPr="008E5ED7">
        <w:t xml:space="preserve">5.2.1 </w:t>
      </w:r>
      <w:r w:rsidRPr="008E5ED7">
        <w:rPr>
          <w:i/>
        </w:rPr>
        <w:t>d)</w:t>
      </w:r>
      <w:bookmarkEnd w:id="7"/>
    </w:p>
    <w:p w14:paraId="4D112E98" w14:textId="77777777"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14:paraId="273563B9" w14:textId="77777777"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7"/>
        <w:t>4</w:t>
      </w:r>
      <w:r w:rsidRPr="008E5ED7">
        <w:t xml:space="preserve"> characteristics of the network in question on the other hand. These equivalent protection margin/overall equivalent protection margin calculations are performed under the same technical assumptions and conditions </w:t>
      </w:r>
      <w:proofErr w:type="gramStart"/>
      <w:r w:rsidRPr="008E5ED7">
        <w:t>taking into account</w:t>
      </w:r>
      <w:proofErr w:type="gramEnd"/>
      <w:r w:rsidRPr="008E5ED7">
        <w:t xml:space="preserve"> the orbital separation limit of </w:t>
      </w:r>
      <w:r w:rsidRPr="008E5ED7">
        <w:rPr>
          <w:rFonts w:ascii="Symbol" w:hAnsi="Symbol"/>
        </w:rPr>
        <w:t></w:t>
      </w:r>
      <w:r w:rsidRPr="008E5ED7">
        <w:rPr>
          <w:rFonts w:ascii="Tms Rmn" w:hAnsi="Tms Rmn"/>
          <w:sz w:val="12"/>
        </w:rPr>
        <w:t> </w:t>
      </w:r>
      <w:r w:rsidRPr="008E5ED7">
        <w:t>9</w:t>
      </w:r>
      <w:r w:rsidRPr="008E5ED7">
        <w:rPr>
          <w:rFonts w:ascii="Symbol" w:eastAsia="Symbol" w:hAnsi="Symbol" w:cs="Symbol"/>
        </w:rPr>
        <w:t>°</w:t>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w:t>
      </w:r>
      <w:proofErr w:type="gramStart"/>
      <w:r w:rsidRPr="008E5ED7">
        <w:t>in order to</w:t>
      </w:r>
      <w:proofErr w:type="gramEnd"/>
      <w:r w:rsidRPr="008E5ED7">
        <w:t xml:space="preserve"> identify the assignments of the network in question which are causing the increase of the interference.</w:t>
      </w:r>
    </w:p>
    <w:p w14:paraId="463F7644" w14:textId="77777777"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14:paraId="49852BC0" w14:textId="77777777" w:rsidR="009107D7" w:rsidRDefault="009107D7" w:rsidP="00AD1A4A">
      <w:pPr>
        <w:spacing w:before="240" w:line="270" w:lineRule="exact"/>
      </w:pPr>
    </w:p>
    <w:p w14:paraId="7AD0F077" w14:textId="7B501010" w:rsidR="009107D7" w:rsidRDefault="009107D7" w:rsidP="00AD1A4A">
      <w:pPr>
        <w:spacing w:before="240" w:line="270" w:lineRule="exact"/>
        <w:sectPr w:rsidR="009107D7" w:rsidSect="00102440">
          <w:footnotePr>
            <w:pos w:val="beneathText"/>
          </w:footnotePr>
          <w:pgSz w:w="11907" w:h="16840" w:code="9"/>
          <w:pgMar w:top="1701" w:right="851" w:bottom="1134" w:left="1985" w:header="720" w:footer="482" w:gutter="0"/>
          <w:cols w:space="720"/>
          <w:vAlign w:val="both"/>
        </w:sectPr>
      </w:pPr>
    </w:p>
    <w:p w14:paraId="4A75984E" w14:textId="7586097D" w:rsidR="002150F8" w:rsidRPr="008E5ED7" w:rsidRDefault="002150F8" w:rsidP="00AD1A4A">
      <w:pPr>
        <w:spacing w:before="240" w:line="270" w:lineRule="exact"/>
      </w:pPr>
      <w:r w:rsidRPr="008E5ED7">
        <w:lastRenderedPageBreak/>
        <w:t>1.2</w:t>
      </w:r>
      <w:r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Pr="008E5ED7">
        <w:rPr>
          <w:rFonts w:ascii="Symbol" w:eastAsia="Symbol" w:hAnsi="Symbol" w:cs="Symbol"/>
        </w:rPr>
        <w:t>D</w:t>
      </w:r>
      <w:r w:rsidRPr="008E5ED7">
        <w:rPr>
          <w:i/>
          <w:iCs/>
        </w:rPr>
        <w:t>T</w:t>
      </w:r>
      <w:r w:rsidRPr="008E5ED7">
        <w:t>/</w:t>
      </w:r>
      <w:r w:rsidRPr="008E5ED7">
        <w:rPr>
          <w:i/>
          <w:iCs/>
        </w:rPr>
        <w:t>T</w:t>
      </w:r>
      <w:r w:rsidRPr="008E5ED7">
        <w:t xml:space="preserve"> values, in accordance with the method given in Appendix </w:t>
      </w:r>
      <w:r w:rsidRPr="008E5ED7">
        <w:rPr>
          <w:rStyle w:val="Appref"/>
          <w:b/>
          <w:bCs/>
          <w:color w:val="000000"/>
        </w:rPr>
        <w:t>8</w:t>
      </w:r>
      <w:r w:rsidRPr="008E5ED7">
        <w:t>, produced by the proposed new charac</w:t>
      </w:r>
      <w:r w:rsidRPr="008E5ED7">
        <w:softHyphen/>
        <w:t xml:space="preserve">teristics, and by comparing the resulting </w:t>
      </w:r>
      <w:r w:rsidRPr="008E5ED7">
        <w:rPr>
          <w:rFonts w:ascii="Symbol" w:eastAsia="Symbol" w:hAnsi="Symbol" w:cs="Symbol"/>
        </w:rPr>
        <w:t>D</w:t>
      </w:r>
      <w:r w:rsidRPr="008E5ED7">
        <w:rPr>
          <w:i/>
          <w:iCs/>
        </w:rPr>
        <w:t>T</w:t>
      </w:r>
      <w:r w:rsidRPr="008E5ED7">
        <w:t>/</w:t>
      </w:r>
      <w:r w:rsidRPr="008E5ED7">
        <w:rPr>
          <w:i/>
          <w:iCs/>
        </w:rPr>
        <w:t>T</w:t>
      </w:r>
      <w:r w:rsidRPr="008E5ED7">
        <w:t xml:space="preserve"> values, with those obtained with the previous</w:t>
      </w:r>
      <w:r w:rsidR="00AD1A4A" w:rsidRPr="002C5C48">
        <w:rPr>
          <w:rStyle w:val="FootnoteReference"/>
        </w:rPr>
        <w:t>4</w:t>
      </w:r>
      <w:r w:rsidRPr="008E5ED7">
        <w:t xml:space="preserve"> characteristics of the subject assignment.</w:t>
      </w:r>
    </w:p>
    <w:p w14:paraId="1C60BD15" w14:textId="77777777"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14:paraId="464292D0" w14:textId="77777777"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xml:space="preserve">, in the case of administrations of </w:t>
      </w:r>
      <w:proofErr w:type="gramStart"/>
      <w:r w:rsidRPr="008E5ED7">
        <w:t>Region</w:t>
      </w:r>
      <w:proofErr w:type="gramEnd"/>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14:paraId="03071AA5" w14:textId="77777777" w:rsidR="002150F8" w:rsidRPr="008E5ED7" w:rsidRDefault="002150F8">
      <w:pPr>
        <w:pStyle w:val="enumlev1"/>
      </w:pPr>
      <w:r w:rsidRPr="008E5ED7">
        <w:t>–</w:t>
      </w:r>
      <w:r w:rsidRPr="008E5ED7">
        <w:tab/>
        <w:t xml:space="preserve">if the orbital position is identical with that shown in the Plan, no further agreements are </w:t>
      </w:r>
      <w:proofErr w:type="gramStart"/>
      <w:r w:rsidRPr="008E5ED7">
        <w:t>necessary;</w:t>
      </w:r>
      <w:proofErr w:type="gramEnd"/>
    </w:p>
    <w:p w14:paraId="4295E0B1" w14:textId="77777777"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w:t>
      </w:r>
      <w:proofErr w:type="gramStart"/>
      <w:r w:rsidRPr="008E5ED7">
        <w:t>otherwise</w:t>
      </w:r>
      <w:proofErr w:type="gramEnd"/>
      <w:r w:rsidRPr="008E5ED7">
        <w:t xml:space="preserve"> it considers the assignment to be not in conformity with Plan.</w:t>
      </w:r>
    </w:p>
    <w:p w14:paraId="0AD9BB5A" w14:textId="77777777" w:rsidR="002150F8" w:rsidRPr="008E5ED7" w:rsidRDefault="002150F8">
      <w:pPr>
        <w:pStyle w:val="Heading9"/>
      </w:pPr>
      <w:bookmarkStart w:id="8" w:name="_Toc510511287"/>
      <w:r w:rsidRPr="008E5ED7">
        <w:t>5.2.2.1</w:t>
      </w:r>
      <w:bookmarkEnd w:id="8"/>
    </w:p>
    <w:p w14:paraId="5DF51607" w14:textId="77777777" w:rsidR="002150F8" w:rsidRPr="008E5ED7" w:rsidRDefault="002150F8" w:rsidP="00447573">
      <w:r w:rsidRPr="008E5ED7">
        <w:t xml:space="preserve">This paragraph implicitly relates to the cases where the Bureau reaches a favourable </w:t>
      </w:r>
      <w:r w:rsidR="00447573">
        <w:t>f</w:t>
      </w:r>
      <w:r w:rsidRPr="008E5ED7">
        <w:t>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proofErr w:type="gramStart"/>
      <w:r w:rsidRPr="008E5ED7">
        <w:rPr>
          <w:i/>
        </w:rPr>
        <w:t>f</w:t>
      </w:r>
      <w:r w:rsidR="00552405" w:rsidRPr="008E5ED7">
        <w:rPr>
          <w:iCs/>
          <w:sz w:val="20"/>
        </w:rPr>
        <w:t> </w:t>
      </w:r>
      <w:r w:rsidRPr="008E5ED7">
        <w:rPr>
          <w:i/>
        </w:rPr>
        <w:t>)</w:t>
      </w:r>
      <w:proofErr w:type="gramEnd"/>
      <w:r w:rsidRPr="008E5ED7">
        <w:t xml:space="preserve"> and an unfavourable </w:t>
      </w:r>
      <w:r w:rsidR="00447573">
        <w:t>f</w:t>
      </w:r>
      <w:r w:rsidRPr="008E5ED7">
        <w:t>inding with respect to §</w:t>
      </w:r>
      <w:r w:rsidR="00552405" w:rsidRPr="008E5ED7">
        <w:t> </w:t>
      </w:r>
      <w:r w:rsidRPr="008E5ED7">
        <w:t>5.2.1 </w:t>
      </w:r>
      <w:r w:rsidRPr="008E5ED7">
        <w:rPr>
          <w:i/>
        </w:rPr>
        <w:t>b)</w:t>
      </w:r>
      <w:r w:rsidRPr="008E5ED7">
        <w:t xml:space="preserve"> but a favourable </w:t>
      </w:r>
      <w:r w:rsidR="00447573">
        <w:t>f</w:t>
      </w:r>
      <w:r w:rsidRPr="008E5ED7">
        <w:t>inding with respect to §</w:t>
      </w:r>
      <w:r w:rsidR="00552405" w:rsidRPr="008E5ED7">
        <w:t> </w:t>
      </w:r>
      <w:r w:rsidRPr="008E5ED7">
        <w:t>5.2.1</w:t>
      </w:r>
      <w:r w:rsidR="00552405" w:rsidRPr="008E5ED7">
        <w:t> </w:t>
      </w:r>
      <w:r w:rsidRPr="008E5ED7">
        <w:rPr>
          <w:i/>
        </w:rPr>
        <w:t>d)</w:t>
      </w:r>
      <w:r w:rsidRPr="008E5ED7">
        <w:t>.</w:t>
      </w:r>
    </w:p>
    <w:p w14:paraId="1E5AFC70" w14:textId="77777777" w:rsidR="002150F8" w:rsidRPr="008E5ED7" w:rsidRDefault="002150F8" w:rsidP="00447573">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 xml:space="preserve">the Board concluded that § 5.2.2.1 relates to the cases where the Bureau reaches a favourable </w:t>
      </w:r>
      <w:r w:rsidR="00447573">
        <w:t>f</w:t>
      </w:r>
      <w:r w:rsidRPr="008E5ED7">
        <w:t>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w:t>
      </w:r>
      <w:r w:rsidR="00447573">
        <w:t>f</w:t>
      </w:r>
      <w:r w:rsidRPr="008E5ED7">
        <w:t>inding with respect to § 5.2.1 </w:t>
      </w:r>
      <w:r w:rsidRPr="008E5ED7">
        <w:rPr>
          <w:i/>
        </w:rPr>
        <w:t>b)</w:t>
      </w:r>
      <w:r w:rsidRPr="008E5ED7">
        <w:t xml:space="preserve"> but a favourable </w:t>
      </w:r>
      <w:r w:rsidR="00447573">
        <w:t>f</w:t>
      </w:r>
      <w:r w:rsidRPr="008E5ED7">
        <w:t>inding with respect to § 5.2.1 </w:t>
      </w:r>
      <w:r w:rsidRPr="008E5ED7">
        <w:rPr>
          <w:i/>
        </w:rPr>
        <w:t>d)</w:t>
      </w:r>
      <w:r w:rsidRPr="008E5ED7">
        <w:t>.</w:t>
      </w:r>
    </w:p>
    <w:p w14:paraId="23930BC3" w14:textId="67CA79AB" w:rsidR="002150F8" w:rsidRDefault="002150F8">
      <w:r w:rsidRPr="008E5ED7">
        <w:t>In this event the frequency assignment shall be recorded in the Master Register.</w:t>
      </w:r>
    </w:p>
    <w:p w14:paraId="66A45353" w14:textId="151ED5FF" w:rsidR="009107D7" w:rsidRPr="00AE6FF0" w:rsidRDefault="009107D7" w:rsidP="009107D7">
      <w:pPr>
        <w:pStyle w:val="Heading9"/>
      </w:pPr>
      <w:r w:rsidRPr="00AE6FF0">
        <w:t>5.</w:t>
      </w:r>
      <w:r>
        <w:t>3</w:t>
      </w:r>
      <w:r w:rsidRPr="00AE6FF0">
        <w:t>.1</w:t>
      </w:r>
      <w:r>
        <w:tab/>
      </w:r>
    </w:p>
    <w:p w14:paraId="491D7F14" w14:textId="77777777" w:rsidR="009107D7" w:rsidRDefault="009107D7" w:rsidP="009107D7">
      <w:r w:rsidRPr="00D3196D">
        <w:t xml:space="preserve">See the Rules of Procedure concerning § 5.3.1 of Article 5 of Appendix </w:t>
      </w:r>
      <w:r w:rsidRPr="00D3196D">
        <w:rPr>
          <w:b/>
          <w:bCs/>
        </w:rPr>
        <w:t>30</w:t>
      </w:r>
      <w:r w:rsidRPr="00D3196D">
        <w:t>.</w:t>
      </w:r>
    </w:p>
    <w:p w14:paraId="5DAA8763" w14:textId="77777777" w:rsidR="009107D7" w:rsidRDefault="009107D7"/>
    <w:p w14:paraId="706B293D" w14:textId="77777777" w:rsidR="00D3196D" w:rsidRDefault="00D3196D"/>
    <w:p w14:paraId="18C3F635" w14:textId="2D82079F" w:rsidR="00D3196D" w:rsidRDefault="00D3196D">
      <w:pPr>
        <w:sectPr w:rsidR="00D3196D">
          <w:footnotePr>
            <w:pos w:val="beneathText"/>
          </w:footnotePr>
          <w:pgSz w:w="11907" w:h="16840" w:code="9"/>
          <w:pgMar w:top="1701" w:right="851" w:bottom="1134" w:left="1985" w:header="720" w:footer="482" w:gutter="0"/>
          <w:cols w:space="720"/>
          <w:vAlign w:val="both"/>
        </w:sectPr>
      </w:pPr>
    </w:p>
    <w:p w14:paraId="67D6D29A" w14:textId="77777777" w:rsidR="002150F8" w:rsidRPr="008E5ED7" w:rsidRDefault="002150F8" w:rsidP="00552405">
      <w:pPr>
        <w:pStyle w:val="Heading8"/>
      </w:pPr>
      <w:bookmarkStart w:id="9" w:name="_Toc510511290"/>
      <w:r w:rsidRPr="008E5ED7">
        <w:lastRenderedPageBreak/>
        <w:t>Art. 6</w:t>
      </w:r>
      <w:bookmarkEnd w:id="9"/>
    </w:p>
    <w:p w14:paraId="375A3E27" w14:textId="77777777" w:rsidR="002150F8" w:rsidRPr="008E5ED7" w:rsidRDefault="002150F8" w:rsidP="00552405">
      <w:pPr>
        <w:pStyle w:val="Heading2"/>
        <w:spacing w:before="360"/>
        <w:ind w:left="0" w:firstLine="0"/>
        <w:jc w:val="center"/>
      </w:pPr>
      <w:bookmarkStart w:id="10"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0"/>
    </w:p>
    <w:p w14:paraId="1C0F40B4" w14:textId="77777777" w:rsidR="002150F8" w:rsidRPr="008E5ED7" w:rsidRDefault="002150F8">
      <w:pPr>
        <w:pStyle w:val="Heading9"/>
      </w:pPr>
      <w:bookmarkStart w:id="11" w:name="_Toc510511292"/>
      <w:r w:rsidRPr="008E5ED7">
        <w:t>6.1</w:t>
      </w:r>
      <w:bookmarkEnd w:id="11"/>
    </w:p>
    <w:p w14:paraId="1031E766" w14:textId="430805C3"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w:t>
      </w:r>
      <w:r w:rsidR="004F3B0F">
        <w:rPr>
          <w:rStyle w:val="Resref"/>
          <w:b/>
          <w:bCs/>
          <w:color w:val="000000"/>
        </w:rPr>
        <w:t>19</w:t>
      </w:r>
      <w:r w:rsidRPr="008E5ED7">
        <w:rPr>
          <w:rStyle w:val="Resref"/>
          <w:b/>
          <w:bCs/>
          <w:color w:val="000000"/>
        </w:rPr>
        <w:t>)</w:t>
      </w:r>
      <w:r w:rsidRPr="008E5ED7">
        <w:t>. Such systems may be implemented in the frequency band 17.7-17.8 GHz for Region 2 shared with equal rights with terrestrial services:</w:t>
      </w:r>
    </w:p>
    <w:p w14:paraId="6586FBC2" w14:textId="77777777" w:rsidR="002150F8" w:rsidRPr="008E5ED7" w:rsidRDefault="002150F8">
      <w:r w:rsidRPr="008E5ED7">
        <w:t>Such usage may affect terrestrial stations.</w:t>
      </w:r>
    </w:p>
    <w:p w14:paraId="06753B2A" w14:textId="77777777" w:rsidR="002150F8" w:rsidRPr="008E5ED7" w:rsidRDefault="002150F8" w:rsidP="00552405">
      <w:r w:rsidRPr="008E5ED7">
        <w:t>2</w:t>
      </w:r>
      <w:r w:rsidRPr="008E5ED7">
        <w:tab/>
        <w:t xml:space="preserve">This paragraph refers to </w:t>
      </w:r>
      <w:r w:rsidRPr="00020A8C">
        <w:rPr>
          <w:i/>
          <w:iCs/>
        </w:rPr>
        <w:t>“a feeder-link earth station located on the territory of another administration and included in the service area of an assignment to a broadcasting-satellite service feeder-link space station which is in conformity with the appropriate regional feeder-link Plan”</w:t>
      </w:r>
      <w:r w:rsidRPr="008E5ED7">
        <w:t>. This earth station is to be considered a typical earth station located at the worst location.</w:t>
      </w:r>
    </w:p>
    <w:p w14:paraId="5A6B6D22" w14:textId="77777777" w:rsidR="002150F8" w:rsidRPr="008E5ED7" w:rsidRDefault="002150F8" w:rsidP="00552405">
      <w:r w:rsidRPr="008E5ED7">
        <w:t>3</w:t>
      </w:r>
      <w:r w:rsidRPr="008E5ED7">
        <w:tab/>
        <w:t xml:space="preserve">In order to evaluate the interference, an Administration A, intending to use terrestrial stations, needs to know the fixed-earth station existing or planned. </w:t>
      </w:r>
      <w:proofErr w:type="gramStart"/>
      <w:r w:rsidRPr="008E5ED7">
        <w:t>In order to</w:t>
      </w:r>
      <w:proofErr w:type="gramEnd"/>
      <w:r w:rsidRPr="008E5ED7">
        <w:t xml:space="preserve">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14:paraId="66469800" w14:textId="77777777" w:rsidR="002150F8" w:rsidRPr="008E5ED7" w:rsidRDefault="002150F8">
      <w:pPr>
        <w:pStyle w:val="Heading9"/>
      </w:pPr>
      <w:bookmarkStart w:id="12" w:name="_Toc510511293"/>
      <w:r w:rsidRPr="008E5ED7">
        <w:t>6.2</w:t>
      </w:r>
      <w:bookmarkEnd w:id="12"/>
    </w:p>
    <w:p w14:paraId="3D42325C" w14:textId="77777777" w:rsidR="002150F8" w:rsidRPr="008E5ED7" w:rsidRDefault="002150F8" w:rsidP="00552405">
      <w:r w:rsidRPr="008E5ED7">
        <w:t>1</w:t>
      </w:r>
      <w:r w:rsidRPr="008E5ED7">
        <w:tab/>
        <w:t xml:space="preserve">This paragraph refers to the need for an Administration B to communicate the actual location of its feeder-link earth stations without specifying which of these earth stations should be </w:t>
      </w:r>
      <w:proofErr w:type="gramStart"/>
      <w:r w:rsidRPr="008E5ED7">
        <w:t>taken into account</w:t>
      </w:r>
      <w:proofErr w:type="gramEnd"/>
      <w:r w:rsidRPr="008E5ED7">
        <w:t>. As no indication is given, the Board understands that the administration may communicate the locations of earth stations without any limitations.</w:t>
      </w:r>
    </w:p>
    <w:p w14:paraId="2F92BEA7" w14:textId="77777777"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14:paraId="2BA8CE3B" w14:textId="0B25AD6A" w:rsidR="00CB4C25" w:rsidRDefault="002150F8" w:rsidP="00CB4C25">
      <w:pPr>
        <w:pStyle w:val="enumlev1"/>
      </w:pPr>
      <w:r w:rsidRPr="008E5ED7">
        <w:t>–</w:t>
      </w:r>
      <w:r w:rsidRPr="008E5ED7">
        <w:tab/>
        <w:t xml:space="preserve">earth stations which conform to the above characteristics will be entered in the Plan without applying the Article 4 procedure, and Administration A will be informed </w:t>
      </w:r>
      <w:proofErr w:type="gramStart"/>
      <w:r w:rsidRPr="008E5ED7">
        <w:t>accordingly;</w:t>
      </w:r>
      <w:proofErr w:type="gramEnd"/>
    </w:p>
    <w:p w14:paraId="5B5C583F" w14:textId="77777777" w:rsidR="00E50A04" w:rsidRDefault="00E50A04" w:rsidP="00552405">
      <w:pPr>
        <w:pStyle w:val="enumlev1"/>
      </w:pPr>
      <w:r>
        <w:br w:type="page"/>
      </w:r>
    </w:p>
    <w:p w14:paraId="437F7E5F" w14:textId="70C547B1" w:rsidR="002150F8" w:rsidRPr="008E5ED7" w:rsidRDefault="002150F8" w:rsidP="00552405">
      <w:pPr>
        <w:pStyle w:val="enumlev1"/>
      </w:pPr>
      <w:r w:rsidRPr="008E5ED7">
        <w:lastRenderedPageBreak/>
        <w:t>–</w:t>
      </w:r>
      <w:r w:rsidRPr="008E5ED7">
        <w:tab/>
        <w:t>earth stations which do not conform to the characteristics listed under the comments relating to §</w:t>
      </w:r>
      <w:r w:rsidR="00552405" w:rsidRPr="008E5ED7">
        <w:t> </w:t>
      </w:r>
      <w:r w:rsidRPr="008E5ED7">
        <w:t xml:space="preserve">5.2.1 </w:t>
      </w:r>
      <w:r w:rsidRPr="008E5ED7">
        <w:rPr>
          <w:i/>
        </w:rPr>
        <w:t>b)</w:t>
      </w:r>
      <w:r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14:paraId="0D1FCA72" w14:textId="77777777"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14:paraId="17A63947" w14:textId="77777777" w:rsidR="002150F8" w:rsidRPr="008E5ED7" w:rsidRDefault="002150F8">
      <w:pPr>
        <w:pStyle w:val="Heading9"/>
      </w:pPr>
      <w:bookmarkStart w:id="13" w:name="_Toc510511294"/>
      <w:r w:rsidRPr="008E5ED7">
        <w:t>6.5</w:t>
      </w:r>
      <w:bookmarkEnd w:id="13"/>
    </w:p>
    <w:p w14:paraId="5EF025AB" w14:textId="77777777" w:rsidR="002150F8" w:rsidRPr="008E5ED7" w:rsidRDefault="002150F8" w:rsidP="00FA065E">
      <w:r w:rsidRPr="008E5ED7">
        <w:t xml:space="preserve">This paragraph implies that these feeder-link earth stations will not be entered in the Plan. For this </w:t>
      </w:r>
      <w:proofErr w:type="gramStart"/>
      <w:r w:rsidRPr="008E5ED7">
        <w:t>reason</w:t>
      </w:r>
      <w:proofErr w:type="gramEnd"/>
      <w:r w:rsidRPr="008E5ED7">
        <w:t xml:space="preserve"> the Bureau shall in such cases recommend to the administration that it appl</w:t>
      </w:r>
      <w:r w:rsidR="00FA065E">
        <w:t>ies</w:t>
      </w:r>
      <w:r w:rsidRPr="008E5ED7">
        <w:t xml:space="preserve"> the procedure of Article 4 </w:t>
      </w:r>
      <w:proofErr w:type="gramStart"/>
      <w:r w:rsidRPr="008E5ED7">
        <w:t>in order to</w:t>
      </w:r>
      <w:proofErr w:type="gramEnd"/>
      <w:r w:rsidRPr="008E5ED7">
        <w:t xml:space="preserve"> permit its earth stations to be entered in the Plan.</w:t>
      </w:r>
    </w:p>
    <w:p w14:paraId="3DE1F8E6" w14:textId="77777777" w:rsidR="002150F8" w:rsidRPr="008E5ED7" w:rsidRDefault="002150F8"/>
    <w:p w14:paraId="211658FD" w14:textId="77777777" w:rsidR="002150F8" w:rsidRPr="008E5ED7" w:rsidRDefault="002150F8">
      <w:pPr>
        <w:pStyle w:val="Heading8"/>
        <w:spacing w:before="600"/>
      </w:pPr>
      <w:bookmarkStart w:id="14" w:name="_Toc510511295"/>
      <w:r w:rsidRPr="008E5ED7">
        <w:t>Art. 7</w:t>
      </w:r>
      <w:bookmarkEnd w:id="14"/>
    </w:p>
    <w:p w14:paraId="716095AF" w14:textId="77777777" w:rsidR="002150F8" w:rsidRPr="008E5ED7" w:rsidRDefault="002150F8">
      <w:pPr>
        <w:pStyle w:val="Heading2"/>
        <w:spacing w:before="240"/>
        <w:ind w:left="0" w:firstLine="0"/>
        <w:jc w:val="center"/>
      </w:pPr>
      <w:bookmarkStart w:id="15" w:name="_Toc510511296"/>
      <w:r w:rsidRPr="008E5ED7">
        <w:t>Coordination, notification and recording of FSS assignments</w:t>
      </w:r>
      <w:r w:rsidRPr="008E5ED7">
        <w:br/>
        <w:t>when feeder-links to BSS assignments are involved</w:t>
      </w:r>
      <w:bookmarkEnd w:id="15"/>
    </w:p>
    <w:p w14:paraId="215B481F" w14:textId="77777777" w:rsidR="002150F8" w:rsidRPr="008E5ED7" w:rsidRDefault="002150F8">
      <w:pPr>
        <w:pStyle w:val="Heading9"/>
      </w:pPr>
      <w:bookmarkStart w:id="16" w:name="_Toc510511297"/>
      <w:r w:rsidRPr="008E5ED7">
        <w:t>7.</w:t>
      </w:r>
      <w:bookmarkEnd w:id="16"/>
      <w:r w:rsidRPr="008E5ED7">
        <w:t>7</w:t>
      </w:r>
    </w:p>
    <w:p w14:paraId="45EA9651" w14:textId="77777777" w:rsidR="002150F8" w:rsidRPr="008E5ED7" w:rsidRDefault="002150F8">
      <w:r w:rsidRPr="008E5ED7">
        <w:t>The comments under § 6.5 apply.</w:t>
      </w:r>
    </w:p>
    <w:p w14:paraId="53957F16" w14:textId="77777777" w:rsidR="002150F8" w:rsidRPr="008E5ED7" w:rsidRDefault="002150F8">
      <w:pPr>
        <w:pStyle w:val="Heading8"/>
      </w:pPr>
      <w:bookmarkStart w:id="17" w:name="_Toc510511298"/>
      <w:r w:rsidRPr="008E5ED7">
        <w:t>An. 1</w:t>
      </w:r>
      <w:bookmarkEnd w:id="17"/>
    </w:p>
    <w:p w14:paraId="29394AC8" w14:textId="77777777"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14:paraId="15F6A1B1" w14:textId="77777777" w:rsidR="002150F8" w:rsidRPr="008E5ED7" w:rsidRDefault="002150F8">
      <w:pPr>
        <w:pStyle w:val="Heading9"/>
      </w:pPr>
      <w:bookmarkStart w:id="18" w:name="_Toc510511300"/>
      <w:r w:rsidRPr="008E5ED7">
        <w:t>3</w:t>
      </w:r>
      <w:bookmarkEnd w:id="18"/>
    </w:p>
    <w:p w14:paraId="31A5BE45" w14:textId="77777777"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14:paraId="3E813508" w14:textId="77777777" w:rsidR="002150F8" w:rsidRPr="008E5ED7" w:rsidRDefault="002150F8">
      <w:pPr>
        <w:pStyle w:val="Heading9"/>
      </w:pPr>
      <w:bookmarkStart w:id="19" w:name="_Toc510511301"/>
      <w:r w:rsidRPr="008E5ED7">
        <w:t>4</w:t>
      </w:r>
      <w:bookmarkEnd w:id="19"/>
    </w:p>
    <w:p w14:paraId="7DDC572F" w14:textId="77777777" w:rsidR="002150F8" w:rsidRPr="008E5ED7" w:rsidRDefault="002150F8" w:rsidP="00552405">
      <w:pPr>
        <w:pStyle w:val="Headingi0"/>
        <w:spacing w:before="240"/>
        <w:rPr>
          <w:lang w:val="en-GB"/>
        </w:rPr>
      </w:pPr>
      <w:r w:rsidRPr="008E5ED7">
        <w:rPr>
          <w:lang w:val="en-GB"/>
        </w:rPr>
        <w:t>a)</w:t>
      </w:r>
      <w:r w:rsidRPr="008E5ED7">
        <w:rPr>
          <w:lang w:val="en-GB"/>
        </w:rPr>
        <w:tab/>
        <w:t>Test points</w:t>
      </w:r>
    </w:p>
    <w:p w14:paraId="090999C4" w14:textId="77777777"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14:paraId="505CB910" w14:textId="77777777" w:rsidR="00C96159" w:rsidRDefault="00C96159">
      <w:pPr>
        <w:tabs>
          <w:tab w:val="clear" w:pos="1134"/>
          <w:tab w:val="clear" w:pos="1871"/>
          <w:tab w:val="clear" w:pos="2268"/>
        </w:tabs>
        <w:overflowPunct/>
        <w:autoSpaceDE/>
        <w:autoSpaceDN/>
        <w:adjustRightInd/>
        <w:spacing w:before="0"/>
        <w:jc w:val="left"/>
        <w:textAlignment w:val="auto"/>
        <w:rPr>
          <w:i/>
        </w:rPr>
      </w:pPr>
      <w:r>
        <w:br w:type="page"/>
      </w:r>
    </w:p>
    <w:p w14:paraId="103471E2" w14:textId="77777777"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14:paraId="4701A120" w14:textId="718DA251" w:rsidR="002150F8" w:rsidRPr="008E5ED7" w:rsidRDefault="002150F8" w:rsidP="00650CA3">
      <w:r w:rsidRPr="008E5ED7">
        <w:t xml:space="preserve">The power flux-density limit of </w:t>
      </w:r>
      <w:r w:rsidR="00102440">
        <w:t>−</w:t>
      </w:r>
      <w:r w:rsidRPr="008E5ED7">
        <w:t>76 dB(W/(m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p>
    <w:p w14:paraId="248F210B" w14:textId="77777777"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14:paraId="21F3635D" w14:textId="77777777"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14:paraId="11379B63" w14:textId="77777777" w:rsidR="002150F8" w:rsidRPr="008E5ED7" w:rsidRDefault="002150F8">
      <w:pPr>
        <w:pStyle w:val="enumlev1"/>
      </w:pPr>
      <w:r w:rsidRPr="008E5ED7">
        <w:t>–</w:t>
      </w:r>
      <w:r w:rsidRPr="008E5ED7">
        <w:tab/>
        <w:t>the orbital spacing between both assignments is less than 9°, under worst-case station-keeping conditions; and</w:t>
      </w:r>
    </w:p>
    <w:p w14:paraId="1D50EC13" w14:textId="77777777" w:rsidR="00742BFD" w:rsidRPr="008E5ED7" w:rsidRDefault="002150F8" w:rsidP="00742BFD">
      <w:pPr>
        <w:pStyle w:val="enumlev1"/>
      </w:pPr>
      <w:r w:rsidRPr="008E5ED7">
        <w:t>–</w:t>
      </w:r>
      <w:r w:rsidRPr="008E5ED7">
        <w:tab/>
        <w:t>there is a frequency overlap between the bandwidths assigned to each assignment; and</w:t>
      </w:r>
    </w:p>
    <w:p w14:paraId="447D56D7" w14:textId="77777777"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8"/>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14:paraId="177949F4" w14:textId="77777777" w:rsidR="002150F8" w:rsidRPr="008E5ED7" w:rsidRDefault="002150F8">
      <w:pPr>
        <w:pStyle w:val="Headingi"/>
      </w:pPr>
      <w:r w:rsidRPr="008E5ED7">
        <w:t>d)</w:t>
      </w:r>
      <w:r w:rsidRPr="008E5ED7">
        <w:tab/>
        <w:t>Reference protection margin</w:t>
      </w:r>
    </w:p>
    <w:p w14:paraId="2316D2EF" w14:textId="77777777"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14:paraId="3DA6E4A1" w14:textId="77777777" w:rsidR="00C96159" w:rsidRDefault="00C96159">
      <w:pPr>
        <w:tabs>
          <w:tab w:val="clear" w:pos="1134"/>
          <w:tab w:val="clear" w:pos="1871"/>
          <w:tab w:val="clear" w:pos="2268"/>
        </w:tabs>
        <w:overflowPunct/>
        <w:autoSpaceDE/>
        <w:autoSpaceDN/>
        <w:adjustRightInd/>
        <w:spacing w:before="0"/>
        <w:jc w:val="left"/>
        <w:textAlignment w:val="auto"/>
        <w:rPr>
          <w:b/>
        </w:rPr>
      </w:pPr>
      <w:bookmarkStart w:id="20" w:name="_Toc510511302"/>
      <w:r>
        <w:br w:type="page"/>
      </w:r>
    </w:p>
    <w:p w14:paraId="469DCB1B" w14:textId="77777777" w:rsidR="002150F8" w:rsidRPr="008E5ED7" w:rsidRDefault="002150F8" w:rsidP="00552405">
      <w:pPr>
        <w:pStyle w:val="Heading8"/>
      </w:pPr>
      <w:r w:rsidRPr="008E5ED7">
        <w:lastRenderedPageBreak/>
        <w:t>An. 3</w:t>
      </w:r>
      <w:bookmarkEnd w:id="20"/>
    </w:p>
    <w:p w14:paraId="2E85A3C0" w14:textId="77777777" w:rsidR="002150F8" w:rsidRPr="008E5ED7" w:rsidRDefault="002150F8" w:rsidP="00552405">
      <w:pPr>
        <w:pStyle w:val="Heading2"/>
        <w:ind w:left="0" w:firstLine="0"/>
        <w:jc w:val="center"/>
      </w:pPr>
      <w:bookmarkStart w:id="21"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1"/>
    </w:p>
    <w:p w14:paraId="57E7C787" w14:textId="77777777" w:rsidR="002150F8" w:rsidRPr="008E5ED7" w:rsidRDefault="002150F8" w:rsidP="007C5018">
      <w:pPr>
        <w:pStyle w:val="Heading9"/>
      </w:pPr>
      <w:bookmarkStart w:id="22" w:name="_Toc510511304"/>
      <w:r w:rsidRPr="008E5ED7">
        <w:t>1.7</w:t>
      </w:r>
      <w:bookmarkEnd w:id="22"/>
    </w:p>
    <w:p w14:paraId="71DE6A85" w14:textId="77777777" w:rsidR="00D72051" w:rsidRPr="00D72051" w:rsidRDefault="00D72051" w:rsidP="00BD08EB">
      <w:r w:rsidRPr="00D72051">
        <w:t xml:space="preserve">The footnote to this provision states that </w:t>
      </w:r>
      <w:r w:rsidRPr="00020A8C">
        <w:rPr>
          <w:i/>
          <w:iCs/>
        </w:rPr>
        <w:t>“in certain cases (e.g. when the channel spacing and/or bandwidth are different from the values given in § 3.5 and 3.8 of Annex 5 to Appendix </w:t>
      </w:r>
      <w:r w:rsidRPr="00020A8C">
        <w:rPr>
          <w:b/>
          <w:i/>
          <w:iCs/>
        </w:rPr>
        <w:t>30</w:t>
      </w:r>
      <w:r w:rsidRPr="00020A8C">
        <w:rPr>
          <w:i/>
          <w:iCs/>
        </w:rPr>
        <w:t>), the Bureau will use the worst-case approach until a relevant ITU</w:t>
      </w:r>
      <w:r w:rsidRPr="00020A8C">
        <w:rPr>
          <w:i/>
          <w:iCs/>
        </w:rPr>
        <w:noBreakHyphen/>
        <w:t>R Recommendation is incorporated in this Annex by reference”</w:t>
      </w:r>
      <w:r w:rsidR="001B0114" w:rsidRPr="00D72051">
        <w:t>.</w:t>
      </w:r>
    </w:p>
    <w:p w14:paraId="7CA96068" w14:textId="77777777"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14:paraId="08E46BCC" w14:textId="77777777" w:rsidR="00D72051" w:rsidRPr="00C52342" w:rsidRDefault="00D72051" w:rsidP="007C5018">
      <w:pPr>
        <w:pStyle w:val="Table"/>
      </w:pPr>
      <w:r w:rsidRPr="00D72051">
        <w:t>TABLE</w:t>
      </w:r>
      <w:r w:rsidRPr="00C52342">
        <w:t xml:space="preserv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14:paraId="29AAEB74" w14:textId="77777777" w:rsidTr="00D72051">
        <w:trPr>
          <w:gridAfter w:val="1"/>
          <w:wAfter w:w="8" w:type="dxa"/>
        </w:trPr>
        <w:tc>
          <w:tcPr>
            <w:tcW w:w="2835" w:type="dxa"/>
            <w:tcBorders>
              <w:top w:val="single" w:sz="6" w:space="0" w:color="auto"/>
            </w:tcBorders>
          </w:tcPr>
          <w:p w14:paraId="3E0827E2" w14:textId="77777777" w:rsidR="00D72051" w:rsidRPr="00C52342" w:rsidRDefault="00D72051" w:rsidP="00D72051">
            <w:pPr>
              <w:pStyle w:val="Tablehead0"/>
              <w:framePr w:hSpace="180" w:wrap="around" w:vAnchor="text" w:hAnchor="text" w:y="1"/>
            </w:pPr>
            <w:proofErr w:type="spellStart"/>
            <w:r w:rsidRPr="00C52342">
              <w:t>Wanted</w:t>
            </w:r>
            <w:proofErr w:type="spellEnd"/>
            <w:r w:rsidRPr="00C52342">
              <w:t xml:space="preserve"> </w:t>
            </w:r>
            <w:proofErr w:type="spellStart"/>
            <w:r w:rsidRPr="00C52342">
              <w:t>assignment</w:t>
            </w:r>
            <w:proofErr w:type="spellEnd"/>
          </w:p>
        </w:tc>
        <w:tc>
          <w:tcPr>
            <w:tcW w:w="2835" w:type="dxa"/>
            <w:tcBorders>
              <w:top w:val="single" w:sz="6" w:space="0" w:color="auto"/>
            </w:tcBorders>
          </w:tcPr>
          <w:p w14:paraId="59EEDA79" w14:textId="77777777" w:rsidR="00D72051" w:rsidRPr="00C52342" w:rsidRDefault="00D72051" w:rsidP="00D72051">
            <w:pPr>
              <w:pStyle w:val="Tablehead0"/>
              <w:framePr w:hSpace="180" w:wrap="around" w:vAnchor="text" w:hAnchor="text" w:y="1"/>
            </w:pPr>
            <w:proofErr w:type="spellStart"/>
            <w:r w:rsidRPr="00C52342">
              <w:t>Interfering</w:t>
            </w:r>
            <w:proofErr w:type="spellEnd"/>
            <w:r w:rsidRPr="00C52342">
              <w:t xml:space="preserve"> </w:t>
            </w:r>
            <w:proofErr w:type="spellStart"/>
            <w:r w:rsidRPr="00C52342">
              <w:t>assignment</w:t>
            </w:r>
            <w:proofErr w:type="spellEnd"/>
          </w:p>
        </w:tc>
        <w:tc>
          <w:tcPr>
            <w:tcW w:w="3402" w:type="dxa"/>
            <w:tcBorders>
              <w:top w:val="single" w:sz="6" w:space="0" w:color="auto"/>
            </w:tcBorders>
          </w:tcPr>
          <w:p w14:paraId="3B4037D6" w14:textId="77777777" w:rsidR="00D72051" w:rsidRPr="00C52342" w:rsidRDefault="00D72051" w:rsidP="00D72051">
            <w:pPr>
              <w:pStyle w:val="Tablehead0"/>
              <w:framePr w:hSpace="180" w:wrap="around" w:vAnchor="text" w:hAnchor="text" w:y="1"/>
            </w:pPr>
            <w:r w:rsidRPr="00C52342">
              <w:t xml:space="preserve">Method to </w:t>
            </w:r>
            <w:proofErr w:type="spellStart"/>
            <w:r w:rsidRPr="00C52342">
              <w:t>be</w:t>
            </w:r>
            <w:proofErr w:type="spellEnd"/>
            <w:r w:rsidRPr="00C52342">
              <w:t xml:space="preserve"> </w:t>
            </w:r>
            <w:proofErr w:type="spellStart"/>
            <w:r w:rsidRPr="00C52342">
              <w:t>applied</w:t>
            </w:r>
            <w:proofErr w:type="spellEnd"/>
          </w:p>
        </w:tc>
      </w:tr>
      <w:tr w:rsidR="00D72051" w:rsidRPr="00C52342" w14:paraId="2B973054" w14:textId="77777777" w:rsidTr="00D72051">
        <w:trPr>
          <w:gridAfter w:val="1"/>
          <w:wAfter w:w="8" w:type="dxa"/>
        </w:trPr>
        <w:tc>
          <w:tcPr>
            <w:tcW w:w="2835" w:type="dxa"/>
          </w:tcPr>
          <w:p w14:paraId="1D178B66" w14:textId="77777777"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14:paraId="2B4B7BC2"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09D781B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587D88">
              <w:rPr>
                <w:rStyle w:val="Appref"/>
                <w:b/>
                <w:bCs/>
                <w:color w:val="auto"/>
                <w:lang w:val="en-US"/>
              </w:rPr>
              <w:t>30A</w:t>
            </w:r>
          </w:p>
        </w:tc>
      </w:tr>
      <w:tr w:rsidR="00D72051" w:rsidRPr="00C52342" w14:paraId="3976D8FE" w14:textId="77777777" w:rsidTr="00D72051">
        <w:trPr>
          <w:gridAfter w:val="1"/>
          <w:wAfter w:w="8" w:type="dxa"/>
        </w:trPr>
        <w:tc>
          <w:tcPr>
            <w:tcW w:w="2835" w:type="dxa"/>
          </w:tcPr>
          <w:p w14:paraId="6225D5DD"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608A66D6"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3897FAA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4B3518A3" w14:textId="77777777" w:rsidTr="00D72051">
        <w:trPr>
          <w:gridAfter w:val="1"/>
          <w:wAfter w:w="8" w:type="dxa"/>
        </w:trPr>
        <w:tc>
          <w:tcPr>
            <w:tcW w:w="2835" w:type="dxa"/>
          </w:tcPr>
          <w:p w14:paraId="1F6F4E55"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14:paraId="0C1CE65A"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4BBDCB8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18AFD917" w14:textId="77777777" w:rsidTr="00D72051">
        <w:trPr>
          <w:gridAfter w:val="1"/>
          <w:wAfter w:w="8" w:type="dxa"/>
        </w:trPr>
        <w:tc>
          <w:tcPr>
            <w:tcW w:w="2835" w:type="dxa"/>
          </w:tcPr>
          <w:p w14:paraId="4EFEF9F5"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26C8168E"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6516044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5A667CDB" w14:textId="77777777" w:rsidTr="00D72051">
        <w:trPr>
          <w:gridAfter w:val="1"/>
          <w:wAfter w:w="8" w:type="dxa"/>
        </w:trPr>
        <w:tc>
          <w:tcPr>
            <w:tcW w:w="2835" w:type="dxa"/>
          </w:tcPr>
          <w:p w14:paraId="2D27F60A"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14:paraId="71169753"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14:paraId="0AB8461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2ED51852" w14:textId="77777777" w:rsidTr="00D72051">
        <w:trPr>
          <w:gridAfter w:val="1"/>
          <w:wAfter w:w="8" w:type="dxa"/>
        </w:trPr>
        <w:tc>
          <w:tcPr>
            <w:tcW w:w="2835" w:type="dxa"/>
          </w:tcPr>
          <w:p w14:paraId="28D0D1D9"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14:paraId="6E0F4812"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14:paraId="5B4CDD5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3286D35E" w14:textId="77777777" w:rsidTr="00D72051">
        <w:trPr>
          <w:gridAfter w:val="1"/>
          <w:wAfter w:w="8" w:type="dxa"/>
        </w:trPr>
        <w:tc>
          <w:tcPr>
            <w:tcW w:w="2835" w:type="dxa"/>
            <w:tcBorders>
              <w:bottom w:val="single" w:sz="6" w:space="0" w:color="auto"/>
            </w:tcBorders>
          </w:tcPr>
          <w:p w14:paraId="4012CBF8"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14:paraId="2C27BC31"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14:paraId="0B6B6824"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2AD16AC3" w14:textId="77777777" w:rsidTr="00D72051">
        <w:tc>
          <w:tcPr>
            <w:tcW w:w="9072" w:type="dxa"/>
            <w:gridSpan w:val="4"/>
            <w:tcBorders>
              <w:left w:val="nil"/>
              <w:bottom w:val="nil"/>
              <w:right w:val="nil"/>
            </w:tcBorders>
          </w:tcPr>
          <w:p w14:paraId="79679004"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spacing and the assigned frequencies as </w:t>
            </w:r>
            <w:r w:rsidRPr="00D72051">
              <w:t>specified</w:t>
            </w:r>
            <w:r w:rsidRPr="00C52342">
              <w:t xml:space="preserve"> in Article 9 of Appendix </w:t>
            </w:r>
            <w:r w:rsidRPr="00D72051">
              <w:rPr>
                <w:b/>
                <w:bCs/>
              </w:rPr>
              <w:t>30A</w:t>
            </w:r>
            <w:r w:rsidRPr="00C52342">
              <w:t>.</w:t>
            </w:r>
          </w:p>
          <w:p w14:paraId="150CE59D"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14:paraId="3EF9938E" w14:textId="77777777" w:rsidR="002150F8" w:rsidRPr="008E5ED7" w:rsidRDefault="002150F8" w:rsidP="00552405">
      <w:pPr>
        <w:pStyle w:val="TableFin"/>
      </w:pPr>
    </w:p>
    <w:p w14:paraId="079E8AD4" w14:textId="77777777"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14:paraId="68408B21" w14:textId="77777777" w:rsidR="002150F8" w:rsidRPr="008E5ED7" w:rsidRDefault="002150F8">
      <w:pPr>
        <w:pStyle w:val="Heading9"/>
      </w:pPr>
      <w:r w:rsidRPr="008E5ED7">
        <w:lastRenderedPageBreak/>
        <w:t>3</w:t>
      </w:r>
    </w:p>
    <w:p w14:paraId="0F265FF6" w14:textId="77777777" w:rsidR="002150F8" w:rsidRPr="008E5ED7" w:rsidRDefault="002150F8" w:rsidP="005A1D51">
      <w:pPr>
        <w:pStyle w:val="Headingb"/>
        <w:spacing w:before="240"/>
      </w:pPr>
      <w:r w:rsidRPr="008E5ED7">
        <w:t>Power-control</w:t>
      </w:r>
    </w:p>
    <w:p w14:paraId="4E3C1438" w14:textId="77777777"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14:paraId="71E0767E" w14:textId="77777777" w:rsidR="006C297C" w:rsidRPr="006C297C" w:rsidRDefault="007C5018" w:rsidP="006C297C">
      <w:r>
        <w:t>1</w:t>
      </w:r>
      <w:r w:rsidR="006C297C" w:rsidRPr="006C297C">
        <w:tab/>
        <w:t xml:space="preserve">The Bureau shall apply the method and procedures contained in § 3.11 of Annex 3 to Appendix </w:t>
      </w:r>
      <w:r w:rsidR="006C297C" w:rsidRPr="006C297C">
        <w:rPr>
          <w:b/>
          <w:bCs/>
        </w:rPr>
        <w:t>30A</w:t>
      </w:r>
      <w:r w:rsidR="006C297C" w:rsidRPr="006C297C">
        <w:t xml:space="preserve"> to calculate the power control value for the relevant assignment at the time of that assignment </w:t>
      </w:r>
      <w:proofErr w:type="gramStart"/>
      <w:r w:rsidR="006C297C" w:rsidRPr="006C297C">
        <w:t>entering into</w:t>
      </w:r>
      <w:proofErr w:type="gramEnd"/>
      <w:r w:rsidR="006C297C" w:rsidRPr="006C297C">
        <w:t xml:space="preserve"> the List. At the same time, the Bureau shall identify any other administrations whose feeder-link Equivalent Protection Margin is reduced due to the use of power control by the subject assignment.  </w:t>
      </w:r>
    </w:p>
    <w:p w14:paraId="4B2EAAEC" w14:textId="77777777" w:rsidR="006C297C" w:rsidRPr="006C297C" w:rsidRDefault="007C5018" w:rsidP="006C297C">
      <w:r>
        <w:t>2</w:t>
      </w:r>
      <w:r w:rsidR="006C297C" w:rsidRPr="006C297C">
        <w:tab/>
        <w:t xml:space="preserve">The Bureau shall consult the notifying administration of the subject assignment as to which value of power control should be used if the submitted value is less than the calculated one. </w:t>
      </w:r>
    </w:p>
    <w:p w14:paraId="585FEFFB" w14:textId="77777777" w:rsidR="006C297C" w:rsidRPr="006C297C" w:rsidRDefault="007C5018" w:rsidP="006C297C">
      <w:r>
        <w:t>3</w:t>
      </w:r>
      <w:r w:rsidR="006C297C" w:rsidRPr="006C297C">
        <w:tab/>
        <w:t xml:space="preserve">The Bureau shall then include the final value of power control for the subject assignment in a Part B Special Section published in accordance with § 4.1.15 of Article 4 of Appendix </w:t>
      </w:r>
      <w:r w:rsidR="006C297C" w:rsidRPr="006C297C">
        <w:rPr>
          <w:b/>
          <w:bCs/>
        </w:rPr>
        <w:t>30A</w:t>
      </w:r>
      <w:r w:rsidR="006C297C" w:rsidRPr="006C297C">
        <w:t>.</w:t>
      </w:r>
    </w:p>
    <w:p w14:paraId="73865EA0" w14:textId="77777777" w:rsidR="002150F8" w:rsidRPr="008E5ED7" w:rsidRDefault="007C5018" w:rsidP="007C5018">
      <w:r>
        <w:t>4</w:t>
      </w:r>
      <w:r w:rsidR="006C297C" w:rsidRPr="006C297C">
        <w:tab/>
        <w:t>When the above-mentioned Part B Special Section is published, the Bureau shall inform the other administrations identified under 1 above of the reduction of their feeder-link Equivalent Protection Margin.</w:t>
      </w:r>
    </w:p>
    <w:p w14:paraId="04E9164A" w14:textId="77777777" w:rsidR="00A83D2F" w:rsidRPr="00A83D2F" w:rsidRDefault="00A83D2F" w:rsidP="006C297C">
      <w:pPr>
        <w:rPr>
          <w:bCs/>
        </w:rPr>
      </w:pPr>
      <w:r w:rsidRPr="00A83D2F">
        <w:rPr>
          <w:b/>
        </w:rPr>
        <w:t>Note</w:t>
      </w:r>
      <w:r w:rsidRPr="007C5018">
        <w:rPr>
          <w:bCs/>
        </w:rPr>
        <w:t>:</w:t>
      </w:r>
      <w:r w:rsidRPr="00A83D2F">
        <w:rPr>
          <w:bCs/>
        </w:rPr>
        <w:t xml:space="preserve"> WRC-15 took the decision related to the </w:t>
      </w:r>
      <w:proofErr w:type="spellStart"/>
      <w:r w:rsidRPr="00A83D2F">
        <w:rPr>
          <w:bCs/>
        </w:rPr>
        <w:t>RoP</w:t>
      </w:r>
      <w:proofErr w:type="spellEnd"/>
      <w:r w:rsidRPr="00A83D2F">
        <w:rPr>
          <w:bCs/>
        </w:rPr>
        <w:t xml:space="preserve">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14:paraId="7D08D997" w14:textId="77777777" w:rsidR="00A83D2F" w:rsidRPr="006C297C" w:rsidRDefault="00A83D2F" w:rsidP="007C5018">
      <w:pPr>
        <w:rPr>
          <w:spacing w:val="-4"/>
          <w:sz w:val="16"/>
          <w:szCs w:val="16"/>
        </w:rPr>
      </w:pPr>
      <w:r w:rsidRPr="006C297C">
        <w:rPr>
          <w:i/>
          <w:iCs/>
          <w:spacing w:val="-4"/>
        </w:rPr>
        <w:t>“WRC-15 clarified that the use of power control should be extend</w:t>
      </w:r>
      <w:r w:rsidR="007C5018">
        <w:rPr>
          <w:i/>
          <w:iCs/>
          <w:spacing w:val="-4"/>
        </w:rPr>
        <w:t xml:space="preserve">ed to assignments in the </w:t>
      </w:r>
      <w:proofErr w:type="gramStart"/>
      <w:r w:rsidR="007C5018">
        <w:rPr>
          <w:i/>
          <w:iCs/>
          <w:spacing w:val="-4"/>
        </w:rPr>
        <w:t>Region</w:t>
      </w:r>
      <w:proofErr w:type="gramEnd"/>
      <w:r w:rsidR="007C5018">
        <w:rPr>
          <w:i/>
          <w:iCs/>
          <w:spacing w:val="-4"/>
        </w:rPr>
        <w:t> </w:t>
      </w:r>
      <w:r w:rsidRPr="006C297C">
        <w:rPr>
          <w:i/>
          <w:iCs/>
          <w:spacing w:val="-4"/>
        </w:rPr>
        <w:t xml:space="preserve">1 and 3 List and the corresponding </w:t>
      </w:r>
      <w:proofErr w:type="spellStart"/>
      <w:r w:rsidRPr="006C297C">
        <w:rPr>
          <w:i/>
          <w:iCs/>
          <w:spacing w:val="-4"/>
        </w:rPr>
        <w:t>RoP</w:t>
      </w:r>
      <w:proofErr w:type="spellEnd"/>
      <w:r w:rsidRPr="006C297C">
        <w:rPr>
          <w:i/>
          <w:iCs/>
          <w:spacing w:val="-4"/>
        </w:rPr>
        <w:t xml:space="preserve"> should be modified accordingly.”</w:t>
      </w:r>
    </w:p>
    <w:p w14:paraId="06CC8A73" w14:textId="77777777" w:rsidR="003754D1" w:rsidRDefault="002150F8" w:rsidP="005A1D51">
      <w:pPr>
        <w:spacing w:before="120"/>
        <w:jc w:val="center"/>
      </w:pPr>
      <w:r w:rsidRPr="008E5ED7">
        <w:t>____________________</w:t>
      </w:r>
    </w:p>
    <w:p w14:paraId="6FE80021" w14:textId="77777777" w:rsidR="00154FD9" w:rsidRDefault="00154FD9" w:rsidP="003754D1">
      <w:pPr>
        <w:jc w:val="center"/>
      </w:pPr>
    </w:p>
    <w:p w14:paraId="40A0DF5D" w14:textId="4ACF2BD1" w:rsidR="00154FD9" w:rsidRPr="008E5ED7" w:rsidRDefault="00154FD9" w:rsidP="00720026">
      <w:pPr>
        <w:sectPr w:rsidR="00154FD9" w:rsidRPr="008E5ED7" w:rsidSect="009107D7">
          <w:footnotePr>
            <w:pos w:val="beneathText"/>
          </w:footnotePr>
          <w:pgSz w:w="11907" w:h="16840" w:code="9"/>
          <w:pgMar w:top="1701" w:right="851" w:bottom="1134" w:left="1985" w:header="720" w:footer="482" w:gutter="0"/>
          <w:cols w:space="720"/>
          <w:vAlign w:val="both"/>
        </w:sectPr>
      </w:pPr>
    </w:p>
    <w:p w14:paraId="76A5D34A" w14:textId="19F44386" w:rsidR="002150F8" w:rsidRPr="008E5ED7" w:rsidRDefault="002150F8" w:rsidP="002E5617"/>
    <w:sectPr w:rsidR="002150F8" w:rsidRPr="008E5ED7" w:rsidSect="008E5ED7">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8447E" w14:textId="77777777" w:rsidR="000B7CD1" w:rsidRDefault="000B7CD1">
      <w:r>
        <w:separator/>
      </w:r>
    </w:p>
  </w:endnote>
  <w:endnote w:type="continuationSeparator" w:id="0">
    <w:p w14:paraId="31246B73" w14:textId="77777777" w:rsidR="000B7CD1" w:rsidRDefault="000B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6FD02" w14:textId="77777777" w:rsidR="000B7CD1" w:rsidRDefault="000B7CD1">
      <w:r>
        <w:rPr>
          <w:b/>
        </w:rPr>
        <w:t>_______________</w:t>
      </w:r>
    </w:p>
  </w:footnote>
  <w:footnote w:type="continuationSeparator" w:id="0">
    <w:p w14:paraId="65D13330" w14:textId="77777777" w:rsidR="000B7CD1" w:rsidRDefault="000B7CD1">
      <w:r>
        <w:continuationSeparator/>
      </w:r>
    </w:p>
  </w:footnote>
  <w:footnote w:id="1">
    <w:p w14:paraId="167407F3" w14:textId="7C1A439A" w:rsidR="00804E0D" w:rsidRPr="001C6974" w:rsidRDefault="00804E0D" w:rsidP="00AC3A33">
      <w:pPr>
        <w:pStyle w:val="FootnoteText"/>
      </w:pPr>
      <w:r>
        <w:rPr>
          <w:rStyle w:val="FootnoteReference"/>
        </w:rPr>
        <w:t>*</w:t>
      </w:r>
      <w:r>
        <w:t xml:space="preserve"> </w:t>
      </w:r>
      <w:r w:rsidRPr="001C6974">
        <w:rPr>
          <w:b/>
          <w:bCs/>
        </w:rPr>
        <w:t>Note:</w:t>
      </w:r>
      <w:r w:rsidRPr="001C6974">
        <w:t xml:space="preserve"> WRC-23 took the following decision on i</w:t>
      </w:r>
      <w:r w:rsidRPr="001C6974">
        <w:rPr>
          <w:rFonts w:eastAsia="Calibri"/>
        </w:rPr>
        <w:t xml:space="preserve">mplementation of modifications to Appendix </w:t>
      </w:r>
      <w:r w:rsidRPr="001C6974">
        <w:rPr>
          <w:rFonts w:eastAsia="Calibri"/>
          <w:b/>
          <w:bCs/>
        </w:rPr>
        <w:t>30A</w:t>
      </w:r>
      <w:r w:rsidRPr="001C6974">
        <w:rPr>
          <w:rFonts w:eastAsia="Calibri"/>
        </w:rPr>
        <w:t xml:space="preserve"> and Appendix</w:t>
      </w:r>
      <w:r>
        <w:rPr>
          <w:rFonts w:eastAsia="Calibri"/>
        </w:rPr>
        <w:t> </w:t>
      </w:r>
      <w:r w:rsidRPr="001C6974">
        <w:rPr>
          <w:rFonts w:eastAsia="Calibri"/>
          <w:b/>
          <w:bCs/>
        </w:rPr>
        <w:t>30B</w:t>
      </w:r>
      <w:r w:rsidRPr="001C6974">
        <w:rPr>
          <w:rFonts w:eastAsia="Calibri"/>
        </w:rPr>
        <w:t xml:space="preserve"> in relation to Topic 7F</w:t>
      </w:r>
      <w:r w:rsidRPr="001C6974">
        <w:t>, see item 15.1 of the Minutes of the 13</w:t>
      </w:r>
      <w:r w:rsidRPr="001C6974">
        <w:rPr>
          <w:vertAlign w:val="superscript"/>
        </w:rPr>
        <w:t>th</w:t>
      </w:r>
      <w:r w:rsidRPr="001C6974">
        <w:t xml:space="preserve"> Plenary meeting, Doc. </w:t>
      </w:r>
      <w:hyperlink r:id="rId1" w:history="1">
        <w:r w:rsidRPr="001C6974">
          <w:rPr>
            <w:rStyle w:val="Hyperlink"/>
          </w:rPr>
          <w:t>CMR23/528</w:t>
        </w:r>
      </w:hyperlink>
      <w:r w:rsidRPr="001C6974">
        <w:t>:</w:t>
      </w:r>
    </w:p>
    <w:p w14:paraId="7C61BA0F" w14:textId="77777777" w:rsidR="00804E0D" w:rsidRPr="001C6974" w:rsidRDefault="00804E0D" w:rsidP="00AC3A33">
      <w:pPr>
        <w:pStyle w:val="FootnoteText"/>
        <w:rPr>
          <w:i/>
          <w:iCs/>
          <w:lang w:val="en-US"/>
        </w:rPr>
      </w:pPr>
      <w:r w:rsidRPr="001C6974">
        <w:rPr>
          <w:i/>
          <w:iCs/>
          <w:lang w:val="en-US"/>
        </w:rPr>
        <w:t>“WRC-23 instructs the Bureau, when receiving a request for assistance from the notifying administrations of national or regional systems in relation to frequency coordination with affected administrations:</w:t>
      </w:r>
    </w:p>
    <w:p w14:paraId="4C2BC7E9" w14:textId="77777777" w:rsidR="00804E0D" w:rsidRPr="001C6974" w:rsidRDefault="00804E0D" w:rsidP="00102440">
      <w:pPr>
        <w:pStyle w:val="FootnoteText"/>
        <w:ind w:left="284" w:hanging="284"/>
        <w:rPr>
          <w:i/>
          <w:iCs/>
          <w:lang w:val="en-US"/>
        </w:rPr>
      </w:pPr>
      <w:r w:rsidRPr="001C6974">
        <w:rPr>
          <w:i/>
          <w:iCs/>
          <w:lang w:val="en-US"/>
        </w:rPr>
        <w:t>–</w:t>
      </w:r>
      <w:r w:rsidRPr="001C6974">
        <w:rPr>
          <w:i/>
          <w:iCs/>
          <w:lang w:val="en-US"/>
        </w:rPr>
        <w:tab/>
        <w:t xml:space="preserve">to assist in preparation of necessary material including but not limited to C/I calculations, interference analysis and link budget </w:t>
      </w:r>
      <w:proofErr w:type="gramStart"/>
      <w:r w:rsidRPr="001C6974">
        <w:rPr>
          <w:i/>
          <w:iCs/>
          <w:lang w:val="en-US"/>
        </w:rPr>
        <w:t>calculations;</w:t>
      </w:r>
      <w:proofErr w:type="gramEnd"/>
    </w:p>
    <w:p w14:paraId="46A1163A" w14:textId="77777777" w:rsidR="00804E0D" w:rsidRPr="00AC3A33" w:rsidRDefault="00804E0D" w:rsidP="00102440">
      <w:pPr>
        <w:pStyle w:val="FootnoteText"/>
        <w:ind w:left="284" w:hanging="284"/>
      </w:pPr>
      <w:r w:rsidRPr="001C6974">
        <w:rPr>
          <w:i/>
          <w:iCs/>
          <w:lang w:val="en-US"/>
        </w:rPr>
        <w:t>–</w:t>
      </w:r>
      <w:r w:rsidRPr="001C6974">
        <w:rPr>
          <w:i/>
          <w:iCs/>
          <w:lang w:val="en-US"/>
        </w:rPr>
        <w:tab/>
        <w:t xml:space="preserve">to participate in such coordination meetings </w:t>
      </w:r>
      <w:proofErr w:type="gramStart"/>
      <w:r w:rsidRPr="001C6974">
        <w:rPr>
          <w:i/>
          <w:iCs/>
          <w:lang w:val="en-US"/>
        </w:rPr>
        <w:t>in order to</w:t>
      </w:r>
      <w:proofErr w:type="gramEnd"/>
      <w:r w:rsidRPr="001C6974">
        <w:rPr>
          <w:i/>
          <w:iCs/>
          <w:lang w:val="en-US"/>
        </w:rPr>
        <w:t xml:space="preserve"> provide support and facilitate technical discussions/negotiations.”</w:t>
      </w:r>
    </w:p>
  </w:footnote>
  <w:footnote w:id="2">
    <w:p w14:paraId="40D07315" w14:textId="77777777"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3">
    <w:p w14:paraId="4B30ECB2" w14:textId="77777777" w:rsidR="00AB75CE" w:rsidRPr="00EB2D2B" w:rsidRDefault="00AB75CE" w:rsidP="00AB75CE">
      <w:pPr>
        <w:pStyle w:val="FootnoteText"/>
        <w:rPr>
          <w:rFonts w:asciiTheme="majorBidi" w:hAnsiTheme="majorBidi" w:cstheme="majorBidi"/>
          <w:sz w:val="22"/>
          <w:szCs w:val="22"/>
          <w:lang w:val="en-US"/>
        </w:rPr>
      </w:pPr>
      <w:r w:rsidRPr="00EB2D2B">
        <w:rPr>
          <w:rStyle w:val="FootnoteReference"/>
          <w:rFonts w:asciiTheme="majorBidi" w:hAnsiTheme="majorBidi" w:cstheme="majorBidi"/>
          <w:sz w:val="22"/>
          <w:szCs w:val="22"/>
        </w:rPr>
        <w:t>1bis</w:t>
      </w:r>
      <w:r w:rsidRPr="00EB2D2B">
        <w:rPr>
          <w:rFonts w:asciiTheme="majorBidi" w:hAnsiTheme="majorBidi" w:cstheme="majorBidi"/>
          <w:sz w:val="22"/>
          <w:szCs w:val="22"/>
        </w:rPr>
        <w:t xml:space="preserve"> The administrations concerned may request the Bureau to use a different master database.</w:t>
      </w:r>
    </w:p>
  </w:footnote>
  <w:footnote w:id="4">
    <w:p w14:paraId="17DBC5CC" w14:textId="77777777"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5">
    <w:p w14:paraId="653FDC6D" w14:textId="77777777"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6">
    <w:p w14:paraId="5DF84013" w14:textId="77777777"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7">
    <w:p w14:paraId="17BF0A1F" w14:textId="77777777" w:rsidR="008E5ED7" w:rsidRDefault="008E5ED7">
      <w:pPr>
        <w:pStyle w:val="FootnoteText"/>
      </w:pPr>
      <w:r>
        <w:rPr>
          <w:rStyle w:val="FootnoteReference"/>
        </w:rPr>
        <w:t>4</w:t>
      </w:r>
      <w:r>
        <w:t xml:space="preserve"> </w:t>
      </w:r>
      <w:r>
        <w:tab/>
        <w:t>As appearing in the appropriate Plan or List, according to the case.</w:t>
      </w:r>
    </w:p>
  </w:footnote>
  <w:footnote w:id="8">
    <w:p w14:paraId="2B8A77F1" w14:textId="77777777" w:rsidR="008E5ED7" w:rsidRDefault="008E5ED7" w:rsidP="007D1AF1">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26AC86A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7880B8" w14:textId="72DBCED8" w:rsidR="00CB4C25" w:rsidRDefault="00CB4C25">
          <w:pPr>
            <w:pStyle w:val="HeaderRegProc"/>
          </w:pPr>
          <w:proofErr w:type="spellStart"/>
          <w:r>
            <w:t>Part</w:t>
          </w:r>
          <w:proofErr w:type="spellEnd"/>
          <w:r>
            <w:t xml:space="preserve"> A</w:t>
          </w:r>
          <w:r>
            <w:fldChar w:fldCharType="begin"/>
          </w:r>
          <w:r>
            <w:instrText>styleref href</w:instrText>
          </w:r>
          <w:r>
            <w:fldChar w:fldCharType="separate"/>
          </w:r>
          <w:r w:rsidR="00F72F3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EFC1E" w14:textId="5AFEE1BC" w:rsidR="00CB4C25" w:rsidRDefault="00804E0D">
          <w:pPr>
            <w:pStyle w:val="HeaderRegProc"/>
            <w:rPr>
              <w:lang w:val="fr-FR"/>
            </w:rPr>
          </w:pPr>
          <w:fldSimple w:instr="DOCPROPERTY &quot;Header1&quot; \* MERGEFORMAT">
            <w:r w:rsidR="00F72F31">
              <w:t>AP</w:t>
            </w:r>
          </w:fldSimple>
          <w:r w:rsidR="00CB4C25">
            <w:fldChar w:fldCharType="begin"/>
          </w:r>
          <w:r w:rsidR="00CB4C25">
            <w:instrText>styleref href2</w:instrText>
          </w:r>
          <w:r w:rsidR="00CB4C25">
            <w:fldChar w:fldCharType="separate"/>
          </w:r>
          <w:r w:rsidR="00F72F31">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AECAF" w14:textId="77777777" w:rsidR="00CB4C25" w:rsidRDefault="00CB4C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66AAA0" w14:textId="409E69E0" w:rsidR="00CB4C25" w:rsidRDefault="00CB4C25" w:rsidP="005C0D0E">
          <w:pPr>
            <w:pStyle w:val="HeaderRegProc"/>
            <w:rPr>
              <w:lang w:val="fr-CH"/>
            </w:rPr>
          </w:pPr>
          <w:proofErr w:type="spellStart"/>
          <w:proofErr w:type="gramStart"/>
          <w:r>
            <w:rPr>
              <w:lang w:val="fr-CH"/>
            </w:rPr>
            <w:t>rev</w:t>
          </w:r>
          <w:proofErr w:type="spellEnd"/>
          <w:proofErr w:type="gramEnd"/>
          <w:r>
            <w:rPr>
              <w:lang w:val="fr-CH"/>
            </w:rPr>
            <w:t>.</w:t>
          </w:r>
          <w:r w:rsidR="00E50A04">
            <w:rPr>
              <w:lang w:val="fr-CH"/>
            </w:rPr>
            <w:t xml:space="preserve"> </w:t>
          </w:r>
          <w:r>
            <w:t>-</w:t>
          </w:r>
        </w:p>
      </w:tc>
    </w:tr>
  </w:tbl>
  <w:p w14:paraId="43B790C9" w14:textId="77777777" w:rsidR="00CB4C25" w:rsidRDefault="00CB4C2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70A8513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A7A380F" w14:textId="0EF611EC" w:rsidR="00CB4C25" w:rsidRDefault="00CB4C25">
          <w:pPr>
            <w:pStyle w:val="HeaderRegProc"/>
          </w:pPr>
          <w:proofErr w:type="spellStart"/>
          <w:r>
            <w:t>Part</w:t>
          </w:r>
          <w:proofErr w:type="spellEnd"/>
          <w:r>
            <w:t xml:space="preserve"> A</w:t>
          </w:r>
          <w:r>
            <w:fldChar w:fldCharType="begin"/>
          </w:r>
          <w:r>
            <w:instrText>styleref href</w:instrText>
          </w:r>
          <w:r>
            <w:fldChar w:fldCharType="separate"/>
          </w:r>
          <w:r w:rsidR="00F72F3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57F13" w14:textId="37B764F2" w:rsidR="00CB4C25" w:rsidRDefault="00804E0D">
          <w:pPr>
            <w:pStyle w:val="HeaderRegProc"/>
            <w:rPr>
              <w:lang w:val="fr-FR"/>
            </w:rPr>
          </w:pPr>
          <w:fldSimple w:instr="DOCPROPERTY &quot;Header1&quot; \* MERGEFORMAT">
            <w:r w:rsidR="00F72F31">
              <w:t>AP</w:t>
            </w:r>
          </w:fldSimple>
          <w:r w:rsidR="00CB4C25">
            <w:fldChar w:fldCharType="begin"/>
          </w:r>
          <w:r w:rsidR="00CB4C25">
            <w:instrText>styleref href2</w:instrText>
          </w:r>
          <w:r w:rsidR="00CB4C25">
            <w:fldChar w:fldCharType="separate"/>
          </w:r>
          <w:r w:rsidR="00F72F31">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8DDD5" w14:textId="77777777" w:rsidR="00CB4C25" w:rsidRDefault="00CB4C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31DBA" w14:textId="7D288A4D" w:rsidR="00CB4C25" w:rsidRDefault="00CB4C25" w:rsidP="007C5018">
          <w:pPr>
            <w:pStyle w:val="HeaderRegProc"/>
            <w:rPr>
              <w:lang w:val="fr-CH"/>
            </w:rPr>
          </w:pPr>
          <w:proofErr w:type="spellStart"/>
          <w:proofErr w:type="gramStart"/>
          <w:r>
            <w:rPr>
              <w:lang w:val="fr-CH"/>
            </w:rPr>
            <w:t>rev</w:t>
          </w:r>
          <w:proofErr w:type="spellEnd"/>
          <w:proofErr w:type="gramEnd"/>
          <w:r>
            <w:rPr>
              <w:lang w:val="fr-CH"/>
            </w:rPr>
            <w:t>.</w:t>
          </w:r>
          <w:r w:rsidR="00E50A04">
            <w:rPr>
              <w:lang w:val="fr-CH"/>
            </w:rPr>
            <w:t xml:space="preserve"> </w:t>
          </w:r>
          <w:r>
            <w:rPr>
              <w:lang w:val="fr-CH"/>
            </w:rPr>
            <w:t>-</w:t>
          </w:r>
        </w:p>
      </w:tc>
    </w:tr>
  </w:tbl>
  <w:p w14:paraId="0441AE37" w14:textId="77777777" w:rsidR="00CB4C25" w:rsidRDefault="00CB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2440" w14:paraId="372F7759"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70817CCA" w14:textId="780562AE" w:rsidR="00102440" w:rsidRDefault="00102440" w:rsidP="00102440">
          <w:pPr>
            <w:pStyle w:val="HeaderRegProc"/>
          </w:pPr>
          <w:proofErr w:type="spellStart"/>
          <w:r>
            <w:t>Part</w:t>
          </w:r>
          <w:proofErr w:type="spellEnd"/>
          <w:r>
            <w:t xml:space="preserve"> A</w:t>
          </w:r>
          <w:r>
            <w:fldChar w:fldCharType="begin"/>
          </w:r>
          <w:r>
            <w:instrText>styleref href</w:instrText>
          </w:r>
          <w:r>
            <w:fldChar w:fldCharType="separate"/>
          </w:r>
          <w:r w:rsidR="00F72F3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9D472C" w14:textId="14E3393A" w:rsidR="00102440" w:rsidRDefault="00804E0D" w:rsidP="00102440">
          <w:pPr>
            <w:pStyle w:val="HeaderRegProc"/>
            <w:rPr>
              <w:lang w:val="fr-FR"/>
            </w:rPr>
          </w:pPr>
          <w:fldSimple w:instr="DOCPROPERTY &quot;Header1&quot; \* MERGEFORMAT">
            <w:r w:rsidR="00F72F31">
              <w:t>AP</w:t>
            </w:r>
          </w:fldSimple>
          <w:r w:rsidR="00102440">
            <w:fldChar w:fldCharType="begin"/>
          </w:r>
          <w:r w:rsidR="00102440">
            <w:instrText>styleref href2</w:instrText>
          </w:r>
          <w:r w:rsidR="00102440">
            <w:fldChar w:fldCharType="separate"/>
          </w:r>
          <w:r w:rsidR="00F72F31">
            <w:rPr>
              <w:noProof/>
            </w:rPr>
            <w:t>30A</w:t>
          </w:r>
          <w:r w:rsidR="0010244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C02B24" w14:textId="77777777" w:rsidR="00102440" w:rsidRDefault="00102440" w:rsidP="0010244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43DAD9" w14:textId="77777777" w:rsidR="00102440" w:rsidRDefault="00102440" w:rsidP="00102440">
          <w:pPr>
            <w:pStyle w:val="HeaderRegProc"/>
            <w:rPr>
              <w:lang w:val="fr-CH"/>
            </w:rPr>
          </w:pPr>
          <w:proofErr w:type="spellStart"/>
          <w:proofErr w:type="gramStart"/>
          <w:r>
            <w:rPr>
              <w:lang w:val="fr-CH"/>
            </w:rPr>
            <w:t>rev</w:t>
          </w:r>
          <w:proofErr w:type="spellEnd"/>
          <w:proofErr w:type="gramEnd"/>
          <w:r>
            <w:rPr>
              <w:lang w:val="fr-CH"/>
            </w:rPr>
            <w:t>. -</w:t>
          </w:r>
        </w:p>
      </w:tc>
    </w:tr>
  </w:tbl>
  <w:p w14:paraId="0F717454" w14:textId="77777777" w:rsidR="00102440" w:rsidRPr="00102440" w:rsidRDefault="00102440" w:rsidP="0010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97CD" w14:textId="77777777" w:rsidR="008E5ED7" w:rsidRDefault="008E5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180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B0D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CEB2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F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C7E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A832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527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7C20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B8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DC4708"/>
    <w:lvl w:ilvl="0">
      <w:start w:val="1"/>
      <w:numFmt w:val="bullet"/>
      <w:lvlText w:val=""/>
      <w:lvlJc w:val="left"/>
      <w:pPr>
        <w:tabs>
          <w:tab w:val="num" w:pos="360"/>
        </w:tabs>
        <w:ind w:left="360" w:hanging="360"/>
      </w:pPr>
      <w:rPr>
        <w:rFonts w:ascii="Symbol" w:hAnsi="Symbol" w:hint="default"/>
      </w:rPr>
    </w:lvl>
  </w:abstractNum>
  <w:num w:numId="1" w16cid:durableId="1196385666">
    <w:abstractNumId w:val="9"/>
  </w:num>
  <w:num w:numId="2" w16cid:durableId="1670132207">
    <w:abstractNumId w:val="7"/>
  </w:num>
  <w:num w:numId="3" w16cid:durableId="375004974">
    <w:abstractNumId w:val="6"/>
  </w:num>
  <w:num w:numId="4" w16cid:durableId="1753163274">
    <w:abstractNumId w:val="5"/>
  </w:num>
  <w:num w:numId="5" w16cid:durableId="208493903">
    <w:abstractNumId w:val="4"/>
  </w:num>
  <w:num w:numId="6" w16cid:durableId="603458521">
    <w:abstractNumId w:val="8"/>
  </w:num>
  <w:num w:numId="7" w16cid:durableId="583682329">
    <w:abstractNumId w:val="3"/>
  </w:num>
  <w:num w:numId="8" w16cid:durableId="2104956114">
    <w:abstractNumId w:val="2"/>
  </w:num>
  <w:num w:numId="9" w16cid:durableId="2109227412">
    <w:abstractNumId w:val="1"/>
  </w:num>
  <w:num w:numId="10" w16cid:durableId="112554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05"/>
    <w:rsid w:val="00020A8C"/>
    <w:rsid w:val="000629B0"/>
    <w:rsid w:val="000757BF"/>
    <w:rsid w:val="000B7CD1"/>
    <w:rsid w:val="000E7EED"/>
    <w:rsid w:val="000F1A13"/>
    <w:rsid w:val="000F40F5"/>
    <w:rsid w:val="00102440"/>
    <w:rsid w:val="00134189"/>
    <w:rsid w:val="00154FD9"/>
    <w:rsid w:val="001665A5"/>
    <w:rsid w:val="00180422"/>
    <w:rsid w:val="001B0114"/>
    <w:rsid w:val="001C54EC"/>
    <w:rsid w:val="001C5CAA"/>
    <w:rsid w:val="002002C7"/>
    <w:rsid w:val="00202C23"/>
    <w:rsid w:val="002150F8"/>
    <w:rsid w:val="00225CAD"/>
    <w:rsid w:val="002417C1"/>
    <w:rsid w:val="002A5B3E"/>
    <w:rsid w:val="002B5A4E"/>
    <w:rsid w:val="002C5179"/>
    <w:rsid w:val="002C5C48"/>
    <w:rsid w:val="002C7F4E"/>
    <w:rsid w:val="002E5617"/>
    <w:rsid w:val="003010BE"/>
    <w:rsid w:val="00312ABF"/>
    <w:rsid w:val="00333F47"/>
    <w:rsid w:val="00335EAA"/>
    <w:rsid w:val="003754D1"/>
    <w:rsid w:val="003C5C02"/>
    <w:rsid w:val="003D6283"/>
    <w:rsid w:val="003E578E"/>
    <w:rsid w:val="0041080B"/>
    <w:rsid w:val="00413A39"/>
    <w:rsid w:val="00447573"/>
    <w:rsid w:val="00452E91"/>
    <w:rsid w:val="00483C8F"/>
    <w:rsid w:val="004C5F41"/>
    <w:rsid w:val="004F3B0F"/>
    <w:rsid w:val="005004AA"/>
    <w:rsid w:val="00534D56"/>
    <w:rsid w:val="00552405"/>
    <w:rsid w:val="00587D88"/>
    <w:rsid w:val="005A1D51"/>
    <w:rsid w:val="005C0D0E"/>
    <w:rsid w:val="005D60D8"/>
    <w:rsid w:val="005D654D"/>
    <w:rsid w:val="005F0B1E"/>
    <w:rsid w:val="005F5BEC"/>
    <w:rsid w:val="00610025"/>
    <w:rsid w:val="0063387C"/>
    <w:rsid w:val="00650CA3"/>
    <w:rsid w:val="0065661F"/>
    <w:rsid w:val="00664725"/>
    <w:rsid w:val="006949ED"/>
    <w:rsid w:val="00695ECC"/>
    <w:rsid w:val="00696A07"/>
    <w:rsid w:val="006C297C"/>
    <w:rsid w:val="006C381B"/>
    <w:rsid w:val="006D6F97"/>
    <w:rsid w:val="006F455E"/>
    <w:rsid w:val="006F4847"/>
    <w:rsid w:val="00720026"/>
    <w:rsid w:val="007327B4"/>
    <w:rsid w:val="00742BFD"/>
    <w:rsid w:val="00777692"/>
    <w:rsid w:val="0079463E"/>
    <w:rsid w:val="007A4967"/>
    <w:rsid w:val="007C5018"/>
    <w:rsid w:val="007D1AF1"/>
    <w:rsid w:val="007F63CA"/>
    <w:rsid w:val="007F64D8"/>
    <w:rsid w:val="00804E0D"/>
    <w:rsid w:val="00825A33"/>
    <w:rsid w:val="00833160"/>
    <w:rsid w:val="0084000E"/>
    <w:rsid w:val="00851B1A"/>
    <w:rsid w:val="00852770"/>
    <w:rsid w:val="00863923"/>
    <w:rsid w:val="008806A1"/>
    <w:rsid w:val="008D1CC7"/>
    <w:rsid w:val="008D5D69"/>
    <w:rsid w:val="008E08D1"/>
    <w:rsid w:val="008E5ED7"/>
    <w:rsid w:val="008F4A3B"/>
    <w:rsid w:val="00906B96"/>
    <w:rsid w:val="009107D7"/>
    <w:rsid w:val="00963257"/>
    <w:rsid w:val="00980072"/>
    <w:rsid w:val="00992CBF"/>
    <w:rsid w:val="009A575F"/>
    <w:rsid w:val="009C7F87"/>
    <w:rsid w:val="00A03C82"/>
    <w:rsid w:val="00A12A25"/>
    <w:rsid w:val="00A3100C"/>
    <w:rsid w:val="00A37191"/>
    <w:rsid w:val="00A6155C"/>
    <w:rsid w:val="00A70933"/>
    <w:rsid w:val="00A83D2F"/>
    <w:rsid w:val="00A90D7E"/>
    <w:rsid w:val="00AB75CE"/>
    <w:rsid w:val="00AC3A33"/>
    <w:rsid w:val="00AD1A4A"/>
    <w:rsid w:val="00AE076A"/>
    <w:rsid w:val="00AE1B87"/>
    <w:rsid w:val="00AE395E"/>
    <w:rsid w:val="00B42744"/>
    <w:rsid w:val="00B62896"/>
    <w:rsid w:val="00B64B45"/>
    <w:rsid w:val="00B82B4C"/>
    <w:rsid w:val="00B844C6"/>
    <w:rsid w:val="00BA2419"/>
    <w:rsid w:val="00BD08EB"/>
    <w:rsid w:val="00C47582"/>
    <w:rsid w:val="00C742A0"/>
    <w:rsid w:val="00C927FD"/>
    <w:rsid w:val="00C96159"/>
    <w:rsid w:val="00CB4C25"/>
    <w:rsid w:val="00D27881"/>
    <w:rsid w:val="00D3196D"/>
    <w:rsid w:val="00D33730"/>
    <w:rsid w:val="00D416CC"/>
    <w:rsid w:val="00D43743"/>
    <w:rsid w:val="00D5786F"/>
    <w:rsid w:val="00D7199F"/>
    <w:rsid w:val="00D72051"/>
    <w:rsid w:val="00D87FA8"/>
    <w:rsid w:val="00DB70CE"/>
    <w:rsid w:val="00DC225F"/>
    <w:rsid w:val="00DE57AE"/>
    <w:rsid w:val="00E27AC6"/>
    <w:rsid w:val="00E50A04"/>
    <w:rsid w:val="00E54063"/>
    <w:rsid w:val="00E65E90"/>
    <w:rsid w:val="00E70951"/>
    <w:rsid w:val="00E748D5"/>
    <w:rsid w:val="00E9061A"/>
    <w:rsid w:val="00E97FCA"/>
    <w:rsid w:val="00EB2D2B"/>
    <w:rsid w:val="00EB4762"/>
    <w:rsid w:val="00EB7CD6"/>
    <w:rsid w:val="00EC6ECF"/>
    <w:rsid w:val="00EC7E46"/>
    <w:rsid w:val="00F0479F"/>
    <w:rsid w:val="00F21AA6"/>
    <w:rsid w:val="00F52123"/>
    <w:rsid w:val="00F72B45"/>
    <w:rsid w:val="00F72F31"/>
    <w:rsid w:val="00F97F1E"/>
    <w:rsid w:val="00FA065E"/>
    <w:rsid w:val="00FA3AFD"/>
    <w:rsid w:val="00FA6239"/>
    <w:rsid w:val="00FC5511"/>
    <w:rsid w:val="00FF6ECB"/>
    <w:rsid w:val="6DF7C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BC1CB"/>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basedOn w:val="Normal"/>
    <w:rsid w:val="00F72B45"/>
    <w:pPr>
      <w:tabs>
        <w:tab w:val="left" w:pos="567"/>
        <w:tab w:val="center" w:pos="3742"/>
        <w:tab w:val="right" w:pos="6974"/>
      </w:tabs>
    </w:pPr>
  </w:style>
  <w:style w:type="paragraph" w:styleId="Header">
    <w:name w:val="header"/>
    <w:basedOn w:val="Normal"/>
    <w:link w:val="HeaderChar"/>
    <w:rsid w:val="00F72B45"/>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F72B45"/>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 w:type="paragraph" w:styleId="Revision">
    <w:name w:val="Revision"/>
    <w:hidden/>
    <w:uiPriority w:val="99"/>
    <w:semiHidden/>
    <w:rsid w:val="006949ED"/>
    <w:rPr>
      <w:sz w:val="24"/>
      <w:lang w:val="en-GB" w:eastAsia="en-US"/>
    </w:rPr>
  </w:style>
  <w:style w:type="paragraph" w:styleId="EndnoteText">
    <w:name w:val="endnote text"/>
    <w:basedOn w:val="Normal"/>
    <w:link w:val="EndnoteTextChar"/>
    <w:semiHidden/>
    <w:unhideWhenUsed/>
    <w:rsid w:val="007F64D8"/>
    <w:pPr>
      <w:spacing w:before="0"/>
    </w:pPr>
    <w:rPr>
      <w:sz w:val="20"/>
    </w:rPr>
  </w:style>
  <w:style w:type="character" w:customStyle="1" w:styleId="EndnoteTextChar">
    <w:name w:val="Endnote Text Char"/>
    <w:basedOn w:val="DefaultParagraphFont"/>
    <w:link w:val="EndnoteText"/>
    <w:semiHidden/>
    <w:rsid w:val="007F64D8"/>
    <w:rPr>
      <w:lang w:val="en-GB" w:eastAsia="en-US"/>
    </w:rPr>
  </w:style>
  <w:style w:type="character" w:styleId="Hyperlink">
    <w:name w:val="Hyperlink"/>
    <w:aliases w:val="CEO_Hyperlink"/>
    <w:basedOn w:val="DefaultParagraphFont"/>
    <w:rsid w:val="00AE1B87"/>
    <w:rPr>
      <w:color w:val="0000FF"/>
      <w:u w:val="single"/>
    </w:rPr>
  </w:style>
  <w:style w:type="character" w:customStyle="1" w:styleId="HeaderChar">
    <w:name w:val="Header Char"/>
    <w:basedOn w:val="DefaultParagraphFont"/>
    <w:link w:val="Header"/>
    <w:rsid w:val="0010244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23-WRC23-C-052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3969C-7EC4-4450-9BFB-10607353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35</TotalTime>
  <Pages>19</Pages>
  <Words>6483</Words>
  <Characters>32872</Characters>
  <Application>Microsoft Office Word</Application>
  <DocSecurity>0</DocSecurity>
  <Lines>1369</Lines>
  <Paragraphs>166</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39189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AP30A</dc:subject>
  <dc:creator/>
  <cp:keywords/>
  <dc:description/>
  <cp:lastModifiedBy>Gachet, Christelle</cp:lastModifiedBy>
  <cp:revision>20</cp:revision>
  <cp:lastPrinted>2025-11-20T12:52:00Z</cp:lastPrinted>
  <dcterms:created xsi:type="dcterms:W3CDTF">2025-11-04T13:37:00Z</dcterms:created>
  <dcterms:modified xsi:type="dcterms:W3CDTF">2025-11-20T12:53:00Z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d9693ad2-1c1d-462f-bd2a-97c41a2a26c2</vt:lpwstr>
  </property>
</Properties>
</file>