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3583C" w14:textId="77777777" w:rsidR="00AF0B7C" w:rsidRPr="002B16E0" w:rsidRDefault="00AF0B7C" w:rsidP="002B16E0">
      <w:pPr>
        <w:pStyle w:val="Heading1"/>
        <w:spacing w:before="300"/>
        <w:jc w:val="center"/>
        <w:rPr>
          <w:color w:val="000000"/>
        </w:rPr>
      </w:pPr>
      <w:r w:rsidRPr="002B16E0">
        <w:rPr>
          <w:color w:val="000000"/>
        </w:rPr>
        <w:t>Rules concerning</w:t>
      </w:r>
    </w:p>
    <w:p w14:paraId="013CEB37" w14:textId="77777777" w:rsidR="00AF0B7C" w:rsidRPr="002B16E0" w:rsidRDefault="00AF0B7C">
      <w:pPr>
        <w:pStyle w:val="Heading2"/>
        <w:jc w:val="center"/>
        <w:rPr>
          <w:color w:val="000000"/>
        </w:rPr>
      </w:pPr>
      <w:r w:rsidRPr="002B16E0">
        <w:rPr>
          <w:color w:val="000000"/>
        </w:rPr>
        <w:t xml:space="preserve">APPENDIX  </w:t>
      </w:r>
      <w:r w:rsidRPr="002B16E0">
        <w:rPr>
          <w:rStyle w:val="href2"/>
          <w:color w:val="000000"/>
        </w:rPr>
        <w:t>4</w:t>
      </w:r>
      <w:r w:rsidRPr="002B16E0">
        <w:rPr>
          <w:color w:val="000000"/>
        </w:rPr>
        <w:t xml:space="preserve"> to the RR</w:t>
      </w:r>
    </w:p>
    <w:p w14:paraId="1918424C" w14:textId="77777777" w:rsidR="00AF0B7C" w:rsidRPr="002B16E0" w:rsidRDefault="00AF0B7C" w:rsidP="002B16E0">
      <w:pPr>
        <w:pStyle w:val="Heading8"/>
        <w:rPr>
          <w:color w:val="000000"/>
        </w:rPr>
      </w:pPr>
      <w:r w:rsidRPr="002B16E0">
        <w:rPr>
          <w:color w:val="000000"/>
        </w:rPr>
        <w:t xml:space="preserve">An. </w:t>
      </w:r>
      <w:r w:rsidRPr="002B16E0">
        <w:rPr>
          <w:rStyle w:val="href"/>
          <w:color w:val="000000"/>
        </w:rPr>
        <w:t>1</w:t>
      </w:r>
    </w:p>
    <w:p w14:paraId="52B4229E" w14:textId="77777777" w:rsidR="00AF0B7C" w:rsidRPr="002B16E0" w:rsidRDefault="00AF0B7C" w:rsidP="002B16E0">
      <w:pPr>
        <w:pStyle w:val="Heading9"/>
        <w:ind w:right="7768"/>
        <w:rPr>
          <w:color w:val="000000"/>
        </w:rPr>
      </w:pPr>
      <w:r w:rsidRPr="002B16E0">
        <w:rPr>
          <w:color w:val="000000"/>
        </w:rPr>
        <w:t>ITEM 3A</w:t>
      </w:r>
      <w:r w:rsidR="009D2D61" w:rsidRPr="002B16E0">
        <w:rPr>
          <w:color w:val="000000"/>
        </w:rPr>
        <w:t>1</w:t>
      </w:r>
    </w:p>
    <w:p w14:paraId="63A0F7E7" w14:textId="41F142F8" w:rsidR="00AF0B7C" w:rsidRDefault="00AF0B7C" w:rsidP="002B16E0">
      <w:pPr>
        <w:rPr>
          <w:color w:val="000000"/>
        </w:rPr>
      </w:pPr>
      <w:r w:rsidRPr="002B16E0">
        <w:rPr>
          <w:color w:val="000000"/>
        </w:rPr>
        <w:t xml:space="preserve">When submitting a notice within the procedure of Article </w:t>
      </w:r>
      <w:r w:rsidRPr="002B16E0">
        <w:rPr>
          <w:rStyle w:val="Artref"/>
          <w:b/>
          <w:color w:val="000000"/>
        </w:rPr>
        <w:t>11</w:t>
      </w:r>
      <w:r w:rsidRPr="002B16E0">
        <w:rPr>
          <w:color w:val="000000"/>
        </w:rPr>
        <w:t>, the administrations are required to provide information on the call sign or other identification used, as requested by Nos.</w:t>
      </w:r>
      <w:r w:rsidR="002B16E0" w:rsidRPr="002B16E0">
        <w:rPr>
          <w:color w:val="000000"/>
        </w:rPr>
        <w:t> </w:t>
      </w:r>
      <w:r w:rsidRPr="002B16E0">
        <w:rPr>
          <w:rStyle w:val="Artref"/>
          <w:b/>
          <w:color w:val="000000"/>
        </w:rPr>
        <w:t>19.7</w:t>
      </w:r>
      <w:r w:rsidRPr="002B16E0">
        <w:rPr>
          <w:color w:val="000000"/>
        </w:rPr>
        <w:t xml:space="preserve"> to </w:t>
      </w:r>
      <w:r w:rsidRPr="002B16E0">
        <w:rPr>
          <w:rStyle w:val="Artref"/>
          <w:b/>
          <w:color w:val="000000"/>
        </w:rPr>
        <w:t>19.9</w:t>
      </w:r>
      <w:r w:rsidR="009D2D61" w:rsidRPr="002B16E0">
        <w:rPr>
          <w:color w:val="000000"/>
        </w:rPr>
        <w:t xml:space="preserve"> and </w:t>
      </w:r>
      <w:r w:rsidR="009D2D61" w:rsidRPr="002B16E0">
        <w:rPr>
          <w:b/>
          <w:bCs/>
          <w:color w:val="000000"/>
        </w:rPr>
        <w:t>19.29</w:t>
      </w:r>
      <w:r w:rsidR="009D2D61" w:rsidRPr="002B16E0">
        <w:rPr>
          <w:color w:val="000000"/>
        </w:rPr>
        <w:t>.</w:t>
      </w:r>
      <w:r w:rsidRPr="002B16E0">
        <w:rPr>
          <w:color w:val="000000"/>
        </w:rPr>
        <w:t xml:space="preserve"> Bearing in mind the variety of special arrangements concluded between administrations concerning notification of frequency assignments, the Board instructed the Bureau not to perform systematic control of the call signs </w:t>
      </w:r>
      <w:r w:rsidR="009D2D61" w:rsidRPr="002B16E0">
        <w:t xml:space="preserve">referred to in No. </w:t>
      </w:r>
      <w:r w:rsidR="009D2D61" w:rsidRPr="002B16E0">
        <w:rPr>
          <w:b/>
          <w:bCs/>
        </w:rPr>
        <w:t>19.29</w:t>
      </w:r>
      <w:r w:rsidR="009D2D61" w:rsidRPr="002B16E0">
        <w:t xml:space="preserve"> </w:t>
      </w:r>
      <w:r w:rsidRPr="002B16E0">
        <w:rPr>
          <w:color w:val="000000"/>
        </w:rPr>
        <w:t>during the validation and examination of the notice. Nevertheless, if non-conformity of the call sign with the international call series is identified, the notifying administration is to be informed thereof.</w:t>
      </w:r>
    </w:p>
    <w:p w14:paraId="66C3C056" w14:textId="37A4AE9B" w:rsidR="00813138" w:rsidRDefault="00813138" w:rsidP="002B16E0">
      <w:pPr>
        <w:rPr>
          <w:color w:val="000000"/>
        </w:rPr>
      </w:pPr>
    </w:p>
    <w:p w14:paraId="43CB401B" w14:textId="0A499758" w:rsidR="00813138" w:rsidRDefault="00813138" w:rsidP="002B16E0">
      <w:pPr>
        <w:rPr>
          <w:color w:val="000000"/>
        </w:rPr>
      </w:pPr>
    </w:p>
    <w:p w14:paraId="443FAFE9" w14:textId="14270E1D" w:rsidR="00813138" w:rsidRDefault="00813138" w:rsidP="002B16E0">
      <w:pPr>
        <w:rPr>
          <w:color w:val="000000"/>
        </w:rPr>
      </w:pPr>
    </w:p>
    <w:p w14:paraId="39552A67" w14:textId="0C6C2D64" w:rsidR="00813138" w:rsidRDefault="00813138" w:rsidP="002B16E0">
      <w:pPr>
        <w:rPr>
          <w:color w:val="000000"/>
        </w:rPr>
      </w:pPr>
    </w:p>
    <w:p w14:paraId="2D1607C2" w14:textId="2A758259" w:rsidR="00813138" w:rsidRDefault="00813138" w:rsidP="002B16E0">
      <w:pPr>
        <w:rPr>
          <w:color w:val="000000"/>
        </w:rPr>
      </w:pPr>
    </w:p>
    <w:p w14:paraId="79166705" w14:textId="7B69C340" w:rsidR="00813138" w:rsidRDefault="00813138" w:rsidP="002B16E0">
      <w:pPr>
        <w:rPr>
          <w:color w:val="000000"/>
        </w:rPr>
      </w:pPr>
    </w:p>
    <w:p w14:paraId="23746DB5" w14:textId="77777777" w:rsidR="00813138" w:rsidRDefault="00813138" w:rsidP="002B16E0">
      <w:pPr>
        <w:rPr>
          <w:color w:val="000000"/>
        </w:rPr>
      </w:pPr>
    </w:p>
    <w:p w14:paraId="0146D6C3" w14:textId="77777777" w:rsidR="00330C6D" w:rsidRDefault="00330C6D" w:rsidP="00813138">
      <w:pPr>
        <w:tabs>
          <w:tab w:val="clear" w:pos="1134"/>
          <w:tab w:val="clear" w:pos="1871"/>
          <w:tab w:val="clear" w:pos="2268"/>
        </w:tabs>
        <w:overflowPunct/>
        <w:autoSpaceDE/>
        <w:autoSpaceDN/>
        <w:adjustRightInd/>
        <w:spacing w:before="0"/>
        <w:jc w:val="left"/>
        <w:textAlignment w:val="auto"/>
        <w:rPr>
          <w:color w:val="000000"/>
        </w:rPr>
        <w:sectPr w:rsidR="00330C6D" w:rsidSect="00D662CC">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14:paraId="5B5B12EE" w14:textId="5A5ABADA" w:rsidR="009B2B0E" w:rsidRPr="00813138" w:rsidRDefault="009B2B0E" w:rsidP="009B2B0E">
      <w:pPr>
        <w:pStyle w:val="Heading8"/>
        <w:rPr>
          <w:color w:val="000000"/>
        </w:rPr>
      </w:pPr>
      <w:r w:rsidRPr="002B16E0">
        <w:rPr>
          <w:color w:val="000000"/>
        </w:rPr>
        <w:lastRenderedPageBreak/>
        <w:t xml:space="preserve">An. </w:t>
      </w:r>
      <w:r w:rsidRPr="00206D9F">
        <w:t>2</w:t>
      </w:r>
    </w:p>
    <w:p w14:paraId="4A9D85CE" w14:textId="0F45053E" w:rsidR="0060703D" w:rsidRPr="00354B62" w:rsidRDefault="0060703D" w:rsidP="0060703D">
      <w:pPr>
        <w:pStyle w:val="Heading9"/>
        <w:ind w:right="7768"/>
        <w:rPr>
          <w:color w:val="000000"/>
        </w:rPr>
      </w:pPr>
      <w:r w:rsidRPr="00C07138">
        <w:rPr>
          <w:color w:val="000000"/>
        </w:rPr>
        <w:t>A.</w:t>
      </w:r>
      <w:r>
        <w:rPr>
          <w:color w:val="000000"/>
        </w:rPr>
        <w:t>4.b.7</w:t>
      </w:r>
      <w:r w:rsidRPr="00C07138">
        <w:rPr>
          <w:color w:val="000000"/>
        </w:rPr>
        <w:t>.d</w:t>
      </w:r>
      <w:r>
        <w:rPr>
          <w:color w:val="000000"/>
        </w:rPr>
        <w:t>.1</w:t>
      </w:r>
      <w:r w:rsidR="009737BD">
        <w:rPr>
          <w:color w:val="000000"/>
        </w:rPr>
        <w:tab/>
      </w:r>
    </w:p>
    <w:p w14:paraId="18231F1B" w14:textId="77777777" w:rsidR="0060703D" w:rsidRPr="003F0D25" w:rsidRDefault="0060703D" w:rsidP="0060703D">
      <w:pPr>
        <w:spacing w:before="160" w:line="280" w:lineRule="exact"/>
        <w:rPr>
          <w:rFonts w:asciiTheme="majorBidi" w:hAnsiTheme="majorBidi" w:cstheme="majorBidi"/>
          <w:szCs w:val="22"/>
        </w:rPr>
      </w:pPr>
      <w:r w:rsidRPr="003F0D25">
        <w:rPr>
          <w:rFonts w:asciiTheme="majorBidi" w:hAnsiTheme="majorBidi" w:cstheme="majorBidi"/>
          <w:szCs w:val="22"/>
        </w:rPr>
        <w:t>The Board noted that the World Radiocommunication Conference (Dubai, 2023) had modified data item A.14.c.4, i.e. the type of mask, among one of the following types: (Earth-based exclusion zone angle, difference in longitude, latitude) or (satellite azimuth, satellite elevation, latitude mean power)</w:t>
      </w:r>
      <w:r w:rsidRPr="003F0D25">
        <w:rPr>
          <w:rFonts w:asciiTheme="majorBidi" w:hAnsiTheme="majorBidi" w:cstheme="majorBidi"/>
        </w:rPr>
        <w:t>,</w:t>
      </w:r>
      <w:r w:rsidRPr="003F0D25">
        <w:rPr>
          <w:rFonts w:asciiTheme="majorBidi" w:hAnsiTheme="majorBidi" w:cstheme="majorBidi"/>
          <w:szCs w:val="22"/>
        </w:rPr>
        <w:t xml:space="preserve"> to remove the reference to satellite-based exclusion zone angle and difference in longitude, latitude – the so-called X-DeltaLongitude mask. The change was made following the publication of Recommendation ITU-R S.1503-4, which had removed that type of mask. </w:t>
      </w:r>
    </w:p>
    <w:p w14:paraId="166D1E89" w14:textId="77777777" w:rsidR="0060703D" w:rsidRPr="003F0D25" w:rsidRDefault="0060703D" w:rsidP="0060703D">
      <w:pPr>
        <w:spacing w:before="160" w:line="280" w:lineRule="exact"/>
        <w:rPr>
          <w:rFonts w:asciiTheme="majorBidi" w:hAnsiTheme="majorBidi" w:cstheme="majorBidi"/>
          <w:i/>
          <w:iCs/>
          <w:szCs w:val="22"/>
        </w:rPr>
      </w:pPr>
      <w:r w:rsidRPr="003F0D25">
        <w:rPr>
          <w:rFonts w:asciiTheme="majorBidi" w:hAnsiTheme="majorBidi" w:cstheme="majorBidi"/>
          <w:szCs w:val="22"/>
        </w:rPr>
        <w:t>The Board further noted that Recommendation ITU</w:t>
      </w:r>
      <w:r w:rsidRPr="003F0D25">
        <w:rPr>
          <w:rFonts w:asciiTheme="majorBidi" w:hAnsiTheme="majorBidi" w:cstheme="majorBidi"/>
          <w:szCs w:val="22"/>
        </w:rPr>
        <w:noBreakHyphen/>
        <w:t>R S.1503</w:t>
      </w:r>
      <w:r w:rsidRPr="003F0D25">
        <w:rPr>
          <w:rFonts w:asciiTheme="majorBidi" w:hAnsiTheme="majorBidi" w:cstheme="majorBidi"/>
          <w:szCs w:val="22"/>
        </w:rPr>
        <w:noBreakHyphen/>
        <w:t xml:space="preserve">4 also limited type of exclusion zone to only Earth-based exclusion zone by removing the satellite-based exclusion zone method; however, no change had been made to the description of item A.4.b.7.d.1 – </w:t>
      </w:r>
      <w:r w:rsidRPr="003F0D25">
        <w:rPr>
          <w:rFonts w:asciiTheme="majorBidi" w:hAnsiTheme="majorBidi" w:cstheme="majorBidi"/>
          <w:i/>
          <w:iCs/>
          <w:szCs w:val="22"/>
        </w:rPr>
        <w:t>the type of zone (based on topocentric angle or satellite-based angle for establishing the exclusion zone).</w:t>
      </w:r>
    </w:p>
    <w:p w14:paraId="73392B6F" w14:textId="77777777" w:rsidR="0060703D" w:rsidRPr="003F0D25" w:rsidRDefault="0060703D" w:rsidP="0060703D">
      <w:pPr>
        <w:spacing w:before="160" w:line="280" w:lineRule="exact"/>
        <w:rPr>
          <w:rFonts w:asciiTheme="majorBidi" w:hAnsiTheme="majorBidi" w:cstheme="majorBidi"/>
          <w:bCs/>
          <w:szCs w:val="22"/>
        </w:rPr>
      </w:pPr>
      <w:r w:rsidRPr="003F0D25">
        <w:rPr>
          <w:rFonts w:asciiTheme="majorBidi" w:hAnsiTheme="majorBidi" w:cstheme="majorBidi"/>
          <w:szCs w:val="22"/>
        </w:rPr>
        <w:t xml:space="preserve">Since only one type of exclusion zone, which shall be </w:t>
      </w:r>
      <w:r w:rsidRPr="003F0D25">
        <w:rPr>
          <w:rFonts w:asciiTheme="majorBidi" w:hAnsiTheme="majorBidi" w:cstheme="majorBidi"/>
          <w:szCs w:val="28"/>
        </w:rPr>
        <w:t xml:space="preserve">Earth-based (i.e. </w:t>
      </w:r>
      <w:r w:rsidRPr="003F0D25">
        <w:rPr>
          <w:rFonts w:asciiTheme="majorBidi" w:hAnsiTheme="majorBidi" w:cstheme="majorBidi"/>
          <w:szCs w:val="22"/>
        </w:rPr>
        <w:t xml:space="preserve">based on topocentric angle), can be used, the </w:t>
      </w:r>
      <w:r w:rsidRPr="003F0D25">
        <w:rPr>
          <w:rFonts w:asciiTheme="majorBidi" w:hAnsiTheme="majorBidi" w:cstheme="majorBidi"/>
          <w:bCs/>
          <w:szCs w:val="22"/>
        </w:rPr>
        <w:t>Board decided that notifying Administrations are not required to submit data item </w:t>
      </w:r>
      <w:r w:rsidRPr="003F0D25">
        <w:rPr>
          <w:rFonts w:asciiTheme="majorBidi" w:hAnsiTheme="majorBidi" w:cstheme="majorBidi"/>
          <w:szCs w:val="22"/>
        </w:rPr>
        <w:t>A.4.b.7.d.1 and that the Bureau shall apply the Earth-based exclusion zone method</w:t>
      </w:r>
      <w:r w:rsidRPr="003F0D25">
        <w:rPr>
          <w:rFonts w:asciiTheme="majorBidi" w:hAnsiTheme="majorBidi" w:cstheme="majorBidi"/>
          <w:szCs w:val="28"/>
        </w:rPr>
        <w:t xml:space="preserve"> for all notices received as of 1 January 2025.</w:t>
      </w:r>
    </w:p>
    <w:p w14:paraId="1CD23260" w14:textId="77777777" w:rsidR="00AF0B7C" w:rsidRPr="002B16E0" w:rsidRDefault="00AF0B7C">
      <w:pPr>
        <w:pStyle w:val="Heading9"/>
      </w:pPr>
      <w:r w:rsidRPr="002B16E0">
        <w:t xml:space="preserve">A.18 </w:t>
      </w:r>
      <w:r w:rsidRPr="002B16E0">
        <w:rPr>
          <w:i/>
          <w:iCs/>
        </w:rPr>
        <w:t>a)</w:t>
      </w:r>
    </w:p>
    <w:p w14:paraId="46E359FA" w14:textId="77777777" w:rsidR="00AF0B7C" w:rsidRPr="002B16E0" w:rsidRDefault="00AF0B7C" w:rsidP="002B16E0">
      <w:pPr>
        <w:rPr>
          <w:rStyle w:val="Appref0"/>
          <w:bCs/>
          <w:color w:val="000000"/>
        </w:rPr>
      </w:pPr>
      <w:r w:rsidRPr="002B16E0">
        <w:rPr>
          <w:color w:val="000000"/>
        </w:rPr>
        <w:t xml:space="preserve">The Board noted that the description of Annex 2 of Appendix </w:t>
      </w:r>
      <w:r w:rsidRPr="002B16E0">
        <w:rPr>
          <w:rStyle w:val="Appref"/>
          <w:b/>
          <w:color w:val="000000"/>
        </w:rPr>
        <w:t>4</w:t>
      </w:r>
      <w:r w:rsidRPr="002B16E0">
        <w:rPr>
          <w:rStyle w:val="Appref0"/>
          <w:bCs/>
          <w:color w:val="000000"/>
        </w:rPr>
        <w:t>,</w:t>
      </w:r>
      <w:r w:rsidRPr="002B16E0">
        <w:rPr>
          <w:rStyle w:val="Appref0"/>
          <w:b/>
          <w:color w:val="000000"/>
        </w:rPr>
        <w:t xml:space="preserve">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a)</w:t>
      </w:r>
      <w:r w:rsidRPr="002B16E0">
        <w:rPr>
          <w:rStyle w:val="Appref0"/>
          <w:bCs/>
          <w:color w:val="000000"/>
        </w:rPr>
        <w:t xml:space="preserve"> corresponds to the commitment required from an administration in the case of the possible communication of </w:t>
      </w:r>
      <w:r w:rsidRPr="002B16E0">
        <w:rPr>
          <w:color w:val="000000"/>
        </w:rPr>
        <w:t>aircraft earth stations in the secondary aeronautical mobile-satellite service with space stations in the fixed-satellite service</w:t>
      </w:r>
      <w:r w:rsidRPr="002B16E0">
        <w:rPr>
          <w:rStyle w:val="Appref0"/>
          <w:bCs/>
          <w:color w:val="000000"/>
        </w:rPr>
        <w:t xml:space="preserve">, in accordance with No. </w:t>
      </w:r>
      <w:r w:rsidRPr="002B16E0">
        <w:rPr>
          <w:rStyle w:val="Artref"/>
          <w:b/>
          <w:color w:val="000000"/>
        </w:rPr>
        <w:t>5.504A</w:t>
      </w:r>
      <w:r w:rsidRPr="002B16E0">
        <w:rPr>
          <w:rStyle w:val="Appref0"/>
          <w:bCs/>
          <w:color w:val="000000"/>
        </w:rPr>
        <w:t>. The Board further noted that this data element is mandatory in the case of submission of notification or coordination of a geostationary or a non-geostationary satellite network.</w:t>
      </w:r>
    </w:p>
    <w:p w14:paraId="1AFFA224" w14:textId="77777777" w:rsidR="00AF0B7C" w:rsidRPr="002B16E0" w:rsidRDefault="00AF0B7C" w:rsidP="002B16E0">
      <w:pPr>
        <w:rPr>
          <w:color w:val="000000"/>
        </w:rPr>
      </w:pPr>
      <w:r w:rsidRPr="002B16E0">
        <w:rPr>
          <w:rStyle w:val="Appref0"/>
          <w:bCs/>
          <w:color w:val="000000"/>
        </w:rPr>
        <w:t xml:space="preserve">However, this data element is also required to check under No. </w:t>
      </w:r>
      <w:r w:rsidRPr="002B16E0">
        <w:rPr>
          <w:rStyle w:val="Artref"/>
          <w:b/>
          <w:color w:val="000000"/>
        </w:rPr>
        <w:t>11.31</w:t>
      </w:r>
      <w:r w:rsidRPr="002B16E0">
        <w:rPr>
          <w:rStyle w:val="Appref0"/>
          <w:bCs/>
          <w:color w:val="000000"/>
        </w:rPr>
        <w:t xml:space="preserve"> the compliance with respect to No. </w:t>
      </w:r>
      <w:r w:rsidRPr="002B16E0">
        <w:rPr>
          <w:rStyle w:val="Artref"/>
          <w:b/>
          <w:color w:val="000000"/>
        </w:rPr>
        <w:t>5.504A</w:t>
      </w:r>
      <w:r w:rsidRPr="002B16E0">
        <w:rPr>
          <w:rStyle w:val="Appref0"/>
          <w:b/>
          <w:color w:val="000000"/>
        </w:rPr>
        <w:t xml:space="preserve"> </w:t>
      </w:r>
      <w:r w:rsidRPr="002B16E0">
        <w:rPr>
          <w:rStyle w:val="Appref0"/>
          <w:bCs/>
          <w:color w:val="000000"/>
        </w:rPr>
        <w:t xml:space="preserve">of the notification of an </w:t>
      </w:r>
      <w:r w:rsidRPr="002B16E0">
        <w:rPr>
          <w:color w:val="000000"/>
        </w:rPr>
        <w:t>aircraft earth station in the secondary aeronautical mobile-satellite service communicating with a space station in the fixed-satellite service</w:t>
      </w:r>
      <w:r w:rsidRPr="002B16E0">
        <w:rPr>
          <w:rStyle w:val="Appref0"/>
          <w:bCs/>
          <w:color w:val="000000"/>
        </w:rPr>
        <w:t xml:space="preserve">. This requirement </w:t>
      </w:r>
      <w:r w:rsidRPr="002B16E0">
        <w:rPr>
          <w:color w:val="000000"/>
        </w:rPr>
        <w:t>was probably omitted by inadvertence at WRC</w:t>
      </w:r>
      <w:r w:rsidR="002B16E0" w:rsidRPr="002B16E0">
        <w:noBreakHyphen/>
      </w:r>
      <w:r w:rsidRPr="002B16E0">
        <w:rPr>
          <w:color w:val="000000"/>
        </w:rPr>
        <w:t>03.</w:t>
      </w:r>
    </w:p>
    <w:p w14:paraId="5BFBFC25" w14:textId="4D3A00EC" w:rsidR="00AF0B7C" w:rsidRDefault="00AF0B7C" w:rsidP="002B16E0">
      <w:pPr>
        <w:rPr>
          <w:color w:val="000000"/>
        </w:rPr>
      </w:pPr>
      <w:r w:rsidRPr="002B16E0">
        <w:rPr>
          <w:color w:val="000000"/>
        </w:rPr>
        <w:t xml:space="preserve">To correct this inconsistency, the Board decided that the Administrations will be requested to provide, in addition to the relevant characteristics listed in Appendix </w:t>
      </w:r>
      <w:r w:rsidRPr="002B16E0">
        <w:rPr>
          <w:rStyle w:val="Appref"/>
          <w:b/>
          <w:color w:val="000000"/>
        </w:rPr>
        <w:t>4</w:t>
      </w:r>
      <w:r w:rsidRPr="002B16E0">
        <w:rPr>
          <w:color w:val="000000"/>
        </w:rPr>
        <w:t xml:space="preserve">, the data element described in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 xml:space="preserve">a) </w:t>
      </w:r>
      <w:r w:rsidRPr="002B16E0">
        <w:rPr>
          <w:color w:val="000000"/>
        </w:rPr>
        <w:t xml:space="preserve">of Annex 2 of Appendix </w:t>
      </w:r>
      <w:r w:rsidRPr="002B16E0">
        <w:rPr>
          <w:rStyle w:val="Appref"/>
          <w:b/>
          <w:color w:val="000000"/>
        </w:rPr>
        <w:t>4</w:t>
      </w:r>
      <w:r w:rsidRPr="002B16E0">
        <w:rPr>
          <w:color w:val="000000"/>
        </w:rPr>
        <w:t xml:space="preserve">, when submitting </w:t>
      </w:r>
      <w:r w:rsidRPr="002B16E0">
        <w:rPr>
          <w:rStyle w:val="Appref0"/>
          <w:bCs/>
          <w:color w:val="000000"/>
        </w:rPr>
        <w:t>the notification infor</w:t>
      </w:r>
      <w:r w:rsidR="002B16E0" w:rsidRPr="002B16E0">
        <w:rPr>
          <w:rStyle w:val="Appref0"/>
          <w:bCs/>
          <w:color w:val="000000"/>
        </w:rPr>
        <w:softHyphen/>
      </w:r>
      <w:r w:rsidRPr="002B16E0">
        <w:rPr>
          <w:rStyle w:val="Appref0"/>
          <w:bCs/>
          <w:color w:val="000000"/>
        </w:rPr>
        <w:t xml:space="preserve">mation of an </w:t>
      </w:r>
      <w:r w:rsidRPr="002B16E0">
        <w:rPr>
          <w:color w:val="000000"/>
        </w:rPr>
        <w:t>aircraft earth station in the secondary aeronautical mobile-satellite service com</w:t>
      </w:r>
      <w:r w:rsidR="002B16E0" w:rsidRPr="002B16E0">
        <w:rPr>
          <w:color w:val="000000"/>
        </w:rPr>
        <w:softHyphen/>
      </w:r>
      <w:r w:rsidRPr="002B16E0">
        <w:rPr>
          <w:color w:val="000000"/>
        </w:rPr>
        <w:t xml:space="preserve">municating with a space station in the fixed-satellite service in accordance with </w:t>
      </w:r>
      <w:r w:rsidRPr="002B16E0">
        <w:rPr>
          <w:rStyle w:val="Appref0"/>
          <w:bCs/>
          <w:color w:val="000000"/>
        </w:rPr>
        <w:t>No. </w:t>
      </w:r>
      <w:r w:rsidRPr="002B16E0">
        <w:rPr>
          <w:rStyle w:val="Artref"/>
          <w:b/>
          <w:color w:val="000000"/>
        </w:rPr>
        <w:t>5.504A</w:t>
      </w:r>
      <w:r w:rsidRPr="002B16E0">
        <w:rPr>
          <w:color w:val="000000"/>
        </w:rPr>
        <w:t>. The Bureau will then subsequently take account of this data element §</w:t>
      </w:r>
      <w:r w:rsidR="002B16E0" w:rsidRPr="002B16E0">
        <w:rPr>
          <w:color w:val="000000"/>
        </w:rPr>
        <w:t> </w:t>
      </w:r>
      <w:r w:rsidRPr="002B16E0">
        <w:rPr>
          <w:color w:val="000000"/>
        </w:rPr>
        <w:t>A.18</w:t>
      </w:r>
      <w:r w:rsidR="002B16E0" w:rsidRPr="002B16E0">
        <w:rPr>
          <w:color w:val="000000"/>
        </w:rPr>
        <w:t xml:space="preserve"> </w:t>
      </w:r>
      <w:r w:rsidRPr="002B16E0">
        <w:rPr>
          <w:i/>
          <w:iCs/>
          <w:color w:val="000000"/>
        </w:rPr>
        <w:t>a)</w:t>
      </w:r>
      <w:r w:rsidRPr="002B16E0">
        <w:rPr>
          <w:color w:val="000000"/>
        </w:rPr>
        <w:t xml:space="preserve"> in its com</w:t>
      </w:r>
      <w:r w:rsidR="002B16E0" w:rsidRPr="002B16E0">
        <w:rPr>
          <w:color w:val="000000"/>
        </w:rPr>
        <w:softHyphen/>
      </w:r>
      <w:r w:rsidRPr="002B16E0">
        <w:rPr>
          <w:color w:val="000000"/>
        </w:rPr>
        <w:t>pleteness check of the submitted data.</w:t>
      </w:r>
    </w:p>
    <w:p w14:paraId="6EDA1FAD" w14:textId="49F77E6B" w:rsidR="00F82642" w:rsidRDefault="00F82642" w:rsidP="002B16E0">
      <w:pPr>
        <w:rPr>
          <w:color w:val="000000"/>
        </w:rPr>
      </w:pPr>
      <w:r>
        <w:rPr>
          <w:color w:val="000000"/>
        </w:rPr>
        <w:br w:type="page"/>
      </w:r>
    </w:p>
    <w:p w14:paraId="140EC733" w14:textId="79FE1411" w:rsidR="005B0B8B" w:rsidRPr="00F82642" w:rsidRDefault="005B0B8B" w:rsidP="005B0B8B">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lastRenderedPageBreak/>
        <w:t>A.27.b</w:t>
      </w:r>
      <w:r w:rsidR="00466A49">
        <w:rPr>
          <w:rFonts w:asciiTheme="majorBidi" w:hAnsiTheme="majorBidi" w:cstheme="majorBidi"/>
          <w:b/>
          <w:color w:val="000000"/>
          <w:szCs w:val="22"/>
        </w:rPr>
        <w:tab/>
      </w:r>
      <w:r w:rsidR="00466A49">
        <w:rPr>
          <w:rFonts w:asciiTheme="majorBidi" w:hAnsiTheme="majorBidi" w:cstheme="majorBidi"/>
          <w:b/>
          <w:color w:val="000000"/>
          <w:szCs w:val="22"/>
        </w:rPr>
        <w:tab/>
      </w:r>
    </w:p>
    <w:p w14:paraId="15FC9A8A" w14:textId="77777777" w:rsidR="005B0B8B" w:rsidRPr="00F82642" w:rsidRDefault="005B0B8B" w:rsidP="005B0B8B">
      <w:pPr>
        <w:spacing w:before="160" w:line="280" w:lineRule="exact"/>
        <w:rPr>
          <w:rFonts w:asciiTheme="majorBidi" w:hAnsiTheme="majorBidi" w:cstheme="majorBidi"/>
          <w:bCs/>
          <w:szCs w:val="22"/>
        </w:rPr>
      </w:pPr>
      <w:r w:rsidRPr="00F82642">
        <w:rPr>
          <w:rFonts w:asciiTheme="majorBidi" w:hAnsiTheme="majorBidi" w:cstheme="majorBidi"/>
          <w:szCs w:val="22"/>
        </w:rPr>
        <w:t xml:space="preserve">The Board noted that </w:t>
      </w:r>
      <w:r w:rsidRPr="00F82642">
        <w:rPr>
          <w:rFonts w:asciiTheme="majorBidi" w:hAnsiTheme="majorBidi" w:cstheme="majorBidi"/>
          <w:bCs/>
          <w:color w:val="000000"/>
          <w:szCs w:val="22"/>
          <w:lang w:eastAsia="zh-CN"/>
        </w:rPr>
        <w:t>item </w:t>
      </w:r>
      <w:r w:rsidRPr="00F82642">
        <w:rPr>
          <w:rFonts w:asciiTheme="majorBidi" w:hAnsiTheme="majorBidi" w:cstheme="majorBidi"/>
          <w:bCs/>
          <w:color w:val="000000"/>
          <w:szCs w:val="22"/>
        </w:rPr>
        <w:t>A.27.b under Annex 2 to Appendix</w:t>
      </w:r>
      <w:r w:rsidRPr="00F82642">
        <w:rPr>
          <w:rFonts w:asciiTheme="majorBidi" w:hAnsiTheme="majorBidi" w:cstheme="majorBidi"/>
          <w:b/>
          <w:color w:val="000000"/>
          <w:szCs w:val="22"/>
        </w:rPr>
        <w:t> 4</w:t>
      </w:r>
      <w:r w:rsidRPr="00F82642">
        <w:rPr>
          <w:rFonts w:asciiTheme="majorBidi" w:hAnsiTheme="majorBidi" w:cstheme="majorBidi"/>
          <w:bCs/>
          <w:color w:val="000000"/>
          <w:szCs w:val="22"/>
        </w:rPr>
        <w:t xml:space="preserve"> is required only for non-geostationary-satellite orbit (non-GSO) space stations submitted in accordance with Resolution </w:t>
      </w:r>
      <w:r w:rsidRPr="00F82642">
        <w:rPr>
          <w:rFonts w:asciiTheme="majorBidi" w:hAnsiTheme="majorBidi" w:cstheme="majorBidi"/>
          <w:b/>
          <w:color w:val="000000"/>
          <w:szCs w:val="22"/>
        </w:rPr>
        <w:t>679</w:t>
      </w:r>
      <w:r w:rsidRPr="00F82642">
        <w:rPr>
          <w:rFonts w:asciiTheme="majorBidi" w:hAnsiTheme="majorBidi" w:cstheme="majorBidi"/>
          <w:bCs/>
          <w:color w:val="000000"/>
          <w:szCs w:val="22"/>
        </w:rPr>
        <w:t xml:space="preserve"> (</w:t>
      </w:r>
      <w:r w:rsidRPr="00F82642">
        <w:rPr>
          <w:rFonts w:asciiTheme="majorBidi" w:hAnsiTheme="majorBidi" w:cstheme="majorBidi"/>
          <w:b/>
          <w:color w:val="000000"/>
          <w:szCs w:val="22"/>
        </w:rPr>
        <w:t>WRC</w:t>
      </w:r>
      <w:r w:rsidRPr="00F82642">
        <w:rPr>
          <w:rFonts w:asciiTheme="majorBidi" w:hAnsiTheme="majorBidi" w:cstheme="majorBidi"/>
          <w:b/>
          <w:color w:val="000000"/>
          <w:szCs w:val="22"/>
        </w:rPr>
        <w:noBreakHyphen/>
        <w:t>23</w:t>
      </w:r>
      <w:r w:rsidRPr="00F82642">
        <w:rPr>
          <w:rFonts w:asciiTheme="majorBidi" w:hAnsiTheme="majorBidi" w:cstheme="majorBidi"/>
          <w:bCs/>
          <w:color w:val="000000"/>
          <w:szCs w:val="22"/>
        </w:rPr>
        <w:t>).</w:t>
      </w:r>
    </w:p>
    <w:p w14:paraId="16C15DA7" w14:textId="77777777" w:rsidR="005B0B8B" w:rsidRPr="00F82642" w:rsidRDefault="005B0B8B" w:rsidP="005B0B8B">
      <w:pPr>
        <w:spacing w:before="160" w:line="280" w:lineRule="exact"/>
        <w:rPr>
          <w:rFonts w:asciiTheme="majorBidi" w:hAnsiTheme="majorBidi" w:cstheme="majorBidi"/>
          <w:bCs/>
          <w:color w:val="000000"/>
          <w:szCs w:val="22"/>
        </w:rPr>
      </w:pPr>
      <w:r w:rsidRPr="00F82642">
        <w:rPr>
          <w:rFonts w:asciiTheme="majorBidi" w:hAnsiTheme="majorBidi" w:cstheme="majorBidi"/>
          <w:bCs/>
          <w:color w:val="000000"/>
          <w:szCs w:val="22"/>
        </w:rPr>
        <w:t xml:space="preserve">The description of the item shares similarities with the text of </w:t>
      </w:r>
      <w:r w:rsidRPr="00F82642">
        <w:rPr>
          <w:rFonts w:asciiTheme="majorBidi" w:hAnsiTheme="majorBidi" w:cstheme="majorBidi"/>
          <w:bCs/>
          <w:i/>
          <w:iCs/>
          <w:color w:val="000000"/>
          <w:szCs w:val="22"/>
        </w:rPr>
        <w:t>further resolves 2</w:t>
      </w:r>
      <w:r w:rsidRPr="00F82642">
        <w:rPr>
          <w:rFonts w:asciiTheme="majorBidi" w:hAnsiTheme="majorBidi" w:cstheme="majorBidi"/>
          <w:bCs/>
          <w:color w:val="000000"/>
          <w:szCs w:val="22"/>
        </w:rPr>
        <w:t xml:space="preserve"> of Resolution </w:t>
      </w:r>
      <w:r w:rsidRPr="00F82642">
        <w:rPr>
          <w:rFonts w:asciiTheme="majorBidi" w:hAnsiTheme="majorBidi" w:cstheme="majorBidi"/>
          <w:b/>
          <w:color w:val="000000"/>
          <w:szCs w:val="22"/>
        </w:rPr>
        <w:t xml:space="preserve">679 </w:t>
      </w:r>
      <w:r w:rsidRPr="00F82642">
        <w:rPr>
          <w:rFonts w:asciiTheme="majorBidi" w:hAnsiTheme="majorBidi" w:cstheme="majorBidi"/>
          <w:bCs/>
          <w:color w:val="000000"/>
          <w:szCs w:val="22"/>
        </w:rPr>
        <w:t>(</w:t>
      </w:r>
      <w:r w:rsidRPr="00F82642">
        <w:rPr>
          <w:rFonts w:asciiTheme="majorBidi" w:hAnsiTheme="majorBidi" w:cstheme="majorBidi"/>
          <w:b/>
          <w:color w:val="000000"/>
          <w:szCs w:val="22"/>
        </w:rPr>
        <w:t>WRC</w:t>
      </w:r>
      <w:r w:rsidRPr="00F82642">
        <w:rPr>
          <w:rFonts w:asciiTheme="majorBidi" w:hAnsiTheme="majorBidi" w:cstheme="majorBidi"/>
          <w:b/>
          <w:color w:val="000000"/>
          <w:szCs w:val="22"/>
        </w:rPr>
        <w:noBreakHyphen/>
        <w:t>23</w:t>
      </w:r>
      <w:r w:rsidRPr="00F82642">
        <w:rPr>
          <w:rFonts w:asciiTheme="majorBidi" w:hAnsiTheme="majorBidi" w:cstheme="majorBidi"/>
          <w:bCs/>
          <w:color w:val="000000"/>
          <w:szCs w:val="22"/>
        </w:rPr>
        <w:t>); however:</w:t>
      </w:r>
    </w:p>
    <w:p w14:paraId="13328804" w14:textId="77777777" w:rsidR="005B0B8B" w:rsidRPr="00F82642" w:rsidRDefault="005B0B8B" w:rsidP="005B0B8B">
      <w:pPr>
        <w:spacing w:before="80" w:line="280" w:lineRule="exact"/>
        <w:ind w:left="794" w:hanging="794"/>
        <w:rPr>
          <w:rFonts w:asciiTheme="majorBidi" w:hAnsiTheme="majorBidi" w:cstheme="majorBidi"/>
          <w:bCs/>
          <w:color w:val="000000"/>
          <w:szCs w:val="22"/>
        </w:rPr>
      </w:pPr>
      <w:bookmarkStart w:id="0" w:name="_Hlk172732156"/>
      <w:r w:rsidRPr="00F82642">
        <w:rPr>
          <w:rFonts w:asciiTheme="majorBidi" w:hAnsiTheme="majorBidi" w:cstheme="majorBidi"/>
          <w:bCs/>
          <w:color w:val="000000"/>
          <w:szCs w:val="22"/>
        </w:rPr>
        <w:t>–</w:t>
      </w:r>
      <w:r w:rsidRPr="00F82642">
        <w:rPr>
          <w:rFonts w:asciiTheme="majorBidi" w:hAnsiTheme="majorBidi" w:cstheme="majorBidi"/>
          <w:bCs/>
          <w:color w:val="000000"/>
          <w:szCs w:val="22"/>
        </w:rPr>
        <w:tab/>
      </w:r>
      <w:bookmarkEnd w:id="0"/>
      <w:r w:rsidRPr="00F82642">
        <w:rPr>
          <w:rFonts w:asciiTheme="majorBidi" w:hAnsiTheme="majorBidi" w:cstheme="majorBidi"/>
          <w:bCs/>
          <w:i/>
          <w:iCs/>
          <w:color w:val="000000"/>
          <w:szCs w:val="22"/>
        </w:rPr>
        <w:t>further resolves </w:t>
      </w:r>
      <w:r w:rsidRPr="00F82642">
        <w:rPr>
          <w:rFonts w:asciiTheme="majorBidi" w:hAnsiTheme="majorBidi" w:cstheme="majorBidi"/>
          <w:bCs/>
          <w:color w:val="000000"/>
          <w:szCs w:val="22"/>
        </w:rPr>
        <w:t>2 refers to a firm, objective, actionable, measurable and enforceable commitment; and</w:t>
      </w:r>
    </w:p>
    <w:p w14:paraId="1498CBB6" w14:textId="11AC52F5" w:rsidR="005B0B8B" w:rsidRPr="00F82642" w:rsidRDefault="005B0B8B" w:rsidP="005B0B8B">
      <w:pPr>
        <w:spacing w:before="80" w:line="280" w:lineRule="exact"/>
        <w:ind w:left="794" w:hanging="794"/>
        <w:rPr>
          <w:rFonts w:asciiTheme="majorBidi" w:hAnsiTheme="majorBidi" w:cstheme="majorBidi"/>
          <w:szCs w:val="22"/>
        </w:rPr>
      </w:pPr>
      <w:r w:rsidRPr="00F82642">
        <w:rPr>
          <w:rFonts w:asciiTheme="majorBidi" w:hAnsiTheme="majorBidi" w:cstheme="majorBidi"/>
          <w:bCs/>
          <w:color w:val="000000"/>
          <w:szCs w:val="22"/>
        </w:rPr>
        <w:t>–</w:t>
      </w:r>
      <w:r w:rsidRPr="00F82642">
        <w:rPr>
          <w:rFonts w:asciiTheme="majorBidi" w:hAnsiTheme="majorBidi" w:cstheme="majorBidi"/>
          <w:bCs/>
          <w:color w:val="000000"/>
          <w:szCs w:val="22"/>
        </w:rPr>
        <w:tab/>
        <w:t xml:space="preserve">the commitment under </w:t>
      </w:r>
      <w:r w:rsidRPr="00F82642">
        <w:rPr>
          <w:rFonts w:asciiTheme="majorBidi" w:hAnsiTheme="majorBidi" w:cstheme="majorBidi"/>
          <w:bCs/>
          <w:i/>
          <w:iCs/>
          <w:color w:val="000000"/>
          <w:szCs w:val="22"/>
        </w:rPr>
        <w:t>further</w:t>
      </w:r>
      <w:r w:rsidRPr="00F82642">
        <w:rPr>
          <w:rFonts w:asciiTheme="majorBidi" w:hAnsiTheme="majorBidi" w:cstheme="majorBidi"/>
          <w:bCs/>
          <w:color w:val="000000"/>
          <w:szCs w:val="22"/>
        </w:rPr>
        <w:t xml:space="preserve"> </w:t>
      </w:r>
      <w:r w:rsidRPr="00F82642">
        <w:rPr>
          <w:rFonts w:asciiTheme="majorBidi" w:hAnsiTheme="majorBidi" w:cstheme="majorBidi"/>
          <w:bCs/>
          <w:i/>
          <w:iCs/>
          <w:color w:val="000000"/>
          <w:szCs w:val="22"/>
        </w:rPr>
        <w:t>resolves </w:t>
      </w:r>
      <w:r w:rsidRPr="00F82642">
        <w:rPr>
          <w:rFonts w:asciiTheme="majorBidi" w:hAnsiTheme="majorBidi" w:cstheme="majorBidi"/>
          <w:bCs/>
          <w:color w:val="000000"/>
          <w:szCs w:val="22"/>
        </w:rPr>
        <w:t xml:space="preserve">2 shall be provided </w:t>
      </w:r>
      <w:r w:rsidRPr="00F82642">
        <w:rPr>
          <w:rFonts w:asciiTheme="majorBidi" w:hAnsiTheme="majorBidi" w:cstheme="majorBidi"/>
          <w:szCs w:val="22"/>
          <w:lang w:eastAsia="zh-CN"/>
        </w:rPr>
        <w:t xml:space="preserve">not only </w:t>
      </w:r>
      <w:r w:rsidRPr="00F82642">
        <w:rPr>
          <w:rFonts w:asciiTheme="majorBidi" w:hAnsiTheme="majorBidi" w:cstheme="majorBidi"/>
          <w:bCs/>
          <w:color w:val="000000"/>
          <w:szCs w:val="22"/>
        </w:rPr>
        <w:t xml:space="preserve">by the notifying administration </w:t>
      </w:r>
      <w:r w:rsidRPr="00F82642">
        <w:rPr>
          <w:rFonts w:asciiTheme="majorBidi" w:hAnsiTheme="majorBidi" w:cstheme="majorBidi"/>
          <w:szCs w:val="22"/>
          <w:lang w:eastAsia="zh-CN"/>
        </w:rPr>
        <w:t xml:space="preserve">of a non-GSO system but also by the </w:t>
      </w:r>
      <w:r w:rsidRPr="00F82642">
        <w:rPr>
          <w:rFonts w:asciiTheme="majorBidi" w:hAnsiTheme="majorBidi" w:cstheme="majorBidi"/>
          <w:bCs/>
          <w:color w:val="000000"/>
          <w:szCs w:val="22"/>
        </w:rPr>
        <w:t xml:space="preserve">notifying administration </w:t>
      </w:r>
      <w:r w:rsidRPr="00F82642">
        <w:rPr>
          <w:rFonts w:asciiTheme="majorBidi" w:hAnsiTheme="majorBidi" w:cstheme="majorBidi"/>
          <w:szCs w:val="22"/>
          <w:lang w:eastAsia="zh-CN"/>
        </w:rPr>
        <w:t>of a geostationary-satellite orbit (GSO) network receiving in the frequency band 27.5</w:t>
      </w:r>
      <w:r w:rsidR="00024D90">
        <w:rPr>
          <w:rFonts w:asciiTheme="majorBidi" w:hAnsiTheme="majorBidi" w:cstheme="majorBidi"/>
          <w:szCs w:val="22"/>
          <w:lang w:eastAsia="zh-CN"/>
        </w:rPr>
        <w:noBreakHyphen/>
      </w:r>
      <w:r w:rsidRPr="00F82642">
        <w:rPr>
          <w:rFonts w:asciiTheme="majorBidi" w:hAnsiTheme="majorBidi" w:cstheme="majorBidi"/>
          <w:szCs w:val="22"/>
          <w:lang w:eastAsia="zh-CN"/>
        </w:rPr>
        <w:t>30 GHz.</w:t>
      </w:r>
    </w:p>
    <w:p w14:paraId="44CBB8D1" w14:textId="77777777" w:rsidR="005B0B8B" w:rsidRPr="00F82642" w:rsidRDefault="005B0B8B" w:rsidP="005B0B8B">
      <w:pPr>
        <w:spacing w:before="160" w:line="280" w:lineRule="exact"/>
        <w:rPr>
          <w:rFonts w:asciiTheme="majorBidi" w:hAnsiTheme="majorBidi" w:cstheme="majorBidi"/>
          <w:bCs/>
          <w:color w:val="000000"/>
          <w:szCs w:val="22"/>
        </w:rPr>
      </w:pPr>
      <w:r w:rsidRPr="00F82642">
        <w:rPr>
          <w:rFonts w:asciiTheme="majorBidi" w:hAnsiTheme="majorBidi" w:cstheme="majorBidi"/>
          <w:bCs/>
          <w:color w:val="000000"/>
          <w:szCs w:val="22"/>
        </w:rPr>
        <w:t xml:space="preserve">Consequently, the Board concluded that the commitment referred to in </w:t>
      </w:r>
      <w:r w:rsidRPr="00F82642">
        <w:rPr>
          <w:rFonts w:asciiTheme="majorBidi" w:hAnsiTheme="majorBidi" w:cstheme="majorBidi"/>
          <w:bCs/>
          <w:color w:val="000000"/>
          <w:szCs w:val="22"/>
          <w:lang w:eastAsia="zh-CN"/>
        </w:rPr>
        <w:t>item</w:t>
      </w:r>
      <w:r w:rsidRPr="00F82642">
        <w:rPr>
          <w:rFonts w:asciiTheme="majorBidi" w:hAnsiTheme="majorBidi" w:cstheme="majorBidi"/>
          <w:bCs/>
          <w:color w:val="000000"/>
          <w:szCs w:val="22"/>
        </w:rPr>
        <w:t xml:space="preserve"> A.27.b shall be provided by the notifying administration of a </w:t>
      </w:r>
      <w:r w:rsidRPr="00F82642">
        <w:rPr>
          <w:rFonts w:asciiTheme="majorBidi" w:hAnsiTheme="majorBidi" w:cstheme="majorBidi"/>
          <w:szCs w:val="22"/>
          <w:lang w:eastAsia="zh-CN"/>
        </w:rPr>
        <w:t xml:space="preserve">GSO </w:t>
      </w:r>
      <w:r w:rsidRPr="00F82642">
        <w:rPr>
          <w:rFonts w:asciiTheme="majorBidi" w:hAnsiTheme="majorBidi" w:cstheme="majorBidi"/>
          <w:bCs/>
          <w:color w:val="000000"/>
          <w:szCs w:val="22"/>
        </w:rPr>
        <w:t xml:space="preserve">network or of a </w:t>
      </w:r>
      <w:r w:rsidRPr="00F82642">
        <w:rPr>
          <w:rFonts w:asciiTheme="majorBidi" w:hAnsiTheme="majorBidi" w:cstheme="majorBidi"/>
          <w:szCs w:val="22"/>
          <w:lang w:eastAsia="zh-CN"/>
        </w:rPr>
        <w:t xml:space="preserve">non-GSO </w:t>
      </w:r>
      <w:r w:rsidRPr="00F82642">
        <w:rPr>
          <w:rFonts w:asciiTheme="majorBidi" w:hAnsiTheme="majorBidi" w:cstheme="majorBidi"/>
          <w:bCs/>
          <w:color w:val="000000"/>
          <w:szCs w:val="22"/>
        </w:rPr>
        <w:t xml:space="preserve">system </w:t>
      </w:r>
      <w:r w:rsidRPr="00F82642">
        <w:rPr>
          <w:rFonts w:asciiTheme="majorBidi" w:hAnsiTheme="majorBidi" w:cstheme="majorBidi"/>
          <w:szCs w:val="22"/>
          <w:lang w:eastAsia="zh-CN"/>
        </w:rPr>
        <w:t>receiving in the frequency band 27.5-30 GHz. The Board recalled that notifying a</w:t>
      </w:r>
      <w:r w:rsidRPr="00F82642">
        <w:rPr>
          <w:rFonts w:asciiTheme="majorBidi" w:hAnsiTheme="majorBidi" w:cstheme="majorBidi"/>
          <w:bCs/>
          <w:color w:val="000000"/>
          <w:szCs w:val="22"/>
        </w:rPr>
        <w:t xml:space="preserve">dministrations providing a commitment under item A.27.b shall ensure that such commitments be firm, objective, actionable, measurable and enforceable. </w:t>
      </w:r>
    </w:p>
    <w:p w14:paraId="3EC10D06" w14:textId="4318ECD5" w:rsidR="003E721A" w:rsidRPr="00F82642" w:rsidRDefault="003E721A" w:rsidP="00F82642">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sidR="00466A49">
        <w:rPr>
          <w:rFonts w:asciiTheme="majorBidi" w:hAnsiTheme="majorBidi" w:cstheme="majorBidi"/>
          <w:b/>
          <w:color w:val="000000"/>
          <w:szCs w:val="22"/>
        </w:rPr>
        <w:tab/>
      </w:r>
      <w:r w:rsidR="00466A49">
        <w:rPr>
          <w:rFonts w:asciiTheme="majorBidi" w:hAnsiTheme="majorBidi" w:cstheme="majorBidi"/>
          <w:b/>
          <w:color w:val="000000"/>
          <w:szCs w:val="22"/>
        </w:rPr>
        <w:tab/>
      </w:r>
    </w:p>
    <w:p w14:paraId="0F1D84F0" w14:textId="7777777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The Board noted that a “point of contact” is mentioned in Resolutions </w:t>
      </w:r>
      <w:r w:rsidRPr="00F82642">
        <w:rPr>
          <w:rFonts w:asciiTheme="majorBidi" w:hAnsiTheme="majorBidi" w:cstheme="majorBidi"/>
          <w:b/>
          <w:bCs/>
          <w:szCs w:val="22"/>
        </w:rPr>
        <w:t>121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123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156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169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679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and </w:t>
      </w:r>
      <w:r w:rsidRPr="00F82642">
        <w:rPr>
          <w:rFonts w:asciiTheme="majorBidi" w:hAnsiTheme="majorBidi" w:cstheme="majorBidi"/>
          <w:b/>
          <w:bCs/>
          <w:szCs w:val="22"/>
        </w:rPr>
        <w:t>902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for various purposes.</w:t>
      </w:r>
    </w:p>
    <w:p w14:paraId="7A8191EC" w14:textId="7777777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 xml:space="preserve">However, only in two instances, i.e. with respect to </w:t>
      </w:r>
      <w:r w:rsidRPr="00F82642">
        <w:rPr>
          <w:rFonts w:asciiTheme="majorBidi" w:hAnsiTheme="majorBidi" w:cstheme="majorBidi"/>
          <w:i/>
          <w:iCs/>
          <w:szCs w:val="22"/>
        </w:rPr>
        <w:t>resolves</w:t>
      </w:r>
      <w:r w:rsidRPr="00F82642">
        <w:rPr>
          <w:rFonts w:asciiTheme="majorBidi" w:hAnsiTheme="majorBidi" w:cstheme="majorBidi"/>
          <w:szCs w:val="22"/>
        </w:rPr>
        <w:t> 10.5 of Resolution </w:t>
      </w:r>
      <w:r w:rsidRPr="00F82642">
        <w:rPr>
          <w:rFonts w:asciiTheme="majorBidi" w:hAnsiTheme="majorBidi" w:cstheme="majorBidi"/>
          <w:b/>
          <w:bCs/>
          <w:szCs w:val="22"/>
        </w:rPr>
        <w:t>121 (WRC</w:t>
      </w:r>
      <w:r w:rsidRPr="00F82642">
        <w:rPr>
          <w:rFonts w:asciiTheme="majorBidi" w:hAnsiTheme="majorBidi" w:cstheme="majorBidi"/>
          <w:b/>
          <w:bCs/>
          <w:szCs w:val="22"/>
        </w:rPr>
        <w:noBreakHyphen/>
        <w:t xml:space="preserve">23) </w:t>
      </w:r>
      <w:r w:rsidRPr="00F82642">
        <w:rPr>
          <w:rFonts w:asciiTheme="majorBidi" w:hAnsiTheme="majorBidi" w:cstheme="majorBidi"/>
          <w:szCs w:val="22"/>
        </w:rPr>
        <w:t xml:space="preserve">and </w:t>
      </w:r>
      <w:r w:rsidRPr="00F82642">
        <w:rPr>
          <w:rFonts w:asciiTheme="majorBidi" w:hAnsiTheme="majorBidi" w:cstheme="majorBidi"/>
          <w:i/>
          <w:iCs/>
          <w:szCs w:val="22"/>
        </w:rPr>
        <w:t>resolves</w:t>
      </w:r>
      <w:r w:rsidRPr="00F82642">
        <w:rPr>
          <w:rFonts w:asciiTheme="majorBidi" w:hAnsiTheme="majorBidi" w:cstheme="majorBidi"/>
          <w:szCs w:val="22"/>
        </w:rPr>
        <w:t> 7.5 of Resolution </w:t>
      </w:r>
      <w:r w:rsidRPr="00F82642">
        <w:rPr>
          <w:rFonts w:asciiTheme="majorBidi" w:hAnsiTheme="majorBidi" w:cstheme="majorBidi"/>
          <w:b/>
          <w:bCs/>
          <w:szCs w:val="22"/>
        </w:rPr>
        <w:t>123 (WRC</w:t>
      </w:r>
      <w:r w:rsidRPr="00F82642">
        <w:rPr>
          <w:rFonts w:asciiTheme="majorBidi" w:hAnsiTheme="majorBidi" w:cstheme="majorBidi"/>
          <w:b/>
          <w:bCs/>
          <w:szCs w:val="22"/>
        </w:rPr>
        <w:noBreakHyphen/>
        <w:t>23)</w:t>
      </w:r>
      <w:r w:rsidRPr="00F82642">
        <w:rPr>
          <w:rFonts w:asciiTheme="majorBidi" w:hAnsiTheme="majorBidi" w:cstheme="majorBidi"/>
          <w:szCs w:val="22"/>
        </w:rPr>
        <w:t>, information on the point of contact is included as a requirement in Annex 2 to Appendix </w:t>
      </w:r>
      <w:r w:rsidRPr="00F82642">
        <w:rPr>
          <w:rFonts w:asciiTheme="majorBidi" w:hAnsiTheme="majorBidi" w:cstheme="majorBidi"/>
          <w:b/>
          <w:bCs/>
          <w:szCs w:val="22"/>
        </w:rPr>
        <w:t xml:space="preserve">4 </w:t>
      </w:r>
      <w:r w:rsidRPr="00F82642">
        <w:rPr>
          <w:rFonts w:asciiTheme="majorBidi" w:hAnsiTheme="majorBidi" w:cstheme="majorBidi"/>
          <w:szCs w:val="22"/>
        </w:rPr>
        <w:t>(see mandatory items A.33.a and A.36.c). For both cases, it is indicated that the point of contact is for the purpose of tracing any suspected cases of unacceptable interference and that the point of contact is required to immediately respond to such requests.</w:t>
      </w:r>
    </w:p>
    <w:p w14:paraId="57C8076A" w14:textId="7777777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Similar descriptions are given in Resolutions </w:t>
      </w:r>
      <w:r w:rsidRPr="00F82642">
        <w:rPr>
          <w:rFonts w:asciiTheme="majorBidi" w:hAnsiTheme="majorBidi" w:cstheme="majorBidi"/>
          <w:b/>
          <w:bCs/>
          <w:szCs w:val="22"/>
        </w:rPr>
        <w:t>169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and </w:t>
      </w:r>
      <w:r w:rsidRPr="00F82642">
        <w:rPr>
          <w:rFonts w:asciiTheme="majorBidi" w:hAnsiTheme="majorBidi" w:cstheme="majorBidi"/>
          <w:b/>
          <w:bCs/>
          <w:szCs w:val="22"/>
        </w:rPr>
        <w:t>679 (WRC</w:t>
      </w:r>
      <w:r w:rsidRPr="00F82642">
        <w:rPr>
          <w:rFonts w:asciiTheme="majorBidi" w:hAnsiTheme="majorBidi" w:cstheme="majorBidi"/>
          <w:b/>
          <w:bCs/>
          <w:szCs w:val="22"/>
        </w:rPr>
        <w:noBreakHyphen/>
        <w:t>23)</w:t>
      </w:r>
      <w:r w:rsidRPr="00F82642">
        <w:rPr>
          <w:rFonts w:asciiTheme="majorBidi" w:hAnsiTheme="majorBidi" w:cstheme="majorBidi"/>
          <w:szCs w:val="22"/>
        </w:rPr>
        <w:t>: a point of contact is required for the purpose of tracing any suspected cases of unacceptable interference and responding immediately to such cases; however, no requirement to provide information on the point of contact is included in Annex 2 to Appendix </w:t>
      </w:r>
      <w:r w:rsidRPr="00F82642">
        <w:rPr>
          <w:rFonts w:asciiTheme="majorBidi" w:hAnsiTheme="majorBidi" w:cstheme="majorBidi"/>
          <w:b/>
          <w:bCs/>
          <w:szCs w:val="22"/>
        </w:rPr>
        <w:t>4</w:t>
      </w:r>
      <w:r w:rsidRPr="00F82642">
        <w:rPr>
          <w:rFonts w:asciiTheme="majorBidi" w:hAnsiTheme="majorBidi" w:cstheme="majorBidi"/>
          <w:szCs w:val="22"/>
        </w:rPr>
        <w:t>. Noting the similarity of the requirements for the point of contact described in all those resolutions, the Board decided that item A.36.c of Annex 2 to Appendix </w:t>
      </w:r>
      <w:r w:rsidRPr="00F82642">
        <w:rPr>
          <w:rFonts w:asciiTheme="majorBidi" w:hAnsiTheme="majorBidi" w:cstheme="majorBidi"/>
          <w:b/>
          <w:bCs/>
          <w:szCs w:val="22"/>
        </w:rPr>
        <w:t xml:space="preserve">4 </w:t>
      </w:r>
      <w:r w:rsidRPr="00F82642">
        <w:rPr>
          <w:rFonts w:asciiTheme="majorBidi" w:hAnsiTheme="majorBidi" w:cstheme="majorBidi"/>
          <w:szCs w:val="22"/>
        </w:rPr>
        <w:t>is also required for submissions under Resolutions </w:t>
      </w:r>
      <w:r w:rsidRPr="00F82642">
        <w:rPr>
          <w:rFonts w:asciiTheme="majorBidi" w:hAnsiTheme="majorBidi" w:cstheme="majorBidi"/>
          <w:b/>
          <w:bCs/>
          <w:szCs w:val="22"/>
        </w:rPr>
        <w:t>169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and </w:t>
      </w:r>
      <w:r w:rsidRPr="00F82642">
        <w:rPr>
          <w:rFonts w:asciiTheme="majorBidi" w:hAnsiTheme="majorBidi" w:cstheme="majorBidi"/>
          <w:b/>
          <w:bCs/>
          <w:szCs w:val="22"/>
        </w:rPr>
        <w:t>679 (WRC</w:t>
      </w:r>
      <w:r w:rsidRPr="00F82642">
        <w:rPr>
          <w:rFonts w:asciiTheme="majorBidi" w:hAnsiTheme="majorBidi" w:cstheme="majorBidi"/>
          <w:b/>
          <w:bCs/>
          <w:szCs w:val="22"/>
        </w:rPr>
        <w:noBreakHyphen/>
        <w:t>23)</w:t>
      </w:r>
      <w:r w:rsidRPr="00F82642">
        <w:rPr>
          <w:rFonts w:asciiTheme="majorBidi" w:hAnsiTheme="majorBidi" w:cstheme="majorBidi"/>
          <w:szCs w:val="22"/>
        </w:rPr>
        <w:t>.</w:t>
      </w:r>
    </w:p>
    <w:p w14:paraId="53D86F45" w14:textId="77777777" w:rsidR="005C3B2E"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The information to be provided on the point of contact shall include the name of the person or entity and the e-mail address, contact telephone number and address. The information shall be captured along with other Appendix </w:t>
      </w:r>
      <w:r w:rsidRPr="00F82642">
        <w:rPr>
          <w:rFonts w:asciiTheme="majorBidi" w:hAnsiTheme="majorBidi" w:cstheme="majorBidi"/>
          <w:b/>
          <w:bCs/>
          <w:szCs w:val="22"/>
        </w:rPr>
        <w:t>4</w:t>
      </w:r>
      <w:r w:rsidRPr="00F82642">
        <w:rPr>
          <w:rFonts w:asciiTheme="majorBidi" w:hAnsiTheme="majorBidi" w:cstheme="majorBidi"/>
          <w:szCs w:val="22"/>
        </w:rPr>
        <w:t xml:space="preserve"> data items using the Bureau’s capture software. The Board noted that Resolution </w:t>
      </w:r>
      <w:r w:rsidRPr="00F82642">
        <w:rPr>
          <w:rFonts w:asciiTheme="majorBidi" w:hAnsiTheme="majorBidi" w:cstheme="majorBidi"/>
          <w:b/>
          <w:bCs/>
          <w:szCs w:val="22"/>
        </w:rPr>
        <w:t>121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mentions that the information should be published in a special section, whereas Resolution </w:t>
      </w:r>
      <w:r w:rsidRPr="00F82642">
        <w:rPr>
          <w:rFonts w:asciiTheme="majorBidi" w:hAnsiTheme="majorBidi" w:cstheme="majorBidi"/>
          <w:b/>
          <w:bCs/>
          <w:szCs w:val="22"/>
        </w:rPr>
        <w:t>123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contains no such mention.</w:t>
      </w:r>
    </w:p>
    <w:p w14:paraId="5B7C5CAA" w14:textId="474F5220" w:rsidR="005C3B2E" w:rsidRDefault="005C3B2E">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5BCBAF5F" w14:textId="77FD47E5" w:rsidR="00454E31" w:rsidRDefault="00454E31" w:rsidP="003E721A">
      <w:pPr>
        <w:spacing w:before="160" w:line="280" w:lineRule="exact"/>
        <w:rPr>
          <w:rFonts w:asciiTheme="majorBidi" w:hAnsiTheme="majorBidi" w:cstheme="majorBidi"/>
          <w:szCs w:val="22"/>
        </w:rPr>
        <w:sectPr w:rsidR="00454E31" w:rsidSect="00D662CC">
          <w:headerReference w:type="even" r:id="rId12"/>
          <w:footnotePr>
            <w:pos w:val="beneathText"/>
          </w:footnotePr>
          <w:pgSz w:w="11907" w:h="16840" w:code="9"/>
          <w:pgMar w:top="1701" w:right="851" w:bottom="1134" w:left="1985" w:header="720" w:footer="482" w:gutter="0"/>
          <w:cols w:space="720"/>
          <w:vAlign w:val="both"/>
        </w:sectPr>
      </w:pPr>
    </w:p>
    <w:p w14:paraId="0C1AE274" w14:textId="2A442BD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lastRenderedPageBreak/>
        <w:t>However, the Board understands that all information required under Appendix </w:t>
      </w:r>
      <w:r w:rsidRPr="00F82642">
        <w:rPr>
          <w:rFonts w:asciiTheme="majorBidi" w:hAnsiTheme="majorBidi" w:cstheme="majorBidi"/>
          <w:b/>
          <w:bCs/>
          <w:szCs w:val="22"/>
        </w:rPr>
        <w:t>4</w:t>
      </w:r>
      <w:r w:rsidRPr="00F82642">
        <w:rPr>
          <w:rFonts w:asciiTheme="majorBidi" w:hAnsiTheme="majorBidi" w:cstheme="majorBidi"/>
          <w:szCs w:val="22"/>
        </w:rPr>
        <w:t xml:space="preserve"> must be published, although not necessarily in a special section. The Board therefore concluded that the Bureau shall include the information in a reference database and make it available on its website and publish it along with other Appendix </w:t>
      </w:r>
      <w:r w:rsidRPr="00F82642">
        <w:rPr>
          <w:rFonts w:asciiTheme="majorBidi" w:hAnsiTheme="majorBidi" w:cstheme="majorBidi"/>
          <w:b/>
          <w:bCs/>
          <w:szCs w:val="22"/>
        </w:rPr>
        <w:t>4</w:t>
      </w:r>
      <w:r w:rsidRPr="00F82642">
        <w:rPr>
          <w:rFonts w:asciiTheme="majorBidi" w:hAnsiTheme="majorBidi" w:cstheme="majorBidi"/>
          <w:szCs w:val="22"/>
        </w:rPr>
        <w:t xml:space="preserve"> data in a relevant special section or part of its International Frequency Information Circular (BR IFIC).</w:t>
      </w:r>
    </w:p>
    <w:p w14:paraId="71DFC65E" w14:textId="77777777" w:rsidR="00AF0B7C" w:rsidRPr="002B16E0" w:rsidRDefault="00AF0B7C" w:rsidP="002146F2">
      <w:pPr>
        <w:pStyle w:val="Heading9"/>
        <w:rPr>
          <w:color w:val="000000"/>
        </w:rPr>
      </w:pPr>
      <w:r w:rsidRPr="002B16E0">
        <w:rPr>
          <w:color w:val="000000"/>
        </w:rPr>
        <w:t xml:space="preserve">B.4 </w:t>
      </w:r>
      <w:r w:rsidRPr="002B16E0">
        <w:rPr>
          <w:i/>
          <w:color w:val="000000"/>
        </w:rPr>
        <w:t>a)</w:t>
      </w:r>
    </w:p>
    <w:p w14:paraId="30CA0267" w14:textId="77777777" w:rsidR="00AF0B7C" w:rsidRPr="002B16E0" w:rsidRDefault="00AF0B7C" w:rsidP="00135C88">
      <w:pPr>
        <w:rPr>
          <w:color w:val="000000"/>
        </w:rPr>
      </w:pPr>
      <w:r w:rsidRPr="002B16E0">
        <w:rPr>
          <w:color w:val="000000"/>
        </w:rPr>
        <w:t xml:space="preserve">When submitting a notice within the applicable procedures of Articles </w:t>
      </w:r>
      <w:r w:rsidRPr="002B16E0">
        <w:rPr>
          <w:rStyle w:val="Artref"/>
          <w:b/>
          <w:color w:val="000000"/>
        </w:rPr>
        <w:t>9</w:t>
      </w:r>
      <w:r w:rsidRPr="002B16E0">
        <w:rPr>
          <w:color w:val="000000"/>
        </w:rPr>
        <w:t xml:space="preserve"> or </w:t>
      </w:r>
      <w:r w:rsidRPr="002B16E0">
        <w:rPr>
          <w:rStyle w:val="Artref"/>
          <w:b/>
          <w:color w:val="000000"/>
        </w:rPr>
        <w:t>11</w:t>
      </w:r>
      <w:r w:rsidRPr="002B16E0">
        <w:rPr>
          <w:color w:val="000000"/>
        </w:rPr>
        <w:t>, in order to better describe the power flux-density pattern on the surface of the Earth resulting from the emission of a space station aboa</w:t>
      </w:r>
      <w:r w:rsidR="00135C88">
        <w:rPr>
          <w:color w:val="000000"/>
        </w:rPr>
        <w:t>r</w:t>
      </w:r>
      <w:r w:rsidRPr="002B16E0">
        <w:rPr>
          <w:color w:val="000000"/>
        </w:rPr>
        <w:t>d a non-GSO satellite in circular orbit, the following optional information can be provided together with the other data contained in Appendix </w:t>
      </w:r>
      <w:r w:rsidRPr="002B16E0">
        <w:rPr>
          <w:rStyle w:val="Appref"/>
          <w:b/>
          <w:color w:val="000000"/>
        </w:rPr>
        <w:t>4</w:t>
      </w:r>
      <w:r w:rsidRPr="002B16E0">
        <w:rPr>
          <w:color w:val="000000"/>
        </w:rPr>
        <w:t>:</w:t>
      </w:r>
    </w:p>
    <w:p w14:paraId="50CB05CE" w14:textId="77777777" w:rsidR="00AF0B7C" w:rsidRPr="002B16E0" w:rsidRDefault="00AF0B7C">
      <w:pPr>
        <w:rPr>
          <w:color w:val="000000"/>
        </w:rPr>
      </w:pPr>
      <w:r w:rsidRPr="002B16E0">
        <w:rPr>
          <w:b/>
          <w:color w:val="000000"/>
        </w:rPr>
        <w:t xml:space="preserve">Appendix </w:t>
      </w:r>
      <w:r w:rsidRPr="002B16E0">
        <w:rPr>
          <w:rStyle w:val="Appref"/>
          <w:b/>
          <w:color w:val="000000"/>
        </w:rPr>
        <w:t>4</w:t>
      </w:r>
      <w:r w:rsidRPr="002B16E0">
        <w:rPr>
          <w:b/>
          <w:color w:val="000000"/>
        </w:rPr>
        <w:t>, Annex 2A, § B.4 </w:t>
      </w:r>
      <w:r w:rsidRPr="002B16E0">
        <w:rPr>
          <w:b/>
          <w:i/>
          <w:color w:val="000000"/>
        </w:rPr>
        <w:t>a)</w:t>
      </w:r>
      <w:r w:rsidRPr="002B16E0">
        <w:rPr>
          <w:color w:val="000000"/>
        </w:rPr>
        <w:t xml:space="preserve"> (non-GSO space station antenna characteristics)</w:t>
      </w:r>
    </w:p>
    <w:p w14:paraId="17AA8841" w14:textId="77777777" w:rsidR="00AF0B7C" w:rsidRPr="002B16E0" w:rsidRDefault="00AF0B7C">
      <w:pPr>
        <w:rPr>
          <w:color w:val="000000"/>
        </w:rPr>
      </w:pPr>
      <w:r w:rsidRPr="002B16E0">
        <w:rPr>
          <w:color w:val="000000"/>
        </w:rPr>
        <w:t>1</w:t>
      </w:r>
      <w:r w:rsidRPr="002B16E0">
        <w:rPr>
          <w:color w:val="000000"/>
        </w:rPr>
        <w:tab/>
        <w:t xml:space="preserve">In addition to the information currently contained in Appendix </w:t>
      </w:r>
      <w:r w:rsidRPr="002B16E0">
        <w:rPr>
          <w:rStyle w:val="Appref"/>
          <w:b/>
          <w:color w:val="000000"/>
        </w:rPr>
        <w:t>4</w:t>
      </w:r>
      <w:r w:rsidRPr="002B16E0">
        <w:rPr>
          <w:color w:val="000000"/>
        </w:rPr>
        <w:t xml:space="preserve"> to be provided under this item, if appropriate, indicate:</w:t>
      </w:r>
    </w:p>
    <w:p w14:paraId="0439E5FB" w14:textId="77777777" w:rsidR="00AF0B7C" w:rsidRPr="002B16E0" w:rsidRDefault="00AF0B7C">
      <w:pPr>
        <w:pStyle w:val="enumlev1"/>
        <w:ind w:left="0" w:firstLine="0"/>
        <w:rPr>
          <w:color w:val="000000"/>
        </w:rPr>
      </w:pPr>
      <w:r w:rsidRPr="002B16E0">
        <w:rPr>
          <w:color w:val="000000"/>
        </w:rPr>
        <w:t>1.1</w:t>
      </w:r>
      <w:r w:rsidRPr="002B16E0">
        <w:rPr>
          <w:color w:val="000000"/>
        </w:rPr>
        <w:tab/>
        <w:t>in the case of a transmitting space station aboard a non-GSO satellite in a circular orbit that is intended to communicate with earth stations via a transmitting antenna pointing in a direction that is fixed with respect to the satellite, the maximum isotropic gain (dBi) and the gain contours plotted in a radial projection from the satellite onto a plane perpendicular to the axis from the centre of the Earth to the satellite. The space station antenna gain contours shall be drawn as isolines of the isotropic gain at least for –</w:t>
      </w:r>
      <w:r w:rsidRPr="002B16E0">
        <w:rPr>
          <w:rFonts w:ascii="Tms Rmn" w:hAnsi="Tms Rmn"/>
          <w:color w:val="000000"/>
          <w:sz w:val="12"/>
        </w:rPr>
        <w:t> </w:t>
      </w:r>
      <w:r w:rsidRPr="002B16E0">
        <w:rPr>
          <w:color w:val="000000"/>
        </w:rPr>
        <w:t>2, –</w:t>
      </w:r>
      <w:r w:rsidRPr="002B16E0">
        <w:rPr>
          <w:rFonts w:ascii="Tms Rmn" w:hAnsi="Tms Rmn"/>
          <w:color w:val="000000"/>
          <w:sz w:val="12"/>
        </w:rPr>
        <w:t> </w:t>
      </w:r>
      <w:r w:rsidRPr="002B16E0">
        <w:rPr>
          <w:color w:val="000000"/>
        </w:rPr>
        <w:t>4, –</w:t>
      </w:r>
      <w:r w:rsidRPr="002B16E0">
        <w:rPr>
          <w:rFonts w:ascii="Tms Rmn" w:hAnsi="Tms Rmn"/>
          <w:color w:val="000000"/>
          <w:sz w:val="12"/>
        </w:rPr>
        <w:t> </w:t>
      </w:r>
      <w:r w:rsidRPr="002B16E0">
        <w:rPr>
          <w:color w:val="000000"/>
        </w:rPr>
        <w:t>6, –10, and –</w:t>
      </w:r>
      <w:r w:rsidRPr="002B16E0">
        <w:rPr>
          <w:rFonts w:ascii="Tms Rmn" w:hAnsi="Tms Rmn"/>
          <w:color w:val="000000"/>
          <w:sz w:val="12"/>
        </w:rPr>
        <w:t> </w:t>
      </w:r>
      <w:r w:rsidRPr="002B16E0">
        <w:rPr>
          <w:color w:val="000000"/>
        </w:rPr>
        <w:t>20 dB and at 10 dB intervals thereafter, as necessary, relative to the maximum antenna gain, when any of these contours is located either totally or partially within the limit of visibility of the Earth from the given non-GSO satellite;</w:t>
      </w:r>
    </w:p>
    <w:p w14:paraId="3C3882C9" w14:textId="77777777" w:rsidR="00AF0B7C" w:rsidRPr="002B16E0" w:rsidRDefault="00AF0B7C">
      <w:pPr>
        <w:pStyle w:val="enumlev1"/>
        <w:ind w:left="0" w:firstLine="0"/>
        <w:rPr>
          <w:color w:val="000000"/>
        </w:rPr>
      </w:pPr>
      <w:r w:rsidRPr="002B16E0">
        <w:rPr>
          <w:color w:val="000000"/>
        </w:rPr>
        <w:t>1.2</w:t>
      </w:r>
      <w:r w:rsidRPr="002B16E0">
        <w:rPr>
          <w:color w:val="000000"/>
        </w:rPr>
        <w:tab/>
        <w:t>in the case of a space station aboard a non-GSO satellite in a circular orbit where a steerable beam is used, data on the antenna radiation characteristics as follows:</w:t>
      </w:r>
    </w:p>
    <w:p w14:paraId="5EFE2020" w14:textId="77777777"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identical with the global or nearly global service area, provide only the maximum isotropic antenna gain (dBi) that is then applicable to all points on the surface of the Earth;</w:t>
      </w:r>
    </w:p>
    <w:p w14:paraId="562353ED" w14:textId="77777777"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less than the global or nearly global service area, provide the maximum isotropic gain and t</w:t>
      </w:r>
      <w:r w:rsidR="00F548E0">
        <w:rPr>
          <w:color w:val="000000"/>
        </w:rPr>
        <w:t>he effective gain contours (see </w:t>
      </w:r>
      <w:r w:rsidRPr="002B16E0">
        <w:rPr>
          <w:color w:val="000000"/>
        </w:rPr>
        <w:t>No. </w:t>
      </w:r>
      <w:r w:rsidRPr="002B16E0">
        <w:rPr>
          <w:rStyle w:val="Artref"/>
          <w:b/>
          <w:bCs/>
          <w:color w:val="000000"/>
        </w:rPr>
        <w:t>1.176</w:t>
      </w:r>
      <w:r w:rsidRPr="002B16E0">
        <w:rPr>
          <w:color w:val="000000"/>
        </w:rPr>
        <w:t>) as defined above.</w:t>
      </w:r>
    </w:p>
    <w:p w14:paraId="24577EF2" w14:textId="77777777" w:rsidR="00AF0B7C" w:rsidRDefault="00AF0B7C" w:rsidP="002B16E0">
      <w:pPr>
        <w:rPr>
          <w:color w:val="000000"/>
        </w:rPr>
      </w:pPr>
      <w:r w:rsidRPr="002B16E0">
        <w:rPr>
          <w:color w:val="000000"/>
        </w:rPr>
        <w:t>2</w:t>
      </w:r>
      <w:r w:rsidRPr="002B16E0">
        <w:rPr>
          <w:color w:val="000000"/>
        </w:rPr>
        <w:tab/>
        <w:t>The additional information detailed in §</w:t>
      </w:r>
      <w:r w:rsidR="002B16E0" w:rsidRPr="002B16E0">
        <w:rPr>
          <w:color w:val="000000"/>
        </w:rPr>
        <w:t> </w:t>
      </w:r>
      <w:r w:rsidRPr="002B16E0">
        <w:rPr>
          <w:color w:val="000000"/>
        </w:rPr>
        <w:t>1.1 and 1.2 above is considered as optional. When examining such a case, the Bureau shall use the more detailed information to calculate power flux-density values if it is provided; if it is not the calculation shall be made as at present and be based on the maximum e.i.r.p. transmitted.</w:t>
      </w:r>
    </w:p>
    <w:p w14:paraId="49AD0B28" w14:textId="77777777" w:rsidR="00330C6D" w:rsidRDefault="00330C6D" w:rsidP="002B16E0">
      <w:pPr>
        <w:rPr>
          <w:color w:val="000000"/>
        </w:rPr>
        <w:sectPr w:rsidR="00330C6D" w:rsidSect="003A11F6">
          <w:footnotePr>
            <w:pos w:val="beneathText"/>
          </w:footnotePr>
          <w:pgSz w:w="11907" w:h="16840" w:code="9"/>
          <w:pgMar w:top="1701" w:right="851" w:bottom="1134" w:left="1985" w:header="720" w:footer="482" w:gutter="0"/>
          <w:cols w:space="720"/>
          <w:vAlign w:val="both"/>
        </w:sectPr>
      </w:pPr>
    </w:p>
    <w:p w14:paraId="7380DC26" w14:textId="08057478" w:rsidR="000832F5" w:rsidRPr="00F82642" w:rsidRDefault="000832F5" w:rsidP="00F82642">
      <w:pPr>
        <w:keepNext/>
        <w:keepLines/>
        <w:pBdr>
          <w:top w:val="single" w:sz="6" w:space="1" w:color="auto"/>
          <w:left w:val="single" w:sz="6" w:space="1" w:color="auto"/>
          <w:bottom w:val="single" w:sz="6" w:space="1" w:color="auto"/>
          <w:right w:val="single" w:sz="6" w:space="14" w:color="auto"/>
        </w:pBdr>
        <w:spacing w:before="280"/>
        <w:ind w:left="85" w:right="7768"/>
        <w:outlineLvl w:val="8"/>
        <w:rPr>
          <w:rFonts w:asciiTheme="majorBidi" w:hAnsiTheme="majorBidi" w:cstheme="majorBidi"/>
          <w:b/>
          <w:color w:val="000000"/>
        </w:rPr>
      </w:pPr>
      <w:r w:rsidRPr="00F82642">
        <w:rPr>
          <w:rFonts w:asciiTheme="majorBidi" w:hAnsiTheme="majorBidi" w:cstheme="majorBidi"/>
          <w:b/>
          <w:color w:val="000000"/>
        </w:rPr>
        <w:lastRenderedPageBreak/>
        <w:t>C.8.a.2, C.8.b.2, C.8.c.1, C.8.c.3</w:t>
      </w:r>
      <w:r w:rsidR="00D96C6B">
        <w:rPr>
          <w:rFonts w:asciiTheme="majorBidi" w:hAnsiTheme="majorBidi" w:cstheme="majorBidi"/>
          <w:b/>
          <w:color w:val="000000"/>
        </w:rPr>
        <w:tab/>
      </w:r>
      <w:r w:rsidR="00D96C6B">
        <w:rPr>
          <w:rFonts w:asciiTheme="majorBidi" w:hAnsiTheme="majorBidi" w:cstheme="majorBidi"/>
          <w:b/>
          <w:color w:val="000000"/>
        </w:rPr>
        <w:tab/>
      </w:r>
    </w:p>
    <w:p w14:paraId="318A922B" w14:textId="77777777" w:rsidR="000832F5" w:rsidRPr="00F82642" w:rsidRDefault="000832F5" w:rsidP="000832F5">
      <w:pPr>
        <w:rPr>
          <w:rFonts w:asciiTheme="majorBidi" w:hAnsiTheme="majorBidi" w:cstheme="majorBidi"/>
          <w:szCs w:val="24"/>
          <w:lang w:eastAsia="zh-CN"/>
        </w:rPr>
      </w:pPr>
      <w:r w:rsidRPr="00F82642">
        <w:rPr>
          <w:rFonts w:asciiTheme="majorBidi" w:hAnsiTheme="majorBidi" w:cstheme="majorBidi"/>
          <w:szCs w:val="24"/>
        </w:rPr>
        <w:t xml:space="preserve">The Radiocommunication Bureau previously addressed the issue of excessive or unrealistic characteristics in satellite filings in the Reports of the Director to WRC-15 </w:t>
      </w:r>
      <w:r w:rsidRPr="00F82642">
        <w:rPr>
          <w:rFonts w:asciiTheme="majorBidi" w:hAnsiTheme="majorBidi" w:cstheme="majorBidi"/>
          <w:szCs w:val="24"/>
          <w:lang w:eastAsia="zh-CN"/>
        </w:rPr>
        <w:t xml:space="preserve">(see § 3.2.3.9 of revision 1 to Addendum 2 to </w:t>
      </w:r>
      <w:hyperlink r:id="rId13" w:history="1">
        <w:r w:rsidRPr="00F82642">
          <w:rPr>
            <w:rStyle w:val="Hyperlink"/>
            <w:rFonts w:asciiTheme="majorBidi" w:hAnsiTheme="majorBidi" w:cstheme="majorBidi"/>
            <w:szCs w:val="24"/>
            <w:lang w:eastAsia="zh-CN"/>
          </w:rPr>
          <w:t>Document CMR15/4</w:t>
        </w:r>
      </w:hyperlink>
      <w:r w:rsidRPr="00F82642">
        <w:rPr>
          <w:rFonts w:asciiTheme="majorBidi" w:hAnsiTheme="majorBidi" w:cstheme="majorBidi"/>
          <w:szCs w:val="24"/>
          <w:lang w:eastAsia="zh-CN"/>
        </w:rPr>
        <w:t xml:space="preserve">) and WRC-19 (see § 3.4.3 of Addendum 2 to </w:t>
      </w:r>
      <w:hyperlink r:id="rId14" w:history="1">
        <w:r w:rsidRPr="00F82642">
          <w:rPr>
            <w:rStyle w:val="Hyperlink"/>
            <w:rFonts w:asciiTheme="majorBidi" w:hAnsiTheme="majorBidi" w:cstheme="majorBidi"/>
            <w:szCs w:val="24"/>
            <w:lang w:eastAsia="zh-CN"/>
          </w:rPr>
          <w:t>Document CMR19/4</w:t>
        </w:r>
      </w:hyperlink>
      <w:r w:rsidRPr="00F82642">
        <w:rPr>
          <w:rFonts w:asciiTheme="majorBidi" w:hAnsiTheme="majorBidi" w:cstheme="majorBidi"/>
          <w:szCs w:val="24"/>
          <w:lang w:eastAsia="zh-CN"/>
        </w:rPr>
        <w:t xml:space="preserve">). Both Conferences expressed general support for raising those issues (see </w:t>
      </w:r>
      <w:r w:rsidRPr="00F82642">
        <w:rPr>
          <w:rFonts w:asciiTheme="majorBidi" w:hAnsiTheme="majorBidi" w:cstheme="majorBidi"/>
          <w:bCs/>
          <w:color w:val="000000"/>
          <w:szCs w:val="24"/>
        </w:rPr>
        <w:t xml:space="preserve">Documents </w:t>
      </w:r>
      <w:hyperlink r:id="rId15" w:history="1">
        <w:r w:rsidRPr="00F82642">
          <w:rPr>
            <w:rStyle w:val="Hyperlink"/>
            <w:rFonts w:asciiTheme="majorBidi" w:hAnsiTheme="majorBidi" w:cstheme="majorBidi"/>
            <w:bCs/>
            <w:szCs w:val="24"/>
          </w:rPr>
          <w:t>CMR15/505</w:t>
        </w:r>
      </w:hyperlink>
      <w:r w:rsidRPr="00F82642">
        <w:rPr>
          <w:rFonts w:asciiTheme="majorBidi" w:hAnsiTheme="majorBidi" w:cstheme="majorBidi"/>
          <w:bCs/>
          <w:color w:val="000000"/>
          <w:szCs w:val="24"/>
        </w:rPr>
        <w:t xml:space="preserve"> and </w:t>
      </w:r>
      <w:hyperlink r:id="rId16" w:history="1">
        <w:r w:rsidRPr="00F82642">
          <w:rPr>
            <w:rStyle w:val="Hyperlink"/>
            <w:rFonts w:asciiTheme="majorBidi" w:hAnsiTheme="majorBidi" w:cstheme="majorBidi"/>
            <w:bCs/>
            <w:szCs w:val="24"/>
          </w:rPr>
          <w:t>CMR19/451</w:t>
        </w:r>
      </w:hyperlink>
      <w:r w:rsidRPr="00F82642">
        <w:rPr>
          <w:rFonts w:asciiTheme="majorBidi" w:hAnsiTheme="majorBidi" w:cstheme="majorBidi"/>
          <w:szCs w:val="24"/>
          <w:lang w:eastAsia="zh-CN"/>
        </w:rPr>
        <w:t xml:space="preserve">) and </w:t>
      </w:r>
      <w:r w:rsidRPr="00F82642">
        <w:rPr>
          <w:rFonts w:asciiTheme="majorBidi" w:hAnsiTheme="majorBidi" w:cstheme="majorBidi"/>
          <w:szCs w:val="24"/>
        </w:rPr>
        <w:t>invited ITU-R to review the parameters discussed in those sections of the Reports</w:t>
      </w:r>
      <w:r w:rsidRPr="00F82642">
        <w:rPr>
          <w:rFonts w:asciiTheme="majorBidi" w:hAnsiTheme="majorBidi" w:cstheme="majorBidi"/>
          <w:szCs w:val="24"/>
          <w:lang w:eastAsia="zh-CN"/>
        </w:rPr>
        <w:t>.</w:t>
      </w:r>
    </w:p>
    <w:p w14:paraId="2C1658E9" w14:textId="204A78B9" w:rsidR="000832F5" w:rsidRPr="00F82642" w:rsidRDefault="000832F5" w:rsidP="000832F5">
      <w:pPr>
        <w:rPr>
          <w:rFonts w:asciiTheme="majorBidi" w:hAnsiTheme="majorBidi" w:cstheme="majorBidi"/>
          <w:szCs w:val="24"/>
          <w:lang w:eastAsia="zh-CN"/>
        </w:rPr>
      </w:pPr>
      <w:r w:rsidRPr="00F82642">
        <w:rPr>
          <w:rFonts w:asciiTheme="majorBidi" w:hAnsiTheme="majorBidi" w:cstheme="majorBidi"/>
          <w:szCs w:val="24"/>
          <w:lang w:eastAsia="zh-CN"/>
        </w:rPr>
        <w:t xml:space="preserve">Although, at that time, the issue had been raised in general, bearing in mind certain specific submissions of geostationary satellite networks, the Bureau observed a sharp increase in the number of submissions of non-GSO satellite systems containing very low maximum power spectral density of emissions (below </w:t>
      </w:r>
      <w:r w:rsidR="003F7136">
        <w:rPr>
          <w:rFonts w:asciiTheme="majorBidi" w:hAnsiTheme="majorBidi" w:cstheme="majorBidi"/>
          <w:szCs w:val="24"/>
          <w:lang w:eastAsia="zh-CN"/>
        </w:rPr>
        <w:t>−</w:t>
      </w:r>
      <w:r w:rsidRPr="00F82642">
        <w:rPr>
          <w:rFonts w:asciiTheme="majorBidi" w:hAnsiTheme="majorBidi" w:cstheme="majorBidi"/>
          <w:szCs w:val="24"/>
          <w:lang w:eastAsia="zh-CN"/>
        </w:rPr>
        <w:t>100 dBW/Hz).</w:t>
      </w:r>
    </w:p>
    <w:p w14:paraId="705D9B96" w14:textId="63CF9621" w:rsidR="000832F5" w:rsidRPr="00F82642" w:rsidRDefault="000832F5" w:rsidP="000832F5">
      <w:pPr>
        <w:tabs>
          <w:tab w:val="left" w:pos="3402"/>
        </w:tabs>
        <w:rPr>
          <w:rFonts w:asciiTheme="majorBidi" w:hAnsiTheme="majorBidi" w:cstheme="majorBidi"/>
          <w:szCs w:val="24"/>
        </w:rPr>
      </w:pPr>
      <w:r w:rsidRPr="00F82642">
        <w:rPr>
          <w:rFonts w:asciiTheme="majorBidi" w:hAnsiTheme="majorBidi" w:cstheme="majorBidi"/>
          <w:szCs w:val="24"/>
        </w:rPr>
        <w:t>In view of the above, the Board decided that</w:t>
      </w:r>
      <w:r w:rsidRPr="00F82642">
        <w:rPr>
          <w:rFonts w:asciiTheme="majorBidi" w:hAnsiTheme="majorBidi" w:cstheme="majorBidi"/>
        </w:rPr>
        <w:t xml:space="preserve"> </w:t>
      </w:r>
      <w:r w:rsidRPr="00F82642">
        <w:rPr>
          <w:rFonts w:asciiTheme="majorBidi" w:hAnsiTheme="majorBidi" w:cstheme="majorBidi"/>
          <w:szCs w:val="24"/>
        </w:rPr>
        <w:t xml:space="preserve">frequency assignments to GSO satellite networks with power spectral density levels below </w:t>
      </w:r>
      <w:r w:rsidR="003F7136">
        <w:rPr>
          <w:rFonts w:asciiTheme="majorBidi" w:hAnsiTheme="majorBidi" w:cstheme="majorBidi"/>
          <w:szCs w:val="24"/>
        </w:rPr>
        <w:t>−</w:t>
      </w:r>
      <w:r w:rsidRPr="00F82642">
        <w:rPr>
          <w:rFonts w:asciiTheme="majorBidi" w:hAnsiTheme="majorBidi" w:cstheme="majorBidi"/>
          <w:szCs w:val="24"/>
        </w:rPr>
        <w:t xml:space="preserve">100 dBW/Hz were not receivable, and frequency assignments to non-GSO satellite systems or networks with power spectral density levels below </w:t>
      </w:r>
      <w:r w:rsidR="003F7136">
        <w:rPr>
          <w:rFonts w:asciiTheme="majorBidi" w:hAnsiTheme="majorBidi" w:cstheme="majorBidi"/>
          <w:szCs w:val="24"/>
        </w:rPr>
        <w:t>−</w:t>
      </w:r>
      <w:r w:rsidRPr="00F82642">
        <w:rPr>
          <w:rFonts w:asciiTheme="majorBidi" w:hAnsiTheme="majorBidi" w:cstheme="majorBidi"/>
          <w:szCs w:val="24"/>
        </w:rPr>
        <w:t xml:space="preserve">100 dBW/Hz were only receivable if clarifications were provided to the Bureau on the use of very low power spectral density values (e.g. the mode of operation, the use of spread spectrum) as well as example link budget calculations demonstrating that the submitted required </w:t>
      </w:r>
      <w:r w:rsidRPr="00F82642">
        <w:rPr>
          <w:rFonts w:asciiTheme="majorBidi" w:hAnsiTheme="majorBidi" w:cstheme="majorBidi"/>
          <w:i/>
          <w:iCs/>
          <w:szCs w:val="24"/>
        </w:rPr>
        <w:t>C</w:t>
      </w:r>
      <w:r w:rsidRPr="00F82642">
        <w:rPr>
          <w:rFonts w:asciiTheme="majorBidi" w:hAnsiTheme="majorBidi" w:cstheme="majorBidi"/>
          <w:szCs w:val="24"/>
        </w:rPr>
        <w:t>/</w:t>
      </w:r>
      <w:r w:rsidRPr="00F82642">
        <w:rPr>
          <w:rFonts w:asciiTheme="majorBidi" w:hAnsiTheme="majorBidi" w:cstheme="majorBidi"/>
          <w:i/>
          <w:iCs/>
          <w:szCs w:val="24"/>
        </w:rPr>
        <w:t>N</w:t>
      </w:r>
      <w:r w:rsidRPr="00F82642">
        <w:rPr>
          <w:rFonts w:asciiTheme="majorBidi" w:hAnsiTheme="majorBidi" w:cstheme="majorBidi"/>
          <w:szCs w:val="24"/>
        </w:rPr>
        <w:t xml:space="preserve"> ratio objective was met with sufficient interference margin (see Attachment 2 to Section B3 of Part B of the Rules of Procedure).</w:t>
      </w:r>
    </w:p>
    <w:p w14:paraId="4094C726" w14:textId="600A72EA" w:rsidR="007B5232" w:rsidRPr="00F82642" w:rsidRDefault="007B5232" w:rsidP="007B5232">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C.8.b.3.c</w:t>
      </w:r>
      <w:r w:rsidR="00603660">
        <w:rPr>
          <w:rFonts w:asciiTheme="majorBidi" w:hAnsiTheme="majorBidi" w:cstheme="majorBidi"/>
          <w:b/>
          <w:color w:val="000000"/>
          <w:szCs w:val="22"/>
        </w:rPr>
        <w:tab/>
      </w:r>
      <w:r w:rsidR="00603660">
        <w:rPr>
          <w:rFonts w:asciiTheme="majorBidi" w:hAnsiTheme="majorBidi" w:cstheme="majorBidi"/>
          <w:b/>
          <w:color w:val="000000"/>
          <w:szCs w:val="22"/>
        </w:rPr>
        <w:tab/>
      </w:r>
    </w:p>
    <w:p w14:paraId="26A8DCA4" w14:textId="77777777" w:rsidR="007B5232" w:rsidRPr="00F82642" w:rsidRDefault="007B5232" w:rsidP="007B5232">
      <w:pPr>
        <w:spacing w:before="160" w:line="280" w:lineRule="exact"/>
        <w:rPr>
          <w:rFonts w:asciiTheme="majorBidi" w:hAnsiTheme="majorBidi" w:cstheme="majorBidi"/>
          <w:szCs w:val="22"/>
        </w:rPr>
      </w:pPr>
      <w:r w:rsidRPr="00F82642">
        <w:rPr>
          <w:rFonts w:asciiTheme="majorBidi" w:hAnsiTheme="majorBidi" w:cstheme="majorBidi"/>
          <w:szCs w:val="22"/>
        </w:rPr>
        <w:t>The Board noted that the World Radiocommunication Conference (Dubai, 2023) (WRC</w:t>
      </w:r>
      <w:r w:rsidRPr="00F82642">
        <w:rPr>
          <w:rFonts w:asciiTheme="majorBidi" w:hAnsiTheme="majorBidi" w:cstheme="majorBidi"/>
          <w:szCs w:val="22"/>
        </w:rPr>
        <w:noBreakHyphen/>
        <w:t>23) added item C.8.b.3.c in order for notifying administrations to submit the necessary bandwidth for active sensors. WRC</w:t>
      </w:r>
      <w:r w:rsidRPr="00F82642">
        <w:rPr>
          <w:rFonts w:asciiTheme="majorBidi" w:hAnsiTheme="majorBidi" w:cstheme="majorBidi"/>
          <w:szCs w:val="22"/>
        </w:rPr>
        <w:noBreakHyphen/>
        <w:t>23 made the submission of that item mandatory only for active sensors operating in the Earth exploration-satellite service (EESS) (active) in the frequency bands 9 200-9 300 MHz and 9 900-10 400 MHz.</w:t>
      </w:r>
    </w:p>
    <w:p w14:paraId="37253F45" w14:textId="77777777" w:rsidR="007B5232" w:rsidRPr="00F82642" w:rsidRDefault="007B5232" w:rsidP="007B5232">
      <w:pPr>
        <w:spacing w:before="160" w:line="280" w:lineRule="exact"/>
        <w:rPr>
          <w:rFonts w:asciiTheme="majorBidi" w:hAnsiTheme="majorBidi" w:cstheme="majorBidi"/>
          <w:szCs w:val="22"/>
        </w:rPr>
      </w:pPr>
      <w:r w:rsidRPr="00F82642">
        <w:rPr>
          <w:rFonts w:asciiTheme="majorBidi" w:hAnsiTheme="majorBidi" w:cstheme="majorBidi"/>
          <w:szCs w:val="22"/>
        </w:rPr>
        <w:t>However, in order for the Bureau to be able to examine conformity with respect to Nos. </w:t>
      </w:r>
      <w:r w:rsidRPr="00F82642">
        <w:rPr>
          <w:rFonts w:asciiTheme="majorBidi" w:hAnsiTheme="majorBidi" w:cstheme="majorBidi"/>
          <w:b/>
          <w:bCs/>
          <w:szCs w:val="22"/>
        </w:rPr>
        <w:t>5.475A</w:t>
      </w:r>
      <w:r w:rsidRPr="00F82642">
        <w:rPr>
          <w:rFonts w:asciiTheme="majorBidi" w:hAnsiTheme="majorBidi" w:cstheme="majorBidi"/>
          <w:szCs w:val="22"/>
        </w:rPr>
        <w:t xml:space="preserve"> and </w:t>
      </w:r>
      <w:r w:rsidRPr="00F82642">
        <w:rPr>
          <w:rFonts w:asciiTheme="majorBidi" w:hAnsiTheme="majorBidi" w:cstheme="majorBidi"/>
          <w:b/>
          <w:bCs/>
          <w:szCs w:val="22"/>
        </w:rPr>
        <w:t>5.478A</w:t>
      </w:r>
      <w:r w:rsidRPr="00F82642">
        <w:rPr>
          <w:rFonts w:asciiTheme="majorBidi" w:hAnsiTheme="majorBidi" w:cstheme="majorBidi"/>
          <w:szCs w:val="22"/>
        </w:rPr>
        <w:t xml:space="preserve">, the necessary bandwidth information is also required for active sensors operating in the EESS (active) and the space research service (SRS) (active) when the frequency bands 9 300-9 500 MHz and 9 800-9 900 MHz are used. </w:t>
      </w:r>
    </w:p>
    <w:p w14:paraId="2AF8FCAE" w14:textId="77777777" w:rsidR="007B5232" w:rsidRPr="00F82642" w:rsidRDefault="007B5232" w:rsidP="007B5232">
      <w:pPr>
        <w:spacing w:before="160" w:line="280" w:lineRule="exact"/>
        <w:rPr>
          <w:rFonts w:asciiTheme="majorBidi" w:hAnsiTheme="majorBidi" w:cstheme="majorBidi"/>
          <w:b/>
          <w:bCs/>
          <w:szCs w:val="22"/>
        </w:rPr>
      </w:pPr>
      <w:r w:rsidRPr="00F82642">
        <w:rPr>
          <w:rFonts w:asciiTheme="majorBidi" w:hAnsiTheme="majorBidi" w:cstheme="majorBidi"/>
          <w:szCs w:val="22"/>
        </w:rPr>
        <w:t>Therefore, the Board decided that the necessary bandwidth information under item C.8.b.3.c is also required for active sensors operating in the EESS (active) and the SRS (active) using the frequency bands 9 300-9 500 MHz and 9 800-9 900 MHz at the stage of advance publication of information under Section I of Article </w:t>
      </w:r>
      <w:r w:rsidRPr="00F82642">
        <w:rPr>
          <w:rFonts w:asciiTheme="majorBidi" w:hAnsiTheme="majorBidi" w:cstheme="majorBidi"/>
          <w:b/>
          <w:bCs/>
          <w:szCs w:val="22"/>
        </w:rPr>
        <w:t xml:space="preserve">9 </w:t>
      </w:r>
      <w:r w:rsidRPr="00F82642">
        <w:rPr>
          <w:rFonts w:asciiTheme="majorBidi" w:hAnsiTheme="majorBidi" w:cstheme="majorBidi"/>
          <w:szCs w:val="22"/>
        </w:rPr>
        <w:t>(for non-geostationary-satellite orbit systems), at the stage of request for coordination (for geostationary-satellite orbit networks) and at the stage of notification under Article </w:t>
      </w:r>
      <w:r w:rsidRPr="00F82642">
        <w:rPr>
          <w:rFonts w:asciiTheme="majorBidi" w:hAnsiTheme="majorBidi" w:cstheme="majorBidi"/>
          <w:b/>
          <w:bCs/>
          <w:szCs w:val="22"/>
        </w:rPr>
        <w:t>11</w:t>
      </w:r>
      <w:r w:rsidRPr="00F82642">
        <w:rPr>
          <w:rFonts w:asciiTheme="majorBidi" w:hAnsiTheme="majorBidi" w:cstheme="majorBidi"/>
          <w:szCs w:val="22"/>
        </w:rPr>
        <w:t>.</w:t>
      </w:r>
    </w:p>
    <w:p w14:paraId="2D02650C" w14:textId="322732AC" w:rsidR="007B5232" w:rsidRPr="00F82642" w:rsidRDefault="007B5232" w:rsidP="007B5232">
      <w:pPr>
        <w:spacing w:before="160" w:line="280" w:lineRule="exact"/>
        <w:rPr>
          <w:rFonts w:asciiTheme="majorBidi" w:hAnsiTheme="majorBidi" w:cstheme="majorBidi"/>
          <w:sz w:val="28"/>
          <w:szCs w:val="32"/>
        </w:rPr>
      </w:pPr>
      <w:r w:rsidRPr="00F82642">
        <w:rPr>
          <w:rFonts w:asciiTheme="majorBidi" w:hAnsiTheme="majorBidi" w:cstheme="majorBidi"/>
          <w:szCs w:val="22"/>
        </w:rPr>
        <w:t xml:space="preserve">See also the </w:t>
      </w:r>
      <w:r w:rsidR="00D90570">
        <w:rPr>
          <w:rFonts w:asciiTheme="majorBidi" w:hAnsiTheme="majorBidi" w:cstheme="majorBidi"/>
          <w:szCs w:val="22"/>
        </w:rPr>
        <w:t>R</w:t>
      </w:r>
      <w:r w:rsidRPr="00F82642">
        <w:rPr>
          <w:rFonts w:asciiTheme="majorBidi" w:hAnsiTheme="majorBidi" w:cstheme="majorBidi"/>
          <w:szCs w:val="22"/>
        </w:rPr>
        <w:t xml:space="preserve">ules of </w:t>
      </w:r>
      <w:r w:rsidR="00D90570">
        <w:rPr>
          <w:rFonts w:asciiTheme="majorBidi" w:hAnsiTheme="majorBidi" w:cstheme="majorBidi"/>
          <w:szCs w:val="22"/>
        </w:rPr>
        <w:t>P</w:t>
      </w:r>
      <w:r w:rsidRPr="00F82642">
        <w:rPr>
          <w:rFonts w:asciiTheme="majorBidi" w:hAnsiTheme="majorBidi" w:cstheme="majorBidi"/>
          <w:szCs w:val="22"/>
        </w:rPr>
        <w:t>rocedure on Nos. </w:t>
      </w:r>
      <w:r w:rsidRPr="00F82642">
        <w:rPr>
          <w:rFonts w:asciiTheme="majorBidi" w:hAnsiTheme="majorBidi" w:cstheme="majorBidi"/>
          <w:b/>
          <w:bCs/>
          <w:szCs w:val="22"/>
        </w:rPr>
        <w:t>5.474A</w:t>
      </w:r>
      <w:r w:rsidRPr="00F82642">
        <w:rPr>
          <w:rFonts w:asciiTheme="majorBidi" w:hAnsiTheme="majorBidi" w:cstheme="majorBidi"/>
          <w:szCs w:val="22"/>
        </w:rPr>
        <w:t>,</w:t>
      </w:r>
      <w:r w:rsidRPr="00F82642">
        <w:rPr>
          <w:rFonts w:asciiTheme="majorBidi" w:hAnsiTheme="majorBidi" w:cstheme="majorBidi"/>
          <w:b/>
          <w:bCs/>
          <w:szCs w:val="22"/>
        </w:rPr>
        <w:t xml:space="preserve"> 5.475A</w:t>
      </w:r>
      <w:r w:rsidRPr="00F82642">
        <w:rPr>
          <w:rFonts w:asciiTheme="majorBidi" w:hAnsiTheme="majorBidi" w:cstheme="majorBidi"/>
          <w:szCs w:val="22"/>
        </w:rPr>
        <w:t xml:space="preserve"> and </w:t>
      </w:r>
      <w:r w:rsidRPr="00F82642">
        <w:rPr>
          <w:rFonts w:asciiTheme="majorBidi" w:hAnsiTheme="majorBidi" w:cstheme="majorBidi"/>
          <w:b/>
          <w:bCs/>
          <w:szCs w:val="22"/>
        </w:rPr>
        <w:t>5.478A</w:t>
      </w:r>
      <w:r w:rsidRPr="00F82642">
        <w:rPr>
          <w:rFonts w:asciiTheme="majorBidi" w:hAnsiTheme="majorBidi" w:cstheme="majorBidi"/>
          <w:szCs w:val="22"/>
        </w:rPr>
        <w:t>.</w:t>
      </w:r>
    </w:p>
    <w:p w14:paraId="3673F63E" w14:textId="77777777" w:rsidR="007B5232" w:rsidRPr="002B16E0" w:rsidRDefault="007B5232" w:rsidP="002B16E0">
      <w:pPr>
        <w:rPr>
          <w:color w:val="000000"/>
        </w:rPr>
      </w:pPr>
    </w:p>
    <w:p w14:paraId="108FCB05" w14:textId="77777777" w:rsidR="009829D9" w:rsidRDefault="00AF0B7C">
      <w:pPr>
        <w:jc w:val="center"/>
        <w:rPr>
          <w:color w:val="000000"/>
        </w:rPr>
        <w:sectPr w:rsidR="009829D9" w:rsidSect="00D662CC">
          <w:headerReference w:type="even" r:id="rId17"/>
          <w:footnotePr>
            <w:pos w:val="beneathText"/>
          </w:footnotePr>
          <w:pgSz w:w="11907" w:h="16840" w:code="9"/>
          <w:pgMar w:top="1701" w:right="851" w:bottom="1134" w:left="1985" w:header="720" w:footer="482" w:gutter="0"/>
          <w:cols w:space="720"/>
          <w:vAlign w:val="both"/>
        </w:sectPr>
      </w:pPr>
      <w:r w:rsidRPr="002B16E0">
        <w:rPr>
          <w:color w:val="000000"/>
        </w:rPr>
        <w:t>____________________</w:t>
      </w:r>
    </w:p>
    <w:p w14:paraId="4BADC734" w14:textId="77777777" w:rsidR="00AF0B7C" w:rsidRPr="002B16E0" w:rsidRDefault="00AF0B7C">
      <w:pPr>
        <w:jc w:val="center"/>
        <w:rPr>
          <w:color w:val="000000"/>
        </w:rPr>
      </w:pPr>
    </w:p>
    <w:p w14:paraId="64C0060E" w14:textId="77777777" w:rsidR="002B16E0" w:rsidRPr="002B16E0" w:rsidRDefault="002B16E0"/>
    <w:p w14:paraId="35B54411" w14:textId="77777777" w:rsidR="002B16E0" w:rsidRPr="002B16E0" w:rsidRDefault="002B16E0"/>
    <w:p w14:paraId="2E95F754" w14:textId="77777777" w:rsidR="00AF0B7C" w:rsidRPr="002B16E0" w:rsidRDefault="00AF0B7C"/>
    <w:sectPr w:rsidR="00AF0B7C" w:rsidRPr="002B16E0" w:rsidSect="002B16E0">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B93B7" w14:textId="77777777" w:rsidR="002D6435" w:rsidRDefault="002D6435">
      <w:r>
        <w:separator/>
      </w:r>
    </w:p>
  </w:endnote>
  <w:endnote w:type="continuationSeparator" w:id="0">
    <w:p w14:paraId="161D590C" w14:textId="77777777" w:rsidR="002D6435" w:rsidRDefault="002D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4F56C" w14:textId="77777777" w:rsidR="003A11F6" w:rsidRDefault="003A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2BAC" w14:textId="77777777" w:rsidR="003A11F6" w:rsidRDefault="003A11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93534" w14:textId="77777777" w:rsidR="003A11F6" w:rsidRDefault="003A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8C39" w14:textId="77777777" w:rsidR="002D6435" w:rsidRDefault="002D6435">
      <w:r>
        <w:rPr>
          <w:b/>
        </w:rPr>
        <w:t>_______________</w:t>
      </w:r>
    </w:p>
  </w:footnote>
  <w:footnote w:type="continuationSeparator" w:id="0">
    <w:p w14:paraId="26DE3C20" w14:textId="77777777" w:rsidR="002D6435" w:rsidRDefault="002D6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662CC" w14:paraId="479D3E5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D916BCA" w14:textId="59292B09" w:rsidR="00D662CC" w:rsidRDefault="00206D9F">
          <w:pPr>
            <w:pStyle w:val="HeaderRegProc"/>
          </w:pPr>
          <w:r>
            <w:t>Part A</w:t>
          </w:r>
          <w:r w:rsidR="008210E6" w:rsidRPr="008210E6">
            <w:rPr>
              <w:lang w:val="en-GB"/>
            </w:rPr>
            <w:fldChar w:fldCharType="begin"/>
          </w:r>
          <w:r w:rsidR="008210E6" w:rsidRPr="008210E6">
            <w:rPr>
              <w:lang w:val="en-GB"/>
            </w:rPr>
            <w:instrText>styleref href</w:instrText>
          </w:r>
          <w:r w:rsidR="008210E6" w:rsidRPr="008210E6">
            <w:rPr>
              <w:lang w:val="en-GB"/>
            </w:rPr>
            <w:fldChar w:fldCharType="separate"/>
          </w:r>
          <w:r w:rsidR="003A11F6">
            <w:rPr>
              <w:noProof/>
              <w:lang w:val="en-GB"/>
            </w:rPr>
            <w:t>1</w:t>
          </w:r>
          <w:r w:rsidR="008210E6"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4EE115D3" w14:textId="44067078" w:rsidR="00D662CC" w:rsidRDefault="003A11F6">
          <w:pPr>
            <w:pStyle w:val="HeaderRegProc"/>
            <w:rPr>
              <w:lang w:val="fr-FR"/>
            </w:rPr>
          </w:pPr>
          <w:fldSimple w:instr=" DOCPROPERTY &quot;Header1&quot; \* MERGEFORMAT ">
            <w:r>
              <w:t>AP</w:t>
            </w:r>
          </w:fldSimple>
          <w:r w:rsidR="00D662CC" w:rsidRPr="00F548E0">
            <w:fldChar w:fldCharType="begin"/>
          </w:r>
          <w:r w:rsidR="00D662CC" w:rsidRPr="00F548E0">
            <w:instrText>styleref href2</w:instrText>
          </w:r>
          <w:r w:rsidR="00D662CC" w:rsidRPr="00F548E0">
            <w:fldChar w:fldCharType="separate"/>
          </w:r>
          <w:r>
            <w:rPr>
              <w:noProof/>
            </w:rPr>
            <w:t>4</w:t>
          </w:r>
          <w:r w:rsidR="00D662CC"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F19CB" w14:textId="77777777" w:rsidR="00D662CC" w:rsidRDefault="00D662CC" w:rsidP="00C0713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5D47ED" w14:textId="6B87D0C6" w:rsidR="00D662CC" w:rsidRDefault="00D662CC" w:rsidP="00C07138">
          <w:pPr>
            <w:pStyle w:val="HeaderRegProc"/>
            <w:rPr>
              <w:lang w:val="fr-CH"/>
            </w:rPr>
          </w:pPr>
          <w:r>
            <w:rPr>
              <w:lang w:val="fr-CH"/>
            </w:rPr>
            <w:t xml:space="preserve">rev. </w:t>
          </w:r>
          <w:r w:rsidR="00CE4335">
            <w:t>5</w:t>
          </w:r>
        </w:p>
      </w:tc>
    </w:tr>
  </w:tbl>
  <w:p w14:paraId="766E6BDF" w14:textId="77777777" w:rsidR="00D662CC" w:rsidRDefault="00D662CC">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62CC" w14:paraId="0597A33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1726150" w14:textId="675F6EF5" w:rsidR="00D662CC" w:rsidRDefault="00206D9F" w:rsidP="00206D9F">
          <w:pPr>
            <w:pStyle w:val="HeaderRegProc"/>
            <w:jc w:val="left"/>
          </w:pPr>
          <w:r>
            <w:t>Part A</w:t>
          </w:r>
          <w:r w:rsidR="008210E6" w:rsidRPr="008210E6">
            <w:rPr>
              <w:lang w:val="en-GB"/>
            </w:rPr>
            <w:fldChar w:fldCharType="begin"/>
          </w:r>
          <w:r w:rsidR="008210E6" w:rsidRPr="008210E6">
            <w:rPr>
              <w:lang w:val="en-GB"/>
            </w:rPr>
            <w:instrText>styleref href</w:instrText>
          </w:r>
          <w:r w:rsidR="008210E6" w:rsidRPr="008210E6">
            <w:rPr>
              <w:lang w:val="en-GB"/>
            </w:rPr>
            <w:fldChar w:fldCharType="separate"/>
          </w:r>
          <w:r w:rsidR="00D90570">
            <w:rPr>
              <w:noProof/>
              <w:lang w:val="en-GB"/>
            </w:rPr>
            <w:t>1</w:t>
          </w:r>
          <w:r w:rsidR="008210E6"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5C0C06A3" w14:textId="0B46D4E4" w:rsidR="00D662CC" w:rsidRDefault="003A11F6">
          <w:pPr>
            <w:pStyle w:val="HeaderRegProc"/>
            <w:rPr>
              <w:lang w:val="fr-FR"/>
            </w:rPr>
          </w:pPr>
          <w:fldSimple w:instr=" DOCPROPERTY &quot;Header1&quot; \* MERGEFORMAT ">
            <w:r>
              <w:t>AP</w:t>
            </w:r>
          </w:fldSimple>
          <w:r w:rsidR="00D662CC">
            <w:fldChar w:fldCharType="begin"/>
          </w:r>
          <w:r w:rsidR="00D662CC">
            <w:instrText>styleref href2</w:instrText>
          </w:r>
          <w:r w:rsidR="00D662CC">
            <w:fldChar w:fldCharType="separate"/>
          </w:r>
          <w:r w:rsidR="00D90570">
            <w:rPr>
              <w:noProof/>
            </w:rPr>
            <w:t>4</w:t>
          </w:r>
          <w:r w:rsidR="00D662C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678D7B" w14:textId="77777777" w:rsidR="00D662CC" w:rsidRDefault="00D662C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AB8199" w14:textId="27186FE8" w:rsidR="00D662CC" w:rsidRDefault="00D662CC" w:rsidP="00C07138">
          <w:pPr>
            <w:pStyle w:val="HeaderRegProc"/>
            <w:rPr>
              <w:lang w:val="fr-CH"/>
            </w:rPr>
          </w:pPr>
          <w:r>
            <w:rPr>
              <w:lang w:val="fr-CH"/>
            </w:rPr>
            <w:t xml:space="preserve">rev. </w:t>
          </w:r>
          <w:r w:rsidR="003A11F6">
            <w:rPr>
              <w:lang w:val="fr-CH"/>
            </w:rPr>
            <w:t>-</w:t>
          </w:r>
        </w:p>
      </w:tc>
    </w:tr>
  </w:tbl>
  <w:p w14:paraId="255D96FA" w14:textId="77777777" w:rsidR="00D662CC" w:rsidRDefault="00D66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BAFE4" w14:textId="77777777" w:rsidR="003A11F6" w:rsidRDefault="003A1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0C6D" w14:paraId="65BCCC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ED13769" w14:textId="3F988E80" w:rsidR="00330C6D" w:rsidRDefault="00330C6D">
          <w:pPr>
            <w:pStyle w:val="HeaderRegProc"/>
          </w:pPr>
          <w:r>
            <w:t>Part A</w:t>
          </w:r>
          <w:r w:rsidRPr="008210E6">
            <w:rPr>
              <w:lang w:val="en-GB"/>
            </w:rPr>
            <w:fldChar w:fldCharType="begin"/>
          </w:r>
          <w:r w:rsidRPr="008210E6">
            <w:rPr>
              <w:lang w:val="en-GB"/>
            </w:rPr>
            <w:instrText>styleref href</w:instrText>
          </w:r>
          <w:r w:rsidRPr="008210E6">
            <w:rPr>
              <w:lang w:val="en-GB"/>
            </w:rPr>
            <w:fldChar w:fldCharType="separate"/>
          </w:r>
          <w:r w:rsidR="00D90570">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1B47ACEF" w14:textId="3A8CCA21" w:rsidR="00330C6D" w:rsidRDefault="003A11F6">
          <w:pPr>
            <w:pStyle w:val="HeaderRegProc"/>
            <w:rPr>
              <w:lang w:val="fr-FR"/>
            </w:rPr>
          </w:pPr>
          <w:fldSimple w:instr=" DOCPROPERTY &quot;Header1&quot; \* MERGEFORMAT ">
            <w:r>
              <w:t>AP</w:t>
            </w:r>
          </w:fldSimple>
          <w:r w:rsidR="00330C6D" w:rsidRPr="00F548E0">
            <w:fldChar w:fldCharType="begin"/>
          </w:r>
          <w:r w:rsidR="00330C6D" w:rsidRPr="00F548E0">
            <w:instrText>styleref href2</w:instrText>
          </w:r>
          <w:r w:rsidR="00330C6D" w:rsidRPr="00F548E0">
            <w:fldChar w:fldCharType="separate"/>
          </w:r>
          <w:r w:rsidR="00D90570">
            <w:rPr>
              <w:noProof/>
            </w:rPr>
            <w:t>4</w:t>
          </w:r>
          <w:r w:rsidR="00330C6D"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C214FB" w14:textId="72D60E65" w:rsidR="00330C6D" w:rsidRDefault="00330C6D" w:rsidP="00C07138">
          <w:pPr>
            <w:pStyle w:val="HeaderRegProc"/>
            <w:rPr>
              <w:lang w:val="fr-CH"/>
            </w:rPr>
          </w:pPr>
          <w:r>
            <w:rPr>
              <w:lang w:val="fr-FR"/>
            </w:rPr>
            <w:t xml:space="preserve">page </w:t>
          </w:r>
          <w:r w:rsidR="003A11F6">
            <w:rPr>
              <w:rStyle w:val="PageNumber"/>
            </w:rPr>
            <w:fldChar w:fldCharType="begin"/>
          </w:r>
          <w:r w:rsidR="003A11F6">
            <w:rPr>
              <w:rStyle w:val="PageNumber"/>
            </w:rPr>
            <w:instrText xml:space="preserve"> PAGE </w:instrText>
          </w:r>
          <w:r w:rsidR="003A11F6">
            <w:rPr>
              <w:rStyle w:val="PageNumber"/>
            </w:rPr>
            <w:fldChar w:fldCharType="separate"/>
          </w:r>
          <w:r w:rsidR="003A11F6">
            <w:rPr>
              <w:rStyle w:val="PageNumber"/>
            </w:rPr>
            <w:t>3</w:t>
          </w:r>
          <w:r w:rsidR="003A11F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ABB7F3" w14:textId="251C8367" w:rsidR="00330C6D" w:rsidRPr="00E641CF" w:rsidRDefault="00330C6D" w:rsidP="00C07138">
          <w:pPr>
            <w:pStyle w:val="HeaderRegProc"/>
            <w:rPr>
              <w:i/>
              <w:iCs/>
              <w:lang w:val="fr-CH"/>
            </w:rPr>
          </w:pPr>
          <w:r>
            <w:rPr>
              <w:lang w:val="fr-CH"/>
            </w:rPr>
            <w:t xml:space="preserve">rev. </w:t>
          </w:r>
          <w:r w:rsidR="003A11F6">
            <w:t>-</w:t>
          </w:r>
        </w:p>
      </w:tc>
    </w:tr>
  </w:tbl>
  <w:p w14:paraId="16F0DD12" w14:textId="77777777" w:rsidR="00330C6D" w:rsidRDefault="00330C6D">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54E31" w14:paraId="0E524D85" w14:textId="77777777" w:rsidTr="00DC663F">
      <w:trPr>
        <w:cantSplit/>
      </w:trPr>
      <w:tc>
        <w:tcPr>
          <w:tcW w:w="1701" w:type="dxa"/>
          <w:tcBorders>
            <w:top w:val="single" w:sz="6" w:space="0" w:color="auto"/>
            <w:left w:val="single" w:sz="6" w:space="0" w:color="auto"/>
            <w:bottom w:val="single" w:sz="6" w:space="0" w:color="auto"/>
            <w:right w:val="single" w:sz="6" w:space="0" w:color="auto"/>
          </w:tcBorders>
        </w:tcPr>
        <w:p w14:paraId="6E7059F1" w14:textId="461C6F3F" w:rsidR="00454E31" w:rsidRDefault="00454E31">
          <w:pPr>
            <w:pStyle w:val="HeaderRegProc"/>
          </w:pPr>
          <w:r>
            <w:t>Part A</w:t>
          </w:r>
          <w:r w:rsidRPr="008210E6">
            <w:rPr>
              <w:lang w:val="en-GB"/>
            </w:rPr>
            <w:fldChar w:fldCharType="begin"/>
          </w:r>
          <w:r w:rsidRPr="008210E6">
            <w:rPr>
              <w:lang w:val="en-GB"/>
            </w:rPr>
            <w:instrText>styleref href</w:instrText>
          </w:r>
          <w:r w:rsidRPr="008210E6">
            <w:rPr>
              <w:lang w:val="en-GB"/>
            </w:rPr>
            <w:fldChar w:fldCharType="separate"/>
          </w:r>
          <w:r w:rsidR="003A11F6">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67377154" w14:textId="60B47C8B" w:rsidR="00454E31" w:rsidRDefault="003A11F6">
          <w:pPr>
            <w:pStyle w:val="HeaderRegProc"/>
            <w:rPr>
              <w:lang w:val="fr-FR"/>
            </w:rPr>
          </w:pPr>
          <w:fldSimple w:instr=" DOCPROPERTY &quot;Header1&quot; \* MERGEFORMAT ">
            <w:r>
              <w:t>AP</w:t>
            </w:r>
          </w:fldSimple>
          <w:r w:rsidR="00454E31" w:rsidRPr="00F548E0">
            <w:fldChar w:fldCharType="begin"/>
          </w:r>
          <w:r w:rsidR="00454E31" w:rsidRPr="00F548E0">
            <w:instrText>styleref href2</w:instrText>
          </w:r>
          <w:r w:rsidR="00454E31" w:rsidRPr="00F548E0">
            <w:fldChar w:fldCharType="separate"/>
          </w:r>
          <w:r>
            <w:rPr>
              <w:noProof/>
            </w:rPr>
            <w:t>4</w:t>
          </w:r>
          <w:r w:rsidR="00454E31"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38A3E" w14:textId="73D45C3A" w:rsidR="00454E31" w:rsidRDefault="00454E31" w:rsidP="00C07138">
          <w:pPr>
            <w:pStyle w:val="HeaderRegProc"/>
            <w:rPr>
              <w:lang w:val="fr-CH"/>
            </w:rPr>
          </w:pPr>
          <w:r>
            <w:rPr>
              <w:lang w:val="fr-FR"/>
            </w:rPr>
            <w:t xml:space="preserve">page </w:t>
          </w:r>
          <w:r>
            <w:rPr>
              <w:rStyle w:val="PageNumber"/>
            </w:rPr>
            <w:t>4</w:t>
          </w:r>
        </w:p>
      </w:tc>
      <w:tc>
        <w:tcPr>
          <w:tcW w:w="1701" w:type="dxa"/>
          <w:tcBorders>
            <w:top w:val="single" w:sz="6" w:space="0" w:color="auto"/>
            <w:left w:val="single" w:sz="6" w:space="0" w:color="auto"/>
            <w:bottom w:val="single" w:sz="6" w:space="0" w:color="auto"/>
            <w:right w:val="single" w:sz="6" w:space="0" w:color="auto"/>
          </w:tcBorders>
        </w:tcPr>
        <w:p w14:paraId="03DB477E" w14:textId="77777777" w:rsidR="00454E31" w:rsidRPr="00E641CF" w:rsidRDefault="00454E31" w:rsidP="00C07138">
          <w:pPr>
            <w:pStyle w:val="HeaderRegProc"/>
            <w:rPr>
              <w:i/>
              <w:iCs/>
              <w:lang w:val="fr-CH"/>
            </w:rPr>
          </w:pPr>
          <w:r>
            <w:rPr>
              <w:lang w:val="fr-CH"/>
            </w:rPr>
            <w:t xml:space="preserve">rev. </w:t>
          </w:r>
          <w:r>
            <w:t>5</w:t>
          </w:r>
        </w:p>
      </w:tc>
    </w:tr>
  </w:tbl>
  <w:p w14:paraId="0674A942" w14:textId="77777777" w:rsidR="00454E31" w:rsidRDefault="00454E31">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6A9E" w14:textId="77777777" w:rsidR="00AF0B7C" w:rsidRDefault="00AF0B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2D61"/>
    <w:rsid w:val="000111A2"/>
    <w:rsid w:val="00012616"/>
    <w:rsid w:val="00021E21"/>
    <w:rsid w:val="00024D90"/>
    <w:rsid w:val="000832F5"/>
    <w:rsid w:val="00086C0C"/>
    <w:rsid w:val="000C1E96"/>
    <w:rsid w:val="000D04E2"/>
    <w:rsid w:val="000E35C0"/>
    <w:rsid w:val="001027CF"/>
    <w:rsid w:val="00105DCC"/>
    <w:rsid w:val="00135C88"/>
    <w:rsid w:val="00166D8B"/>
    <w:rsid w:val="001700F1"/>
    <w:rsid w:val="001B6B3C"/>
    <w:rsid w:val="001D5A01"/>
    <w:rsid w:val="001D7A87"/>
    <w:rsid w:val="00206D9F"/>
    <w:rsid w:val="0021179E"/>
    <w:rsid w:val="00212C81"/>
    <w:rsid w:val="002146F2"/>
    <w:rsid w:val="002427B4"/>
    <w:rsid w:val="002A7DE3"/>
    <w:rsid w:val="002B16E0"/>
    <w:rsid w:val="002D6435"/>
    <w:rsid w:val="002F6FCF"/>
    <w:rsid w:val="00330C6D"/>
    <w:rsid w:val="00354B62"/>
    <w:rsid w:val="003A11F6"/>
    <w:rsid w:val="003D6283"/>
    <w:rsid w:val="003E721A"/>
    <w:rsid w:val="003F0D25"/>
    <w:rsid w:val="003F7136"/>
    <w:rsid w:val="00434A49"/>
    <w:rsid w:val="00454E31"/>
    <w:rsid w:val="00466A49"/>
    <w:rsid w:val="00477634"/>
    <w:rsid w:val="004A6A29"/>
    <w:rsid w:val="004E17F5"/>
    <w:rsid w:val="004F41A7"/>
    <w:rsid w:val="005005CC"/>
    <w:rsid w:val="00527E1B"/>
    <w:rsid w:val="005562C5"/>
    <w:rsid w:val="0056001A"/>
    <w:rsid w:val="005871B9"/>
    <w:rsid w:val="005B0B8B"/>
    <w:rsid w:val="005B5285"/>
    <w:rsid w:val="005C3B2E"/>
    <w:rsid w:val="005F65FF"/>
    <w:rsid w:val="00603660"/>
    <w:rsid w:val="0060703D"/>
    <w:rsid w:val="006344F2"/>
    <w:rsid w:val="006517DB"/>
    <w:rsid w:val="00651B12"/>
    <w:rsid w:val="006B1C46"/>
    <w:rsid w:val="006C0664"/>
    <w:rsid w:val="00740FE7"/>
    <w:rsid w:val="007A6032"/>
    <w:rsid w:val="007B5232"/>
    <w:rsid w:val="00813138"/>
    <w:rsid w:val="008210E6"/>
    <w:rsid w:val="00844F95"/>
    <w:rsid w:val="00847A3B"/>
    <w:rsid w:val="008873FB"/>
    <w:rsid w:val="008B7838"/>
    <w:rsid w:val="008F0F49"/>
    <w:rsid w:val="009737BD"/>
    <w:rsid w:val="009829D9"/>
    <w:rsid w:val="00990972"/>
    <w:rsid w:val="009B2B0E"/>
    <w:rsid w:val="009D2D61"/>
    <w:rsid w:val="009F7C88"/>
    <w:rsid w:val="00A264AE"/>
    <w:rsid w:val="00A35B35"/>
    <w:rsid w:val="00A70933"/>
    <w:rsid w:val="00A72E0C"/>
    <w:rsid w:val="00AD2728"/>
    <w:rsid w:val="00AE3AE6"/>
    <w:rsid w:val="00AF0B7C"/>
    <w:rsid w:val="00B27B47"/>
    <w:rsid w:val="00B629AB"/>
    <w:rsid w:val="00BC3BC8"/>
    <w:rsid w:val="00BD11B7"/>
    <w:rsid w:val="00C03D61"/>
    <w:rsid w:val="00C07138"/>
    <w:rsid w:val="00C440DF"/>
    <w:rsid w:val="00CA17AA"/>
    <w:rsid w:val="00CB1D66"/>
    <w:rsid w:val="00CC1957"/>
    <w:rsid w:val="00CE4335"/>
    <w:rsid w:val="00D24FE0"/>
    <w:rsid w:val="00D3240C"/>
    <w:rsid w:val="00D34817"/>
    <w:rsid w:val="00D573AE"/>
    <w:rsid w:val="00D662CC"/>
    <w:rsid w:val="00D90570"/>
    <w:rsid w:val="00D94F5F"/>
    <w:rsid w:val="00D96C6B"/>
    <w:rsid w:val="00DA5011"/>
    <w:rsid w:val="00DC663F"/>
    <w:rsid w:val="00DE08BC"/>
    <w:rsid w:val="00E24BCD"/>
    <w:rsid w:val="00E44ECB"/>
    <w:rsid w:val="00E641CF"/>
    <w:rsid w:val="00E70951"/>
    <w:rsid w:val="00EE39B4"/>
    <w:rsid w:val="00F548E0"/>
    <w:rsid w:val="00F54CBE"/>
    <w:rsid w:val="00F82642"/>
    <w:rsid w:val="00F931D5"/>
    <w:rsid w:val="00FA12AF"/>
    <w:rsid w:val="00FE77A8"/>
    <w:rsid w:val="00FF52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51F9A"/>
  <w15:docId w15:val="{A4193E75-99A7-4508-B39B-CBB6ACDE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Char">
    <w:name w:val="Char"/>
    <w:basedOn w:val="Normal"/>
    <w:rsid w:val="009D2D6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styleId="Revision">
    <w:name w:val="Revision"/>
    <w:hidden/>
    <w:uiPriority w:val="99"/>
    <w:semiHidden/>
    <w:rsid w:val="0060703D"/>
    <w:rPr>
      <w:sz w:val="24"/>
      <w:lang w:val="en-GB" w:eastAsia="en-US"/>
    </w:rPr>
  </w:style>
  <w:style w:type="character" w:styleId="Hyperlink">
    <w:name w:val="Hyperlink"/>
    <w:basedOn w:val="DefaultParagraphFont"/>
    <w:unhideWhenUsed/>
    <w:rsid w:val="000832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tu.int/md/R15-WRC15-C-0004/en" TargetMode="External"/><Relationship Id="rId18"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5.xml"/><Relationship Id="rId2" Type="http://schemas.openxmlformats.org/officeDocument/2006/relationships/settings" Target="settings.xml"/><Relationship Id="rId16" Type="http://schemas.openxmlformats.org/officeDocument/2006/relationships/hyperlink" Target="https://www.itu.int/md/R16-WRC19-C-0451/en"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itu.int/md/R15-WRC15-C-0505/en" TargetMode="Externa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www.itu.int/md/R16-WRC19-C-0004/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296</TotalTime>
  <Pages>6</Pages>
  <Words>1593</Words>
  <Characters>10551</Characters>
  <Application>Microsoft Office Word</Application>
  <DocSecurity>0</DocSecurity>
  <Lines>405</Lines>
  <Paragraphs>275</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AP4</dc:subject>
  <dc:creator/>
  <cp:keywords/>
  <dc:description/>
  <cp:lastModifiedBy>Gachet, Christelle</cp:lastModifiedBy>
  <cp:revision>77</cp:revision>
  <cp:lastPrinted>2024-11-28T12:17:00Z</cp:lastPrinted>
  <dcterms:created xsi:type="dcterms:W3CDTF">2012-08-08T06:50:00Z</dcterms:created>
  <dcterms:modified xsi:type="dcterms:W3CDTF">2025-12-02T13:50:00Z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