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8D4BA" w14:textId="77777777" w:rsidR="003E6A49" w:rsidRPr="00082593" w:rsidRDefault="003E6A49" w:rsidP="00082593">
      <w:pPr>
        <w:pStyle w:val="Heading1"/>
        <w:spacing w:before="300"/>
        <w:jc w:val="center"/>
      </w:pPr>
      <w:r w:rsidRPr="00082593">
        <w:t>Rules concerning</w:t>
      </w:r>
    </w:p>
    <w:p w14:paraId="0C45B83E" w14:textId="77777777" w:rsidR="003E6A49" w:rsidRPr="00082593" w:rsidRDefault="003E6A49">
      <w:pPr>
        <w:pStyle w:val="Heading2"/>
        <w:jc w:val="center"/>
      </w:pPr>
      <w:r w:rsidRPr="00082593">
        <w:t>ARTICLE</w:t>
      </w:r>
      <w:r w:rsidR="00082593" w:rsidRPr="00082593">
        <w:t xml:space="preserve"> </w:t>
      </w:r>
      <w:r w:rsidRPr="00082593">
        <w:t xml:space="preserve"> </w:t>
      </w:r>
      <w:r w:rsidRPr="00082593">
        <w:rPr>
          <w:rStyle w:val="href2"/>
        </w:rPr>
        <w:t>22</w:t>
      </w:r>
      <w:r w:rsidRPr="00082593">
        <w:t xml:space="preserve"> of the RR</w:t>
      </w:r>
    </w:p>
    <w:p w14:paraId="24F321BC" w14:textId="3D1CD6F7" w:rsidR="00171D95" w:rsidRPr="00C0439A" w:rsidRDefault="00171D95" w:rsidP="00171D95">
      <w:pPr>
        <w:keepNext/>
        <w:keepLines/>
        <w:pBdr>
          <w:top w:val="double" w:sz="6" w:space="1" w:color="auto"/>
          <w:left w:val="double" w:sz="6" w:space="1" w:color="auto"/>
          <w:bottom w:val="double" w:sz="6" w:space="1" w:color="auto"/>
          <w:right w:val="double" w:sz="6" w:space="1" w:color="auto"/>
        </w:pBdr>
        <w:spacing w:before="400"/>
        <w:ind w:left="85" w:right="7938"/>
        <w:outlineLvl w:val="7"/>
        <w:rPr>
          <w:rFonts w:asciiTheme="majorBidi" w:hAnsiTheme="majorBidi" w:cstheme="majorBidi"/>
          <w:b/>
        </w:rPr>
      </w:pPr>
      <w:r w:rsidRPr="00C0439A">
        <w:rPr>
          <w:rFonts w:asciiTheme="majorBidi" w:hAnsiTheme="majorBidi" w:cstheme="majorBidi"/>
          <w:b/>
        </w:rPr>
        <w:t>22.5K</w:t>
      </w:r>
      <w:r w:rsidR="008C40F5">
        <w:rPr>
          <w:rFonts w:asciiTheme="majorBidi" w:hAnsiTheme="majorBidi" w:cstheme="majorBidi"/>
          <w:b/>
        </w:rPr>
        <w:tab/>
      </w:r>
      <w:r w:rsidR="008C40F5">
        <w:rPr>
          <w:rFonts w:asciiTheme="majorBidi" w:hAnsiTheme="majorBidi" w:cstheme="majorBidi"/>
          <w:b/>
        </w:rPr>
        <w:tab/>
      </w:r>
    </w:p>
    <w:p w14:paraId="1E61F161" w14:textId="77777777" w:rsidR="00171D95" w:rsidRPr="00C0439A" w:rsidRDefault="00171D95" w:rsidP="00171D95">
      <w:pPr>
        <w:spacing w:before="160" w:line="280" w:lineRule="exact"/>
        <w:rPr>
          <w:rFonts w:asciiTheme="majorBidi" w:hAnsiTheme="majorBidi" w:cstheme="majorBidi"/>
          <w:szCs w:val="24"/>
        </w:rPr>
      </w:pPr>
      <w:r w:rsidRPr="00C0439A">
        <w:rPr>
          <w:rFonts w:asciiTheme="majorBidi" w:hAnsiTheme="majorBidi" w:cstheme="majorBidi"/>
          <w:szCs w:val="24"/>
        </w:rPr>
        <w:t xml:space="preserve">Noting that </w:t>
      </w:r>
      <w:r w:rsidRPr="00C0439A">
        <w:rPr>
          <w:rFonts w:asciiTheme="majorBidi" w:hAnsiTheme="majorBidi" w:cstheme="majorBidi"/>
          <w:szCs w:val="22"/>
        </w:rPr>
        <w:t>references to Resolution </w:t>
      </w:r>
      <w:r w:rsidRPr="00C0439A">
        <w:rPr>
          <w:rFonts w:asciiTheme="majorBidi" w:hAnsiTheme="majorBidi" w:cstheme="majorBidi"/>
          <w:b/>
          <w:bCs/>
          <w:szCs w:val="22"/>
        </w:rPr>
        <w:t xml:space="preserve">76 </w:t>
      </w:r>
      <w:r w:rsidRPr="00C0439A">
        <w:rPr>
          <w:rFonts w:asciiTheme="majorBidi" w:hAnsiTheme="majorBidi" w:cstheme="majorBidi"/>
          <w:b/>
          <w:bCs/>
          <w:szCs w:val="24"/>
        </w:rPr>
        <w:t>(Rev.WRC</w:t>
      </w:r>
      <w:r w:rsidRPr="00C0439A">
        <w:rPr>
          <w:rFonts w:asciiTheme="majorBidi" w:hAnsiTheme="majorBidi" w:cstheme="majorBidi"/>
          <w:b/>
          <w:bCs/>
          <w:szCs w:val="24"/>
        </w:rPr>
        <w:noBreakHyphen/>
        <w:t>23)</w:t>
      </w:r>
      <w:r w:rsidRPr="00C0439A">
        <w:rPr>
          <w:rFonts w:asciiTheme="majorBidi" w:hAnsiTheme="majorBidi" w:cstheme="majorBidi"/>
          <w:szCs w:val="22"/>
        </w:rPr>
        <w:t xml:space="preserve"> were not updated by the World Radiocommunication Conference (Dubai, 2023) (WRC</w:t>
      </w:r>
      <w:r w:rsidRPr="00C0439A">
        <w:rPr>
          <w:rFonts w:asciiTheme="majorBidi" w:hAnsiTheme="majorBidi" w:cstheme="majorBidi"/>
          <w:szCs w:val="22"/>
        </w:rPr>
        <w:noBreakHyphen/>
        <w:t>23) in No. </w:t>
      </w:r>
      <w:r w:rsidRPr="00C0439A">
        <w:rPr>
          <w:rFonts w:asciiTheme="majorBidi" w:hAnsiTheme="majorBidi" w:cstheme="majorBidi"/>
          <w:b/>
          <w:bCs/>
          <w:szCs w:val="22"/>
        </w:rPr>
        <w:t>22.5K</w:t>
      </w:r>
      <w:r w:rsidRPr="00C0439A">
        <w:rPr>
          <w:rFonts w:asciiTheme="majorBidi" w:hAnsiTheme="majorBidi" w:cstheme="majorBidi"/>
          <w:szCs w:val="22"/>
        </w:rPr>
        <w:t>, the Board decided that t</w:t>
      </w:r>
      <w:r w:rsidRPr="00C0439A">
        <w:rPr>
          <w:rFonts w:asciiTheme="majorBidi" w:hAnsiTheme="majorBidi" w:cstheme="majorBidi"/>
          <w:szCs w:val="24"/>
        </w:rPr>
        <w:t>he provision applies to non-geostationary satellite (non-GSO) systems operating in the fixed-satellite service in the frequency bands and regions listed in Tables 1A, 1B, 1C and 1D of Resolution </w:t>
      </w:r>
      <w:r w:rsidRPr="00C0439A">
        <w:rPr>
          <w:rFonts w:asciiTheme="majorBidi" w:hAnsiTheme="majorBidi" w:cstheme="majorBidi"/>
          <w:b/>
          <w:bCs/>
          <w:szCs w:val="24"/>
        </w:rPr>
        <w:t>76</w:t>
      </w:r>
      <w:r w:rsidRPr="00C0439A">
        <w:rPr>
          <w:rFonts w:asciiTheme="majorBidi" w:hAnsiTheme="majorBidi" w:cstheme="majorBidi"/>
          <w:szCs w:val="24"/>
        </w:rPr>
        <w:t xml:space="preserve"> </w:t>
      </w:r>
      <w:r w:rsidRPr="00C0439A">
        <w:rPr>
          <w:rFonts w:asciiTheme="majorBidi" w:hAnsiTheme="majorBidi" w:cstheme="majorBidi"/>
          <w:b/>
          <w:bCs/>
          <w:szCs w:val="24"/>
        </w:rPr>
        <w:t>(Rev.WRC</w:t>
      </w:r>
      <w:r w:rsidRPr="00C0439A">
        <w:rPr>
          <w:rFonts w:asciiTheme="majorBidi" w:hAnsiTheme="majorBidi" w:cstheme="majorBidi"/>
          <w:b/>
          <w:bCs/>
          <w:szCs w:val="24"/>
        </w:rPr>
        <w:noBreakHyphen/>
        <w:t>23)</w:t>
      </w:r>
      <w:r w:rsidRPr="00C0439A">
        <w:rPr>
          <w:rFonts w:asciiTheme="majorBidi" w:hAnsiTheme="majorBidi" w:cstheme="majorBidi"/>
          <w:szCs w:val="24"/>
        </w:rPr>
        <w:t>. In addition, the Board concluded that it does not apply to non-GSO systems operating in the fixed-satellite service in the frequency band 17.3-17.7 GHz in Region 2.</w:t>
      </w:r>
    </w:p>
    <w:p w14:paraId="1AC93EDD" w14:textId="77777777" w:rsidR="003E6A49" w:rsidRPr="00082593" w:rsidRDefault="003E6A49">
      <w:pPr>
        <w:pStyle w:val="Heading8"/>
      </w:pPr>
      <w:r w:rsidRPr="00082593">
        <w:t>22.10</w:t>
      </w:r>
    </w:p>
    <w:p w14:paraId="357D58A9" w14:textId="77777777" w:rsidR="003E6A49" w:rsidRPr="00082593" w:rsidRDefault="003E6A49" w:rsidP="00D36EAF">
      <w:pPr>
        <w:spacing w:line="270" w:lineRule="exact"/>
      </w:pPr>
      <w:r w:rsidRPr="00082593">
        <w:t>The Board considers that this provision means that it is for the administration concerned to decide if it can or cannot comply with the limit specified in No. </w:t>
      </w:r>
      <w:r w:rsidRPr="00082593">
        <w:rPr>
          <w:rStyle w:val="Artref"/>
          <w:b/>
          <w:bCs/>
          <w:color w:val="000000"/>
        </w:rPr>
        <w:t>22.8</w:t>
      </w:r>
      <w:r w:rsidRPr="00082593">
        <w:t>. So far as the conformity examination of the Bureau with respect to No. </w:t>
      </w:r>
      <w:r w:rsidRPr="00082593">
        <w:rPr>
          <w:rStyle w:val="Artref"/>
          <w:b/>
          <w:bCs/>
          <w:color w:val="000000"/>
        </w:rPr>
        <w:t>22.10</w:t>
      </w:r>
      <w:r w:rsidRPr="00082593">
        <w:t xml:space="preserve"> is concerned, the Bureau shall formulate a favourable </w:t>
      </w:r>
      <w:r w:rsidR="00D36EAF">
        <w:t>f</w:t>
      </w:r>
      <w:r w:rsidRPr="00082593">
        <w:t>inding under No. </w:t>
      </w:r>
      <w:r w:rsidRPr="00082593">
        <w:rPr>
          <w:rStyle w:val="Artref"/>
          <w:b/>
          <w:bCs/>
          <w:color w:val="000000"/>
        </w:rPr>
        <w:t>11.31</w:t>
      </w:r>
      <w:r w:rsidRPr="00082593">
        <w:t xml:space="preserve"> when examining the validity of the longitudinal tolerance only in the following cases:</w:t>
      </w:r>
    </w:p>
    <w:p w14:paraId="24BF23F6" w14:textId="77777777" w:rsidR="003E6A49" w:rsidRPr="00082593" w:rsidRDefault="003E6A49">
      <w:pPr>
        <w:pStyle w:val="enumlev1"/>
      </w:pPr>
      <w:r w:rsidRPr="00082593">
        <w:rPr>
          <w:i/>
        </w:rPr>
        <w:t>a)</w:t>
      </w:r>
      <w:r w:rsidRPr="00082593">
        <w:tab/>
        <w:t xml:space="preserve">if the tolerance is within </w:t>
      </w:r>
      <w:r w:rsidRPr="00082593">
        <w:rPr>
          <w:rFonts w:ascii="Symbol" w:hAnsi="Symbol"/>
        </w:rPr>
        <w:t></w:t>
      </w:r>
      <w:r w:rsidR="00082593" w:rsidRPr="00082593">
        <w:rPr>
          <w:rFonts w:ascii="Tms Rmn" w:hAnsi="Tms Rmn"/>
          <w:sz w:val="12"/>
        </w:rPr>
        <w:t> </w:t>
      </w:r>
      <w:r w:rsidRPr="00082593">
        <w:t>0.1</w:t>
      </w:r>
      <w:r w:rsidRPr="00082593">
        <w:rPr>
          <w:rFonts w:ascii="Symbol" w:hAnsi="Symbol"/>
        </w:rPr>
        <w:t></w:t>
      </w:r>
      <w:r w:rsidRPr="00082593">
        <w:t>, or</w:t>
      </w:r>
    </w:p>
    <w:p w14:paraId="53D362AB" w14:textId="77777777" w:rsidR="003E6A49" w:rsidRPr="00082593" w:rsidRDefault="003E6A49">
      <w:pPr>
        <w:pStyle w:val="enumlev1"/>
        <w:spacing w:line="270" w:lineRule="exact"/>
      </w:pPr>
      <w:r w:rsidRPr="00082593">
        <w:rPr>
          <w:i/>
        </w:rPr>
        <w:t>b)</w:t>
      </w:r>
      <w:r w:rsidRPr="00082593">
        <w:tab/>
        <w:t xml:space="preserve">if the administration indicates that its space station has the capability to be maintained within </w:t>
      </w:r>
      <w:r w:rsidRPr="00082593">
        <w:rPr>
          <w:rFonts w:ascii="Symbol" w:hAnsi="Symbol"/>
        </w:rPr>
        <w:t></w:t>
      </w:r>
      <w:r w:rsidR="00082593" w:rsidRPr="00082593">
        <w:rPr>
          <w:rFonts w:ascii="Tms Rmn" w:hAnsi="Tms Rmn"/>
          <w:sz w:val="12"/>
        </w:rPr>
        <w:t> </w:t>
      </w:r>
      <w:r w:rsidRPr="00082593">
        <w:t>0.1°, if necessary.</w:t>
      </w:r>
    </w:p>
    <w:p w14:paraId="6F7D0CD7" w14:textId="77777777" w:rsidR="003E6A49" w:rsidRPr="00082593" w:rsidRDefault="003E6A49">
      <w:pPr>
        <w:pStyle w:val="Heading8"/>
      </w:pPr>
      <w:r w:rsidRPr="00082593">
        <w:t>22.14</w:t>
      </w:r>
    </w:p>
    <w:p w14:paraId="2B628254" w14:textId="77777777" w:rsidR="003E6A49" w:rsidRPr="00082593" w:rsidRDefault="003E6A49">
      <w:pPr>
        <w:spacing w:line="270" w:lineRule="exact"/>
      </w:pPr>
      <w:r w:rsidRPr="00082593">
        <w:t>The comments under the Rules of Procedure concerning No. </w:t>
      </w:r>
      <w:r w:rsidRPr="00082593">
        <w:rPr>
          <w:rStyle w:val="Artref"/>
          <w:b/>
          <w:bCs/>
          <w:color w:val="000000"/>
        </w:rPr>
        <w:t>22.10</w:t>
      </w:r>
      <w:r w:rsidRPr="00082593">
        <w:t xml:space="preserve"> apply, replacing </w:t>
      </w:r>
      <w:r w:rsidRPr="00082593">
        <w:rPr>
          <w:rFonts w:ascii="Symbol" w:hAnsi="Symbol"/>
        </w:rPr>
        <w:t></w:t>
      </w:r>
      <w:r w:rsidR="00082593" w:rsidRPr="00082593">
        <w:rPr>
          <w:rFonts w:ascii="Tms Rmn" w:hAnsi="Tms Rmn"/>
          <w:sz w:val="12"/>
        </w:rPr>
        <w:t> </w:t>
      </w:r>
      <w:r w:rsidRPr="00082593">
        <w:t>0.1° by </w:t>
      </w:r>
      <w:r w:rsidRPr="00082593">
        <w:rPr>
          <w:rFonts w:ascii="Symbol" w:hAnsi="Symbol"/>
        </w:rPr>
        <w:t></w:t>
      </w:r>
      <w:r w:rsidR="00082593" w:rsidRPr="00082593">
        <w:rPr>
          <w:rFonts w:ascii="Tms Rmn" w:hAnsi="Tms Rmn"/>
          <w:sz w:val="12"/>
        </w:rPr>
        <w:t> </w:t>
      </w:r>
      <w:r w:rsidRPr="00082593">
        <w:t>0.5°.</w:t>
      </w:r>
    </w:p>
    <w:p w14:paraId="7D2E8B7B" w14:textId="77777777" w:rsidR="003E6A49" w:rsidRPr="00082593" w:rsidRDefault="003E6A49">
      <w:pPr>
        <w:pStyle w:val="Heading8"/>
      </w:pPr>
      <w:r w:rsidRPr="00082593">
        <w:t>22.19</w:t>
      </w:r>
    </w:p>
    <w:p w14:paraId="7DA9EC02" w14:textId="77777777" w:rsidR="003E6A49" w:rsidRPr="00082593" w:rsidRDefault="003E6A49" w:rsidP="00D36EAF">
      <w:r w:rsidRPr="00082593">
        <w:t xml:space="preserve">In the case of pointing accuracy there is no mandatory value to be respected. The administration has to indicate that its space station has the capability of being maintained within the limits indicated in this provision. In the absence of a statement to this effect, the Bureau shall formulate an unfavourable </w:t>
      </w:r>
      <w:r w:rsidR="00D36EAF">
        <w:t>f</w:t>
      </w:r>
      <w:r w:rsidRPr="00082593">
        <w:t>inding under No. </w:t>
      </w:r>
      <w:r w:rsidRPr="00082593">
        <w:rPr>
          <w:rStyle w:val="Artref"/>
          <w:b/>
          <w:bCs/>
          <w:color w:val="000000"/>
        </w:rPr>
        <w:t>11.31</w:t>
      </w:r>
      <w:r w:rsidRPr="00082593">
        <w:t>.</w:t>
      </w:r>
    </w:p>
    <w:p w14:paraId="7AD01284" w14:textId="77777777" w:rsidR="003E6A49" w:rsidRPr="00082593" w:rsidRDefault="003E6A49"/>
    <w:p w14:paraId="1B6353A8" w14:textId="77777777" w:rsidR="003E6A49" w:rsidRPr="00082593" w:rsidRDefault="003E6A49">
      <w:pPr>
        <w:jc w:val="center"/>
      </w:pPr>
      <w:r w:rsidRPr="00082593">
        <w:t>____________________</w:t>
      </w:r>
    </w:p>
    <w:p w14:paraId="4C8D17B1" w14:textId="77777777" w:rsidR="003E6A49" w:rsidRPr="00082593" w:rsidRDefault="003E6A49" w:rsidP="00082593"/>
    <w:p w14:paraId="5BD2BBF6" w14:textId="77777777" w:rsidR="003E6A49" w:rsidRPr="00082593" w:rsidRDefault="003E6A49" w:rsidP="00082593"/>
    <w:p w14:paraId="3E81C454" w14:textId="77777777" w:rsidR="003E6A49" w:rsidRPr="00082593" w:rsidRDefault="003E6A49" w:rsidP="00082593"/>
    <w:p w14:paraId="13559CF1" w14:textId="77777777" w:rsidR="003E6A49" w:rsidRPr="00082593" w:rsidRDefault="003E6A49" w:rsidP="00082593"/>
    <w:p w14:paraId="56727588" w14:textId="77777777" w:rsidR="00082593" w:rsidRPr="00082593" w:rsidRDefault="00082593" w:rsidP="00082593"/>
    <w:p w14:paraId="0013D427" w14:textId="77777777" w:rsidR="00082593" w:rsidRPr="00082593" w:rsidRDefault="00082593" w:rsidP="00082593"/>
    <w:p w14:paraId="13BE854E" w14:textId="77777777" w:rsidR="003E6A49" w:rsidRPr="00082593" w:rsidRDefault="003E6A49" w:rsidP="00082593">
      <w:pPr>
        <w:sectPr w:rsidR="003E6A49" w:rsidRPr="00082593">
          <w:headerReference w:type="first" r:id="rId6"/>
          <w:footnotePr>
            <w:pos w:val="beneathText"/>
          </w:footnotePr>
          <w:type w:val="oddPage"/>
          <w:pgSz w:w="11907" w:h="16840" w:code="9"/>
          <w:pgMar w:top="1701" w:right="851" w:bottom="1134" w:left="1985" w:header="720" w:footer="482" w:gutter="0"/>
          <w:cols w:space="720"/>
          <w:vAlign w:val="both"/>
          <w:titlePg/>
        </w:sectPr>
      </w:pPr>
    </w:p>
    <w:p w14:paraId="0F0CD077" w14:textId="77777777" w:rsidR="003E6A49" w:rsidRPr="00082593" w:rsidRDefault="003E6A49" w:rsidP="00082593"/>
    <w:sectPr w:rsidR="003E6A49" w:rsidRPr="00082593">
      <w:headerReference w:type="first" r:id="rId7"/>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959EB" w14:textId="77777777" w:rsidR="00AD1376" w:rsidRDefault="00AD1376">
      <w:r>
        <w:separator/>
      </w:r>
    </w:p>
  </w:endnote>
  <w:endnote w:type="continuationSeparator" w:id="0">
    <w:p w14:paraId="135D9AEE" w14:textId="77777777" w:rsidR="00AD1376" w:rsidRDefault="00AD1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CD5BE" w14:textId="77777777" w:rsidR="00AD1376" w:rsidRDefault="00AD1376">
      <w:r>
        <w:rPr>
          <w:b/>
        </w:rPr>
        <w:t>_______________</w:t>
      </w:r>
    </w:p>
    <w:p w14:paraId="4D50AD1E" w14:textId="77777777" w:rsidR="00AD1376" w:rsidRDefault="00AD1376"/>
  </w:footnote>
  <w:footnote w:type="continuationSeparator" w:id="0">
    <w:p w14:paraId="5D1DB43B" w14:textId="77777777" w:rsidR="00AD1376" w:rsidRDefault="00AD1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E6A49" w14:paraId="09EDAD4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AA8AFD5" w14:textId="77777777" w:rsidR="003E6A49" w:rsidRDefault="003E6A49">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246E37ED" w14:textId="513492C8" w:rsidR="003E6A49" w:rsidRDefault="005F63FA">
          <w:pPr>
            <w:pStyle w:val="HeaderRegProc"/>
            <w:rPr>
              <w:lang w:val="en-US"/>
            </w:rPr>
          </w:pPr>
          <w:fldSimple w:instr=" DOCPROPERTY &quot;Header&quot; \* MERGEFORMAT ">
            <w:r w:rsidRPr="005F63FA">
              <w:rPr>
                <w:lang w:val="en-US"/>
              </w:rPr>
              <w:t>AR</w:t>
            </w:r>
          </w:fldSimple>
          <w:r w:rsidR="003E6A49">
            <w:fldChar w:fldCharType="begin"/>
          </w:r>
          <w:r w:rsidR="003E6A49">
            <w:rPr>
              <w:lang w:val="en-US"/>
            </w:rPr>
            <w:instrText>styleref href2</w:instrText>
          </w:r>
          <w:r w:rsidR="003E6A49">
            <w:fldChar w:fldCharType="separate"/>
          </w:r>
          <w:r w:rsidR="004A0610">
            <w:rPr>
              <w:noProof/>
              <w:lang w:val="en-US"/>
            </w:rPr>
            <w:t>22</w:t>
          </w:r>
          <w:r w:rsidR="003E6A49">
            <w:fldChar w:fldCharType="end"/>
          </w:r>
        </w:p>
      </w:tc>
      <w:tc>
        <w:tcPr>
          <w:tcW w:w="1701" w:type="dxa"/>
          <w:tcBorders>
            <w:top w:val="single" w:sz="6" w:space="0" w:color="auto"/>
            <w:left w:val="single" w:sz="6" w:space="0" w:color="auto"/>
            <w:bottom w:val="single" w:sz="6" w:space="0" w:color="auto"/>
            <w:right w:val="single" w:sz="6" w:space="0" w:color="auto"/>
          </w:tcBorders>
        </w:tcPr>
        <w:p w14:paraId="336445C2" w14:textId="77777777" w:rsidR="003E6A49" w:rsidRDefault="003E6A4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EF6EC1">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8D4E1F8" w14:textId="3430DD96" w:rsidR="003E6A49" w:rsidRDefault="003E6A49">
          <w:pPr>
            <w:pStyle w:val="HeaderRegProc"/>
            <w:rPr>
              <w:lang w:val="fr-CH"/>
            </w:rPr>
          </w:pPr>
          <w:proofErr w:type="spellStart"/>
          <w:r>
            <w:rPr>
              <w:lang w:val="fr-CH"/>
            </w:rPr>
            <w:t>rev</w:t>
          </w:r>
          <w:proofErr w:type="spellEnd"/>
          <w:r>
            <w:rPr>
              <w:lang w:val="fr-CH"/>
            </w:rPr>
            <w:t>.</w:t>
          </w:r>
          <w:r w:rsidR="00982390">
            <w:rPr>
              <w:lang w:val="fr-CH"/>
            </w:rPr>
            <w:t xml:space="preserve"> </w:t>
          </w:r>
          <w:r w:rsidR="004A0610">
            <w:t>-</w:t>
          </w:r>
        </w:p>
      </w:tc>
    </w:tr>
  </w:tbl>
  <w:p w14:paraId="7E1E4460" w14:textId="77777777" w:rsidR="003E6A49" w:rsidRDefault="003E6A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FA338" w14:textId="77777777" w:rsidR="003E6A49" w:rsidRDefault="003E6A4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mirrorMargin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E6A49"/>
    <w:rsid w:val="00082593"/>
    <w:rsid w:val="00171D95"/>
    <w:rsid w:val="003D6283"/>
    <w:rsid w:val="003E6A49"/>
    <w:rsid w:val="004A0610"/>
    <w:rsid w:val="005F63FA"/>
    <w:rsid w:val="006D1B6C"/>
    <w:rsid w:val="00715FE9"/>
    <w:rsid w:val="00720648"/>
    <w:rsid w:val="00806608"/>
    <w:rsid w:val="00820EE4"/>
    <w:rsid w:val="008C40F5"/>
    <w:rsid w:val="008F45E7"/>
    <w:rsid w:val="00931870"/>
    <w:rsid w:val="00982390"/>
    <w:rsid w:val="00AD1376"/>
    <w:rsid w:val="00C0439A"/>
    <w:rsid w:val="00D36EAF"/>
    <w:rsid w:val="00DA67E5"/>
    <w:rsid w:val="00DA7EF0"/>
    <w:rsid w:val="00E70951"/>
    <w:rsid w:val="00EF6E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109F86"/>
  <w15:docId w15:val="{B70C76F1-39DE-4513-B204-6DFEC889A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customStyle="1" w:styleId="Appref0">
    <w:name w:val="App#_ref"/>
    <w:basedOn w:val="DefaultParagraphFont"/>
  </w:style>
  <w:style w:type="paragraph" w:styleId="Revision">
    <w:name w:val="Revision"/>
    <w:hidden/>
    <w:uiPriority w:val="99"/>
    <w:semiHidden/>
    <w:rsid w:val="00171D95"/>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8</TotalTime>
  <Pages>3</Pages>
  <Words>228</Words>
  <Characters>1423</Characters>
  <Application>Microsoft Office Word</Application>
  <DocSecurity>0</DocSecurity>
  <Lines>33</Lines>
  <Paragraphs>19</Paragraphs>
  <ScaleCrop>false</ScaleCrop>
  <HeadingPairs>
    <vt:vector size="2" baseType="variant">
      <vt:variant>
        <vt:lpstr>Title</vt:lpstr>
      </vt:variant>
      <vt:variant>
        <vt:i4>1</vt:i4>
      </vt:variant>
    </vt:vector>
  </HeadingPairs>
  <TitlesOfParts>
    <vt:vector size="1" baseType="lpstr">
      <vt:lpstr>Règles de procédures / Article 22</vt:lpstr>
    </vt:vector>
  </TitlesOfParts>
  <Manager>CP--3344/DD</Manager>
  <Company>ITU</Company>
  <LinksUpToDate>false</LinksUpToDate>
  <CharactersWithSpaces>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Edition 2005</dc:subject>
  <dc:creator/>
  <cp:keywords/>
  <dc:description/>
  <cp:lastModifiedBy>Gachet, Christelle</cp:lastModifiedBy>
  <cp:revision>15</cp:revision>
  <cp:lastPrinted>2024-11-28T11:40:00Z</cp:lastPrinted>
  <dcterms:created xsi:type="dcterms:W3CDTF">2012-08-08T06:50:00Z</dcterms:created>
  <dcterms:modified xsi:type="dcterms:W3CDTF">2025-11-18T09:15:00Z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