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2CE54" w14:textId="77777777" w:rsidR="00857FBA" w:rsidRPr="00D3267E" w:rsidRDefault="00857FBA" w:rsidP="00857FBA">
      <w:pPr>
        <w:pStyle w:val="Heading1"/>
        <w:spacing w:before="240"/>
        <w:jc w:val="center"/>
        <w:rPr>
          <w:b w:val="0"/>
          <w:szCs w:val="24"/>
          <w:lang w:val="es-ES"/>
        </w:rPr>
      </w:pPr>
      <w:r w:rsidRPr="00D3267E">
        <w:rPr>
          <w:szCs w:val="24"/>
          <w:lang w:val="es-ES"/>
        </w:rPr>
        <w:t xml:space="preserve">Reglas relativas al </w:t>
      </w:r>
    </w:p>
    <w:p w14:paraId="09024635" w14:textId="19E8279B" w:rsidR="00857FBA" w:rsidRPr="00DB387B" w:rsidRDefault="00857FBA" w:rsidP="007A4CCC">
      <w:pPr>
        <w:pStyle w:val="Heading2"/>
        <w:jc w:val="center"/>
        <w:rPr>
          <w:lang w:val="es-ES_tradnl"/>
        </w:rPr>
      </w:pPr>
      <w:r w:rsidRPr="00DB387B">
        <w:rPr>
          <w:lang w:val="es-ES_tradnl"/>
        </w:rPr>
        <w:t xml:space="preserve">ARTÍCULO </w:t>
      </w:r>
      <w:r w:rsidR="0097090C">
        <w:rPr>
          <w:lang w:val="es-ES_tradnl"/>
        </w:rPr>
        <w:t xml:space="preserve"> </w:t>
      </w:r>
      <w:r w:rsidRPr="00DB387B">
        <w:rPr>
          <w:lang w:val="es-ES_tradnl"/>
        </w:rPr>
        <w:t>11 del RR</w:t>
      </w:r>
    </w:p>
    <w:p w14:paraId="21A832BD" w14:textId="333151F4" w:rsidR="00A60C28" w:rsidRPr="003667EC" w:rsidRDefault="00A60C28">
      <w:pPr>
        <w:pStyle w:val="Heading8"/>
        <w:rPr>
          <w:color w:val="000000"/>
          <w:lang w:val="es-ES_tradnl"/>
        </w:rPr>
      </w:pPr>
      <w:r w:rsidRPr="003667EC">
        <w:rPr>
          <w:rStyle w:val="href2"/>
          <w:color w:val="000000"/>
          <w:lang w:val="es-ES_tradnl"/>
        </w:rPr>
        <w:t>11</w:t>
      </w:r>
      <w:r w:rsidRPr="003667EC">
        <w:rPr>
          <w:color w:val="000000"/>
          <w:lang w:val="es-ES_tradnl"/>
        </w:rPr>
        <w:t>.13</w:t>
      </w:r>
    </w:p>
    <w:p w14:paraId="5403C828" w14:textId="3D0040C1" w:rsidR="006159FB" w:rsidRPr="006159FB" w:rsidRDefault="006159FB" w:rsidP="006159FB">
      <w:pPr>
        <w:rPr>
          <w:lang w:val="es-ES"/>
        </w:rPr>
      </w:pPr>
      <w:r w:rsidRPr="006159FB">
        <w:rPr>
          <w:lang w:val="es-ES"/>
        </w:rPr>
        <w:t>1</w:t>
      </w:r>
      <w:r w:rsidRPr="006159FB">
        <w:rPr>
          <w:lang w:val="es-ES"/>
        </w:rPr>
        <w:tab/>
        <w:t>Esta disposición estipula que no se notificarán las frecuencias que se prescriben para uso común de las estaciones de un servicio determinado. Conforme a esta disposición, la Oficina estableció una lista de las frecuencias que entran en esta categoría. Dicha lista se actualiza regularmente y se publica en la Circular Internacional de Información sobre Frecuencias (BR IFIC) en orden de frecuencias (Capítulo VI del Prefacio). Las frecuencias de uso común figuran en el Registro Internacional de Frecuencias (Registro) y en la BR IFIC.</w:t>
      </w:r>
    </w:p>
    <w:p w14:paraId="366FD083" w14:textId="77777777" w:rsidR="006159FB" w:rsidRPr="006159FB" w:rsidRDefault="006159FB" w:rsidP="006159FB">
      <w:pPr>
        <w:rPr>
          <w:lang w:val="es-ES"/>
        </w:rPr>
      </w:pPr>
      <w:r w:rsidRPr="006159FB">
        <w:rPr>
          <w:lang w:val="es-ES"/>
        </w:rPr>
        <w:t>2</w:t>
      </w:r>
      <w:r w:rsidRPr="006159FB">
        <w:rPr>
          <w:lang w:val="es-ES"/>
        </w:rPr>
        <w:tab/>
        <w:t>A continuación se ofrece un resumen de las frecuencias/bandas de frecuencias que se prescriben para uso común:</w:t>
      </w:r>
    </w:p>
    <w:p w14:paraId="7A9F086E" w14:textId="4DC1050D" w:rsidR="006159FB" w:rsidRPr="006159FB" w:rsidRDefault="006159FB" w:rsidP="006159FB">
      <w:pPr>
        <w:pStyle w:val="enumlev1"/>
        <w:rPr>
          <w:lang w:val="es-ES"/>
        </w:rPr>
      </w:pPr>
      <w:r w:rsidRPr="006159FB">
        <w:rPr>
          <w:lang w:val="es-ES"/>
        </w:rPr>
        <w:t>–</w:t>
      </w:r>
      <w:r w:rsidRPr="006159FB">
        <w:rPr>
          <w:lang w:val="es-ES"/>
        </w:rPr>
        <w:tab/>
        <w:t>frecuencias para socorro y llamadas de seguridad del SMSSM que utilizan técnicas de llamada selectiva digital (2 187,5 kHz, 4 207,5 kHz, 6 312 kHz, 8 414,5 kHz, 12 577 kHz, 16 804,5 kHz y 156,525 MHz);</w:t>
      </w:r>
    </w:p>
    <w:p w14:paraId="7A3630C3" w14:textId="6D8666C3" w:rsidR="006159FB" w:rsidRPr="006159FB" w:rsidRDefault="006159FB" w:rsidP="006159FB">
      <w:pPr>
        <w:pStyle w:val="enumlev1"/>
        <w:rPr>
          <w:lang w:val="es-ES"/>
        </w:rPr>
      </w:pPr>
      <w:r w:rsidRPr="006159FB">
        <w:rPr>
          <w:lang w:val="es-ES"/>
        </w:rPr>
        <w:t>–</w:t>
      </w:r>
      <w:r w:rsidRPr="006159FB">
        <w:rPr>
          <w:lang w:val="es-ES"/>
        </w:rPr>
        <w:tab/>
        <w:t>frecuencias para socorro y tráfico de seguridad del SMSSM mediante radiotelefonía (2 182 kHz, 4 125 kHz, 6 215 kHz, 8 291 kHz, 12 290 kHz, 16 420 kHz y 156,8 MHz);</w:t>
      </w:r>
    </w:p>
    <w:p w14:paraId="0BF99C62" w14:textId="582136EF" w:rsidR="006159FB" w:rsidRPr="006159FB" w:rsidRDefault="006159FB" w:rsidP="006159FB">
      <w:pPr>
        <w:pStyle w:val="enumlev1"/>
        <w:rPr>
          <w:lang w:val="es-ES"/>
        </w:rPr>
      </w:pPr>
      <w:r w:rsidRPr="006159FB">
        <w:rPr>
          <w:lang w:val="es-ES"/>
        </w:rPr>
        <w:t>–</w:t>
      </w:r>
      <w:r w:rsidRPr="006159FB">
        <w:rPr>
          <w:lang w:val="es-ES"/>
        </w:rPr>
        <w:tab/>
        <w:t>frecuencias internacionales para operaciones de búsqueda y salvamento (2 182 kHz, 3 023 kHz, 5 680 kHz, 8 364 kHz, 10 003 kHz, 14 993 kHz, 19 993 kHz, 121,5 MHz, 123,1 MHz, 156,3 MHz, 156,8 MHz, 161,975 MHz, 162,025 MHz y 243 MHz);</w:t>
      </w:r>
    </w:p>
    <w:p w14:paraId="01F112AE" w14:textId="0D454A04" w:rsidR="006159FB" w:rsidRPr="006159FB" w:rsidRDefault="006159FB" w:rsidP="006159FB">
      <w:pPr>
        <w:pStyle w:val="enumlev1"/>
        <w:rPr>
          <w:lang w:val="es-ES"/>
        </w:rPr>
      </w:pPr>
      <w:r w:rsidRPr="006159FB">
        <w:rPr>
          <w:lang w:val="es-ES"/>
        </w:rPr>
        <w:t>–</w:t>
      </w:r>
      <w:r w:rsidRPr="006159FB">
        <w:rPr>
          <w:lang w:val="es-ES"/>
        </w:rPr>
        <w:tab/>
        <w:t>frecuencias internacionales para llamada selectiva digital con fines distintos de los de socorro y seguridad (455,5, 458,5, 2 177, 2 189,5, 4 208, 4 208,5, 4 209, 4 219,5, 4 220, 4 220,5, 6 312,5, 6 313, 6 313,5, 6 331, 6 331,5, 6 332, 8 415, 8 415,5, 8 416, 8 436,5, 8 437, 8 437,5, 12 577,5, 12 578, 12 578,5, 12 657, 12 657,5, 12 658, 16 805, 16 805,5, 16 806, 16 903, 16 903,5, 16 904, 18 898,5, 18 899, 18 899,5, 19 703,5, 19 704, 19 704,5, 22 374,5, 22 375, 22 375,5, 22 444, 22 444,5, 22 445, 25 208,5, 25 209, 25 209,5, 26 121, 26 121,5 y 26 122 kHz);</w:t>
      </w:r>
    </w:p>
    <w:p w14:paraId="18663DBC" w14:textId="77777777" w:rsidR="006159FB" w:rsidRPr="006159FB" w:rsidRDefault="006159FB" w:rsidP="006159FB">
      <w:pPr>
        <w:pStyle w:val="enumlev1"/>
        <w:rPr>
          <w:lang w:val="es-ES"/>
        </w:rPr>
      </w:pPr>
      <w:r w:rsidRPr="006159FB">
        <w:rPr>
          <w:lang w:val="es-ES"/>
        </w:rPr>
        <w:t>–</w:t>
      </w:r>
      <w:r w:rsidRPr="006159FB">
        <w:rPr>
          <w:lang w:val="es-ES"/>
        </w:rPr>
        <w:tab/>
        <w:t xml:space="preserve">frecuencias internacionales para el sistema de conexión automática (SCA) mediante llamada selectiva digital de estaciones de barco y estaciones costeras </w:t>
      </w:r>
      <w:r w:rsidRPr="00FA35AF">
        <w:rPr>
          <w:lang w:val="es-ES"/>
        </w:rPr>
        <w:t>(2</w:t>
      </w:r>
      <w:r w:rsidRPr="00A805B4">
        <w:rPr>
          <w:lang w:val="es-ES"/>
        </w:rPr>
        <w:t> </w:t>
      </w:r>
      <w:r w:rsidRPr="00FA35AF">
        <w:rPr>
          <w:lang w:val="es-ES"/>
        </w:rPr>
        <w:t>174</w:t>
      </w:r>
      <w:r w:rsidRPr="00A805B4">
        <w:rPr>
          <w:lang w:val="es-ES"/>
        </w:rPr>
        <w:t>,</w:t>
      </w:r>
      <w:r w:rsidRPr="00FA35AF">
        <w:rPr>
          <w:lang w:val="es-ES"/>
        </w:rPr>
        <w:t>5, 4</w:t>
      </w:r>
      <w:r w:rsidRPr="00A805B4">
        <w:rPr>
          <w:lang w:val="es-ES"/>
        </w:rPr>
        <w:t> </w:t>
      </w:r>
      <w:r w:rsidRPr="00FA35AF">
        <w:rPr>
          <w:lang w:val="es-ES"/>
        </w:rPr>
        <w:t>177</w:t>
      </w:r>
      <w:r w:rsidRPr="00A805B4">
        <w:rPr>
          <w:lang w:val="es-ES"/>
        </w:rPr>
        <w:t>,</w:t>
      </w:r>
      <w:r w:rsidRPr="00FA35AF">
        <w:rPr>
          <w:lang w:val="es-ES"/>
        </w:rPr>
        <w:t>5, 6</w:t>
      </w:r>
      <w:r w:rsidRPr="00A805B4">
        <w:rPr>
          <w:lang w:val="es-ES"/>
        </w:rPr>
        <w:t> </w:t>
      </w:r>
      <w:r w:rsidRPr="00FA35AF">
        <w:rPr>
          <w:lang w:val="es-ES"/>
        </w:rPr>
        <w:t>268, 8</w:t>
      </w:r>
      <w:r w:rsidRPr="00A805B4">
        <w:rPr>
          <w:lang w:val="es-ES"/>
        </w:rPr>
        <w:t> </w:t>
      </w:r>
      <w:r w:rsidRPr="00FA35AF">
        <w:rPr>
          <w:lang w:val="es-ES"/>
        </w:rPr>
        <w:t>376</w:t>
      </w:r>
      <w:r w:rsidRPr="00A805B4">
        <w:rPr>
          <w:lang w:val="es-ES"/>
        </w:rPr>
        <w:t>,</w:t>
      </w:r>
      <w:r w:rsidRPr="00FA35AF">
        <w:rPr>
          <w:lang w:val="es-ES"/>
        </w:rPr>
        <w:t>5, 12</w:t>
      </w:r>
      <w:r w:rsidRPr="00A805B4">
        <w:rPr>
          <w:lang w:val="es-ES"/>
        </w:rPr>
        <w:t> </w:t>
      </w:r>
      <w:r w:rsidRPr="00FA35AF">
        <w:rPr>
          <w:lang w:val="es-ES"/>
        </w:rPr>
        <w:t xml:space="preserve">520 </w:t>
      </w:r>
      <w:r w:rsidRPr="00A805B4">
        <w:rPr>
          <w:lang w:val="es-ES"/>
        </w:rPr>
        <w:t>y</w:t>
      </w:r>
      <w:r w:rsidRPr="00FA35AF">
        <w:rPr>
          <w:lang w:val="es-ES"/>
        </w:rPr>
        <w:t xml:space="preserve"> 16</w:t>
      </w:r>
      <w:r w:rsidRPr="00A805B4">
        <w:rPr>
          <w:lang w:val="es-ES"/>
        </w:rPr>
        <w:t> </w:t>
      </w:r>
      <w:r w:rsidRPr="00FA35AF">
        <w:rPr>
          <w:lang w:val="es-ES"/>
        </w:rPr>
        <w:t>695</w:t>
      </w:r>
      <w:r w:rsidRPr="00A805B4">
        <w:rPr>
          <w:lang w:val="es-ES"/>
        </w:rPr>
        <w:t> </w:t>
      </w:r>
      <w:r w:rsidRPr="00FA35AF">
        <w:rPr>
          <w:lang w:val="es-ES"/>
        </w:rPr>
        <w:t>kHz)</w:t>
      </w:r>
      <w:r w:rsidRPr="006159FB">
        <w:rPr>
          <w:lang w:val="es-ES"/>
        </w:rPr>
        <w:t>;</w:t>
      </w:r>
    </w:p>
    <w:p w14:paraId="55CF2276" w14:textId="76EDD44B" w:rsidR="006159FB" w:rsidRPr="006159FB" w:rsidRDefault="006159FB" w:rsidP="006159FB">
      <w:pPr>
        <w:pStyle w:val="enumlev1"/>
        <w:rPr>
          <w:lang w:val="es-ES"/>
        </w:rPr>
      </w:pPr>
      <w:r w:rsidRPr="006159FB">
        <w:rPr>
          <w:lang w:val="es-ES"/>
        </w:rPr>
        <w:t>–</w:t>
      </w:r>
      <w:r w:rsidRPr="006159FB">
        <w:rPr>
          <w:lang w:val="es-ES"/>
        </w:rPr>
        <w:tab/>
        <w:t>frecuencias internacionales para llamada radiotelefónica (4 125, 4 417, 6 215, 6 516, 8 255, 8 779, 12 290, 12 359, 13 137, 16 420, 16 537, 17 302, 18 795, 19 770, 22 060, 22 756, 25 097 y 26 172 kHz);</w:t>
      </w:r>
    </w:p>
    <w:p w14:paraId="2CDFF0A0" w14:textId="1CF642CD" w:rsidR="009C3798" w:rsidRDefault="006159FB" w:rsidP="006159FB">
      <w:pPr>
        <w:pStyle w:val="enumlev1"/>
        <w:rPr>
          <w:color w:val="000000"/>
          <w:lang w:val="es-ES_tradnl"/>
        </w:rPr>
      </w:pPr>
      <w:r w:rsidRPr="006159FB">
        <w:rPr>
          <w:lang w:val="es-ES"/>
        </w:rPr>
        <w:t>–</w:t>
      </w:r>
      <w:r w:rsidRPr="006159FB">
        <w:rPr>
          <w:lang w:val="es-ES"/>
        </w:rPr>
        <w:tab/>
        <w:t>frecuencias internacionales para funcionamiento barco-costera o entre barcos (2 045, 2 048, 2 635 y 2 638 kHz);</w:t>
      </w:r>
    </w:p>
    <w:p w14:paraId="4572496B" w14:textId="77777777" w:rsidR="00243C1F" w:rsidRDefault="00243C1F" w:rsidP="009C3798">
      <w:pPr>
        <w:pStyle w:val="enumlev1"/>
        <w:rPr>
          <w:color w:val="000000"/>
          <w:lang w:val="es-ES_tradnl"/>
        </w:rPr>
      </w:pPr>
    </w:p>
    <w:p w14:paraId="261EF3EE" w14:textId="77777777" w:rsidR="00B97C02" w:rsidRDefault="00B97C02" w:rsidP="009C3798">
      <w:pPr>
        <w:pStyle w:val="enumlev1"/>
        <w:rPr>
          <w:color w:val="000000"/>
          <w:lang w:val="es-ES_tradnl"/>
        </w:rPr>
        <w:sectPr w:rsidR="00B97C02" w:rsidSect="00E41FDD">
          <w:headerReference w:type="default" r:id="rId7"/>
          <w:footnotePr>
            <w:pos w:val="beneathText"/>
            <w:numFmt w:val="chicago"/>
          </w:footnotePr>
          <w:pgSz w:w="11907" w:h="16840" w:code="9"/>
          <w:pgMar w:top="1701" w:right="851" w:bottom="1134" w:left="1985" w:header="720" w:footer="482" w:gutter="0"/>
          <w:cols w:space="720"/>
          <w:vAlign w:val="both"/>
        </w:sectPr>
      </w:pPr>
    </w:p>
    <w:p w14:paraId="0C80C815" w14:textId="77777777" w:rsidR="00676B57" w:rsidRPr="003667EC" w:rsidRDefault="00676B57" w:rsidP="009C3798">
      <w:pPr>
        <w:pStyle w:val="enumlev1"/>
        <w:rPr>
          <w:color w:val="000000"/>
          <w:lang w:val="es-ES_tradnl"/>
        </w:rPr>
      </w:pPr>
      <w:r w:rsidRPr="003667EC">
        <w:rPr>
          <w:color w:val="000000"/>
          <w:lang w:val="es-ES_tradnl"/>
        </w:rPr>
        <w:lastRenderedPageBreak/>
        <w:t>–</w:t>
      </w:r>
      <w:r w:rsidRPr="003667EC">
        <w:rPr>
          <w:color w:val="000000"/>
          <w:lang w:val="es-ES_tradnl"/>
        </w:rPr>
        <w:tab/>
        <w:t>410 kHz, frecuencia mundial para los radiogoniómetros de los servicios de radionave</w:t>
      </w:r>
      <w:r w:rsidRPr="003667EC">
        <w:rPr>
          <w:color w:val="000000"/>
          <w:lang w:val="es-ES_tradnl"/>
        </w:rPr>
        <w:softHyphen/>
        <w:t>gación marítima.</w:t>
      </w:r>
    </w:p>
    <w:p w14:paraId="43888035"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75 MHz, frecuencia mundial asignada a las radiobalizas.</w:t>
      </w:r>
    </w:p>
    <w:p w14:paraId="66AB3C08" w14:textId="77777777" w:rsidR="00676B57" w:rsidRPr="003667EC" w:rsidRDefault="00676B57" w:rsidP="007E3FFE">
      <w:pPr>
        <w:rPr>
          <w:color w:val="000000"/>
          <w:lang w:val="es-ES_tradnl"/>
        </w:rPr>
      </w:pPr>
      <w:r w:rsidRPr="003667EC">
        <w:rPr>
          <w:color w:val="000000"/>
          <w:lang w:val="es-ES_tradnl"/>
        </w:rPr>
        <w:t>3</w:t>
      </w:r>
      <w:r w:rsidRPr="003667EC">
        <w:rPr>
          <w:color w:val="000000"/>
          <w:lang w:val="es-ES_tradnl"/>
        </w:rPr>
        <w:tab/>
        <w:t>Si esas frecuencias son utilizadas por otros servicios y/o con fines distintos de los especificados en el Reglamento de Radiocomunicaciones, deberían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522AE362" w14:textId="77777777" w:rsidR="00A60C28" w:rsidRPr="003667EC" w:rsidRDefault="00A60C28" w:rsidP="007E3FFE">
      <w:pPr>
        <w:pStyle w:val="Heading8"/>
        <w:rPr>
          <w:color w:val="000000"/>
          <w:lang w:val="es-ES_tradnl"/>
        </w:rPr>
      </w:pPr>
      <w:r w:rsidRPr="003667EC">
        <w:rPr>
          <w:color w:val="000000"/>
          <w:lang w:val="es-ES_tradnl"/>
        </w:rPr>
        <w:t>11.14</w:t>
      </w:r>
    </w:p>
    <w:p w14:paraId="526216B2" w14:textId="77777777" w:rsidR="00676B57" w:rsidRPr="003667EC" w:rsidRDefault="00676B57" w:rsidP="007E3FFE">
      <w:pPr>
        <w:rPr>
          <w:color w:val="000000"/>
          <w:lang w:val="es-ES_tradnl"/>
        </w:rPr>
      </w:pPr>
      <w:r w:rsidRPr="003667EC">
        <w:rPr>
          <w:color w:val="000000"/>
          <w:lang w:val="es-ES_tradnl"/>
        </w:rPr>
        <w:t>1</w:t>
      </w:r>
      <w:r w:rsidRPr="003667EC">
        <w:rPr>
          <w:color w:val="000000"/>
          <w:lang w:val="es-ES_tradnl"/>
        </w:rPr>
        <w:tab/>
        <w:t>Esta disposición estipula, entre otras cosas, que las asignaciones de frecuencia a estaciones de barco y a estaciones móviles de otros servicios no se notificarán conforme al Artículo </w:t>
      </w:r>
      <w:r w:rsidRPr="003667EC">
        <w:rPr>
          <w:rStyle w:val="Artref"/>
          <w:b/>
          <w:color w:val="000000"/>
          <w:lang w:val="es-ES_tradnl"/>
        </w:rPr>
        <w:t>11</w:t>
      </w:r>
      <w:r w:rsidRPr="003667EC">
        <w:rPr>
          <w:color w:val="000000"/>
          <w:lang w:val="es-ES_tradnl"/>
        </w:rPr>
        <w:t>. Por otra parte, las disposiciones del número</w:t>
      </w:r>
      <w:r w:rsidR="007E3FFE" w:rsidRPr="003667EC">
        <w:rPr>
          <w:color w:val="000000"/>
          <w:lang w:val="es-ES_tradnl"/>
        </w:rPr>
        <w:t xml:space="preserve"> </w:t>
      </w:r>
      <w:r w:rsidRPr="003667EC">
        <w:rPr>
          <w:rStyle w:val="Artref"/>
          <w:b/>
          <w:color w:val="000000"/>
          <w:lang w:val="es-ES_tradnl"/>
        </w:rPr>
        <w:t>11.2</w:t>
      </w:r>
      <w:r w:rsidRPr="003667EC">
        <w:rPr>
          <w:color w:val="000000"/>
          <w:lang w:val="es-ES_tradnl"/>
        </w:rPr>
        <w:t xml:space="preserve"> estipulan las condiciones bajo las que las estaciones receptoras tienen que ser notificadas a la Oficina. Igualmente, las disposiciones del número</w:t>
      </w:r>
      <w:r w:rsidR="007E3FFE" w:rsidRPr="003667EC">
        <w:rPr>
          <w:color w:val="000000"/>
          <w:lang w:val="es-ES_tradnl"/>
        </w:rPr>
        <w:t xml:space="preserve"> </w:t>
      </w:r>
      <w:r w:rsidRPr="003667EC">
        <w:rPr>
          <w:rStyle w:val="Artref"/>
          <w:b/>
          <w:color w:val="000000"/>
          <w:lang w:val="es-ES_tradnl"/>
        </w:rPr>
        <w:t>11.9</w:t>
      </w:r>
      <w:r w:rsidRPr="003667EC">
        <w:rPr>
          <w:color w:val="000000"/>
          <w:lang w:val="es-ES_tradnl"/>
        </w:rPr>
        <w:t xml:space="preserve"> estipulan las condiciones bajo las cuales una estación terrestre destinada a recibir transmisiones de estaciones móviles tiene que ser notificada a la Oficina. Combinando las condiciones de todas estas disposiciones, la Junta decide que no sean notificadas a la Oficina las siguientes categorías:</w:t>
      </w:r>
    </w:p>
    <w:p w14:paraId="180D7A51"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mundiales que utilizan las estaciones radiotelefónicas de banda lateral única de barco y costeras en funcionamiento simple (una sola frecuencia) y para las opera</w:t>
      </w:r>
      <w:r w:rsidRPr="003667EC">
        <w:rPr>
          <w:color w:val="000000"/>
          <w:lang w:val="es-ES_tradnl"/>
        </w:rPr>
        <w:softHyphen/>
        <w:t>ciones interbanda (dos frecuencias) entre barcos (frecuencias indicadas en la Parte B de la Sección I, Sub-sección B del Apéndice </w:t>
      </w:r>
      <w:r w:rsidRPr="003667EC">
        <w:rPr>
          <w:rStyle w:val="Appref"/>
          <w:b/>
          <w:color w:val="000000"/>
          <w:lang w:val="es-ES_tradnl"/>
        </w:rPr>
        <w:t>17</w:t>
      </w:r>
      <w:r w:rsidRPr="003667EC">
        <w:rPr>
          <w:lang w:val="es-ES_tradnl"/>
        </w:rPr>
        <w:t>).</w:t>
      </w:r>
    </w:p>
    <w:p w14:paraId="581A2C1F"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de trabajo mundiales para las estaciones de barco equipadas con telegrafía de impresión directa en banda estrecha y sistemas de transmisión de datos en funciona</w:t>
      </w:r>
      <w:r w:rsidRPr="003667EC">
        <w:rPr>
          <w:color w:val="000000"/>
          <w:lang w:val="es-ES_tradnl"/>
        </w:rPr>
        <w:softHyphen/>
        <w:t>miento no apareado (frecuencias indicadas en la Parte B, Sección III del Apéndice </w:t>
      </w:r>
      <w:r w:rsidRPr="003667EC">
        <w:rPr>
          <w:rStyle w:val="Appref"/>
          <w:b/>
          <w:color w:val="000000"/>
          <w:lang w:val="es-ES_tradnl"/>
        </w:rPr>
        <w:t>17</w:t>
      </w:r>
      <w:r w:rsidRPr="003667EC">
        <w:rPr>
          <w:lang w:val="es-ES_tradnl"/>
        </w:rPr>
        <w:t>).</w:t>
      </w:r>
    </w:p>
    <w:p w14:paraId="7F1B9206" w14:textId="267E1CDD" w:rsidR="00676B57" w:rsidRDefault="00676B57" w:rsidP="00676B57">
      <w:pPr>
        <w:rPr>
          <w:color w:val="000000"/>
          <w:lang w:val="es-ES_tradnl"/>
        </w:rPr>
      </w:pPr>
      <w:r w:rsidRPr="003667EC">
        <w:rPr>
          <w:color w:val="000000"/>
          <w:lang w:val="es-ES_tradnl"/>
        </w:rPr>
        <w:t>2</w:t>
      </w:r>
      <w:r w:rsidRPr="003667EC">
        <w:rPr>
          <w:color w:val="000000"/>
          <w:lang w:val="es-ES_tradnl"/>
        </w:rPr>
        <w:tab/>
        <w:t>Si las frecuencias citadas en el § 1 anterior son utilizadas por otros servicios y/o con fines distintos de los especificados en el Reglamento de Radiocomunicaciones, deben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4F261F07" w14:textId="77777777" w:rsidR="00243C1F" w:rsidRPr="003667EC" w:rsidRDefault="00243C1F" w:rsidP="00676B57">
      <w:pPr>
        <w:rPr>
          <w:color w:val="000000"/>
          <w:lang w:val="es-ES_tradnl"/>
        </w:rPr>
      </w:pPr>
    </w:p>
    <w:p w14:paraId="5FBDFE8B" w14:textId="77777777" w:rsidR="00B97C02" w:rsidRDefault="00B97C02" w:rsidP="007E3FFE">
      <w:pPr>
        <w:rPr>
          <w:color w:val="000000"/>
          <w:lang w:val="es-ES_tradnl"/>
        </w:rPr>
        <w:sectPr w:rsidR="00B97C02" w:rsidSect="00E41FDD">
          <w:headerReference w:type="even" r:id="rId8"/>
          <w:footnotePr>
            <w:pos w:val="beneathText"/>
            <w:numFmt w:val="chicago"/>
          </w:footnotePr>
          <w:pgSz w:w="11907" w:h="16840" w:code="9"/>
          <w:pgMar w:top="1701" w:right="851" w:bottom="1134" w:left="1985" w:header="720" w:footer="482" w:gutter="0"/>
          <w:cols w:space="720"/>
          <w:vAlign w:val="both"/>
        </w:sectPr>
      </w:pPr>
    </w:p>
    <w:p w14:paraId="16DAF8D5" w14:textId="77777777" w:rsidR="00676B57" w:rsidRDefault="00676B57" w:rsidP="007E3FFE">
      <w:pPr>
        <w:rPr>
          <w:color w:val="000000"/>
          <w:lang w:val="es-ES_tradnl"/>
        </w:rPr>
      </w:pPr>
      <w:r w:rsidRPr="003667EC">
        <w:rPr>
          <w:color w:val="000000"/>
          <w:lang w:val="es-ES_tradnl"/>
        </w:rPr>
        <w:lastRenderedPageBreak/>
        <w:t>3</w:t>
      </w:r>
      <w:r w:rsidRPr="003667EC">
        <w:rPr>
          <w:color w:val="000000"/>
          <w:lang w:val="es-ES_tradnl"/>
        </w:rPr>
        <w:tab/>
        <w:t>Teniendo en cuenta que todas las comunicaciones en los servicios móvil aero</w:t>
      </w:r>
      <w:r w:rsidR="007E3FFE" w:rsidRPr="003667EC">
        <w:rPr>
          <w:color w:val="000000"/>
          <w:lang w:val="es-ES_tradnl"/>
        </w:rPr>
        <w:softHyphen/>
      </w:r>
      <w:r w:rsidRPr="003667EC">
        <w:rPr>
          <w:color w:val="000000"/>
          <w:lang w:val="es-ES_tradnl"/>
        </w:rPr>
        <w:t>náutico (R) y (OR) en las bandas exclusivas en ondas decamétricas se efectúan en un modo de operación símplex de frecuencia única, la utilización de la frecuencia pertinente queda abarcada adecuadamente mediante la notificación de la estación aeronáutica transmisora y no es necesario la notificación de la estación receptora asociada (para la recepción de las trans</w:t>
      </w:r>
      <w:r w:rsidR="005164F3" w:rsidRPr="003667EC">
        <w:rPr>
          <w:color w:val="000000"/>
          <w:lang w:val="es-ES_tradnl"/>
        </w:rPr>
        <w:softHyphen/>
      </w:r>
      <w:r w:rsidRPr="003667EC">
        <w:rPr>
          <w:color w:val="000000"/>
          <w:lang w:val="es-ES_tradnl"/>
        </w:rPr>
        <w:t>misiones a partir de estaciones en aeronave). Por consiguiente, la Junta dio instrucciones a la Oficina para que no acepte ninguna notificación de asignación de frecuencia relacionada con una estación aeronáutica receptora en las bandas regidas por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w:t>
      </w:r>
    </w:p>
    <w:p w14:paraId="6988D127" w14:textId="77777777" w:rsidR="00A60C28" w:rsidRPr="003667EC" w:rsidRDefault="00A60C28" w:rsidP="00BF0573">
      <w:pPr>
        <w:pStyle w:val="Heading8"/>
        <w:spacing w:before="240"/>
        <w:rPr>
          <w:lang w:val="es-ES_tradnl"/>
        </w:rPr>
      </w:pPr>
      <w:r w:rsidRPr="003667EC">
        <w:rPr>
          <w:lang w:val="es-ES_tradnl"/>
        </w:rPr>
        <w:t>11.17</w:t>
      </w:r>
    </w:p>
    <w:p w14:paraId="40CCB3D6" w14:textId="77777777" w:rsidR="00A60C28" w:rsidRPr="003667EC" w:rsidRDefault="00A60C28" w:rsidP="00515A02">
      <w:pPr>
        <w:rPr>
          <w:color w:val="000000"/>
          <w:lang w:val="es-ES_tradnl"/>
        </w:rPr>
      </w:pPr>
      <w:r w:rsidRPr="003667EC">
        <w:rPr>
          <w:color w:val="000000"/>
          <w:lang w:val="es-ES_tradnl"/>
        </w:rPr>
        <w:t xml:space="preserve">Esta disposición y las disposiciones de los números </w:t>
      </w:r>
      <w:r w:rsidRPr="003667EC">
        <w:rPr>
          <w:rStyle w:val="Artref"/>
          <w:b/>
          <w:color w:val="000000"/>
          <w:lang w:val="es-ES_tradnl"/>
        </w:rPr>
        <w:t>11.18</w:t>
      </w:r>
      <w:r w:rsidRPr="003667EC">
        <w:rPr>
          <w:color w:val="000000"/>
          <w:lang w:val="es-ES_tradnl"/>
        </w:rPr>
        <w:t xml:space="preserve"> a </w:t>
      </w:r>
      <w:r w:rsidRPr="003667EC">
        <w:rPr>
          <w:rStyle w:val="Artref"/>
          <w:b/>
          <w:color w:val="000000"/>
          <w:lang w:val="es-ES_tradnl"/>
        </w:rPr>
        <w:t>11.21B</w:t>
      </w:r>
      <w:r w:rsidRPr="003667EC">
        <w:rPr>
          <w:color w:val="000000"/>
          <w:lang w:val="es-ES_tradnl"/>
        </w:rPr>
        <w:t xml:space="preserve"> precisan las asignaciones a las estaciones terrenales que deben notificarse individualmente. Todas las demás asigna</w:t>
      </w:r>
      <w:r w:rsidRPr="003667EC">
        <w:rPr>
          <w:color w:val="000000"/>
          <w:lang w:val="es-ES_tradnl"/>
        </w:rPr>
        <w:softHyphen/>
        <w:t>ciones</w:t>
      </w:r>
      <w:r w:rsidRPr="003667EC">
        <w:rPr>
          <w:rStyle w:val="FootnoteReference"/>
          <w:color w:val="000000"/>
          <w:sz w:val="20"/>
          <w:lang w:val="es-ES_tradnl"/>
        </w:rPr>
        <w:footnoteReference w:customMarkFollows="1" w:id="1"/>
        <w:t>1</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2"/>
        <w:t>2</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3"/>
        <w:t>3</w:t>
      </w:r>
      <w:r w:rsidRPr="003667EC">
        <w:rPr>
          <w:lang w:val="es-ES_tradnl"/>
        </w:rPr>
        <w:t xml:space="preserve"> </w:t>
      </w:r>
      <w:r w:rsidRPr="003667EC">
        <w:rPr>
          <w:color w:val="000000"/>
          <w:lang w:val="es-ES_tradnl"/>
        </w:rPr>
        <w:t>pueden notificarse, ya sea como una estación típica o como estaciones indivi</w:t>
      </w:r>
      <w:r w:rsidRPr="003667EC">
        <w:rPr>
          <w:color w:val="000000"/>
          <w:lang w:val="es-ES_tradnl"/>
        </w:rPr>
        <w:softHyphen/>
        <w:t>duales, según lo estime adecuado la administración interesada. Las asignaciones de frecuencia que se notificarán individualmente, en virtud del procedimiento del Artículo</w:t>
      </w:r>
      <w:r w:rsidR="007E3FFE" w:rsidRPr="003667EC">
        <w:rPr>
          <w:color w:val="000000"/>
          <w:lang w:val="es-ES_tradnl"/>
        </w:rPr>
        <w:t xml:space="preserve"> </w:t>
      </w:r>
      <w:r w:rsidRPr="003667EC">
        <w:rPr>
          <w:rStyle w:val="Artref"/>
          <w:b/>
          <w:color w:val="000000"/>
          <w:lang w:val="es-ES_tradnl"/>
        </w:rPr>
        <w:t>11</w:t>
      </w:r>
      <w:r w:rsidRPr="003667EC">
        <w:rPr>
          <w:color w:val="000000"/>
          <w:lang w:val="es-ES_tradnl"/>
        </w:rPr>
        <w:t>, son las siguientes:</w:t>
      </w:r>
    </w:p>
    <w:p w14:paraId="081BFD73" w14:textId="77777777" w:rsidR="00A60C28" w:rsidRPr="003667EC" w:rsidRDefault="00A60C28">
      <w:pPr>
        <w:rPr>
          <w:color w:val="000000"/>
          <w:lang w:val="es-ES_tradnl"/>
        </w:rPr>
      </w:pPr>
      <w:r w:rsidRPr="003667EC">
        <w:rPr>
          <w:color w:val="000000"/>
          <w:lang w:val="es-ES_tradnl"/>
        </w:rPr>
        <w:t>1</w:t>
      </w:r>
      <w:r w:rsidRPr="003667EC">
        <w:rPr>
          <w:color w:val="000000"/>
          <w:lang w:val="es-ES_tradnl"/>
        </w:rPr>
        <w:tab/>
        <w:t>Asignaciones a estaciones abarcadas por los Planes de adjudicaciones de los Apéndices </w:t>
      </w:r>
      <w:r w:rsidRPr="003667EC">
        <w:rPr>
          <w:rStyle w:val="Appref"/>
          <w:b/>
          <w:color w:val="000000"/>
          <w:lang w:val="es-ES_tradnl"/>
        </w:rPr>
        <w:t>25</w:t>
      </w:r>
      <w:r w:rsidRPr="003667EC">
        <w:rPr>
          <w:color w:val="000000"/>
          <w:lang w:val="es-ES_tradnl"/>
        </w:rPr>
        <w:t xml:space="preserve">,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(número </w:t>
      </w:r>
      <w:r w:rsidRPr="003667EC">
        <w:rPr>
          <w:rStyle w:val="Artref"/>
          <w:b/>
          <w:color w:val="000000"/>
          <w:lang w:val="es-ES_tradnl"/>
        </w:rPr>
        <w:t>11.18</w:t>
      </w:r>
      <w:r w:rsidRPr="003667EC">
        <w:rPr>
          <w:color w:val="000000"/>
          <w:lang w:val="es-ES_tradnl"/>
        </w:rPr>
        <w:t>) y por cualquier Plan de asignación de frecuencia.</w:t>
      </w:r>
    </w:p>
    <w:p w14:paraId="34D6DD0D" w14:textId="77777777" w:rsidR="00A60C28" w:rsidRPr="003667EC" w:rsidRDefault="00A60C28">
      <w:pPr>
        <w:rPr>
          <w:color w:val="000000"/>
          <w:lang w:val="es-ES_tradnl"/>
        </w:rPr>
      </w:pPr>
      <w:r w:rsidRPr="003667EC">
        <w:rPr>
          <w:color w:val="000000"/>
          <w:lang w:val="es-ES_tradnl"/>
        </w:rPr>
        <w:t>2</w:t>
      </w:r>
      <w:r w:rsidRPr="003667EC">
        <w:rPr>
          <w:color w:val="000000"/>
          <w:lang w:val="es-ES_tradnl"/>
        </w:rPr>
        <w:tab/>
        <w:t>Asignaciones a las estaciones del servicio de radiodifusión en cualquier banda (número </w:t>
      </w:r>
      <w:r w:rsidRPr="003667EC">
        <w:rPr>
          <w:rStyle w:val="Artref"/>
          <w:b/>
          <w:color w:val="000000"/>
          <w:lang w:val="es-ES_tradnl"/>
        </w:rPr>
        <w:t>11.19</w:t>
      </w:r>
      <w:r w:rsidRPr="003667EC">
        <w:rPr>
          <w:color w:val="000000"/>
          <w:lang w:val="es-ES_tradnl"/>
        </w:rPr>
        <w:t>).</w:t>
      </w:r>
    </w:p>
    <w:p w14:paraId="31EAFF02" w14:textId="77777777" w:rsidR="00A60C28" w:rsidRPr="003667EC" w:rsidRDefault="00A60C28" w:rsidP="007E3FFE">
      <w:pPr>
        <w:rPr>
          <w:color w:val="000000"/>
          <w:lang w:val="es-ES_tradnl"/>
        </w:rPr>
      </w:pPr>
      <w:r w:rsidRPr="003667EC">
        <w:rPr>
          <w:color w:val="000000"/>
          <w:lang w:val="es-ES_tradnl"/>
        </w:rPr>
        <w:t>3</w:t>
      </w:r>
      <w:r w:rsidRPr="003667EC">
        <w:rPr>
          <w:color w:val="000000"/>
          <w:lang w:val="es-ES_tradnl"/>
        </w:rPr>
        <w:tab/>
        <w:t>Asignaciones a las estaciones de todos los servicios terrenales que se encuentren dentro de la zona de coordinación de una estación terrena (número</w:t>
      </w:r>
      <w:r w:rsidR="007E3FFE" w:rsidRPr="003667EC">
        <w:rPr>
          <w:color w:val="000000"/>
          <w:lang w:val="es-ES_tradnl"/>
        </w:rPr>
        <w:t xml:space="preserve"> </w:t>
      </w:r>
      <w:r w:rsidRPr="003667EC">
        <w:rPr>
          <w:rStyle w:val="Artref"/>
          <w:b/>
          <w:color w:val="000000"/>
          <w:lang w:val="es-ES_tradnl"/>
        </w:rPr>
        <w:t>11.20</w:t>
      </w:r>
      <w:r w:rsidRPr="003667EC">
        <w:rPr>
          <w:color w:val="000000"/>
          <w:lang w:val="es-ES_tradnl"/>
        </w:rPr>
        <w:t>), si la anchura de banda notificada de la estación terrenal está situada total o parcialmente dentro de una banda de frecuencia que está atribuida con igualdad de derechos a los servicios terrenales y espaciales en que se exige coordinación en virtud del Cuadro 5</w:t>
      </w:r>
      <w:r w:rsidRPr="003667EC">
        <w:rPr>
          <w:color w:val="000000"/>
          <w:lang w:val="es-ES_tradnl"/>
        </w:rPr>
        <w:noBreakHyphen/>
        <w:t>1 del Apéndice </w:t>
      </w:r>
      <w:r w:rsidRPr="003667EC">
        <w:rPr>
          <w:rStyle w:val="Appref"/>
          <w:b/>
          <w:color w:val="000000"/>
          <w:lang w:val="es-ES_tradnl"/>
        </w:rPr>
        <w:t>5</w:t>
      </w:r>
      <w:r w:rsidRPr="003667EC">
        <w:rPr>
          <w:color w:val="000000"/>
          <w:lang w:val="es-ES_tradnl"/>
        </w:rPr>
        <w:t>.</w:t>
      </w:r>
    </w:p>
    <w:p w14:paraId="53F949D9" w14:textId="03A86A9B" w:rsidR="00E41FDD" w:rsidRDefault="00A60C28" w:rsidP="00E41FDD">
      <w:pPr>
        <w:rPr>
          <w:color w:val="000000"/>
          <w:lang w:val="es-ES_tradnl"/>
        </w:rPr>
      </w:pPr>
      <w:r w:rsidRPr="003667EC">
        <w:rPr>
          <w:color w:val="000000"/>
          <w:lang w:val="es-ES_tradnl"/>
        </w:rPr>
        <w:t xml:space="preserve">De conformidad con el número </w:t>
      </w:r>
      <w:r w:rsidRPr="003667EC">
        <w:rPr>
          <w:rStyle w:val="Artref"/>
          <w:b/>
          <w:color w:val="000000"/>
          <w:lang w:val="es-ES_tradnl"/>
        </w:rPr>
        <w:t>11.20</w:t>
      </w:r>
      <w:r w:rsidRPr="003667EC">
        <w:rPr>
          <w:color w:val="000000"/>
          <w:lang w:val="es-ES_tradnl"/>
        </w:rPr>
        <w:t>, la notificación de una estación terrenal típica no es admisible si la estación terrenal se encuentra dentro de la zona de coordinación de una estación terrena. Habida cuenta de las dificultades actuales de la Oficina para evaluar, en el momento de recibir la notificación, si la estación terrenal está o no situada dentro de la zona de coordinación de una estación terrena existente o una para la cual ya se haya efectuado o iniciado la coordinación, la Junta encarga a la Oficina que aliente a las administraciones a presentar notificaciones individuales a las estaciones terrenales en todos los casos en que la anchura de banda notificada de la estación terrenal se sitúa total o parcialmente en alguna de las bandas compartidas entre los servicios terrenal y espacial con igualdad de derechos, si la atribución al servicio espacial abarca el sentido espacio-Tierra.</w:t>
      </w:r>
      <w:r w:rsidR="00243C1F">
        <w:rPr>
          <w:color w:val="000000"/>
          <w:lang w:val="es-ES_tradnl"/>
        </w:rPr>
        <w:t xml:space="preserve"> </w:t>
      </w:r>
      <w:r w:rsidRPr="003667EC">
        <w:rPr>
          <w:color w:val="000000"/>
          <w:lang w:val="es-ES_tradnl"/>
        </w:rPr>
        <w:t xml:space="preserve">La Oficina puede también aceptar una notificación a una estación típica en esas bandas, si la administración notificante así lo desea, en la inteligencia de que el formulario de notificación respectivo puede ser devuelto a la administración notificante en una etapa ulterior, si los exámenes de la Oficina </w:t>
      </w:r>
      <w:r w:rsidRPr="003667EC">
        <w:rPr>
          <w:color w:val="000000"/>
          <w:lang w:val="es-ES_tradnl"/>
        </w:rPr>
        <w:lastRenderedPageBreak/>
        <w:t>confirman que la zona geográfica de servicio de una estación terrenal típica notificada se superpone con la zona de coordinación de una estación terrena. Esta notificación, cuando se publique en la Parte</w:t>
      </w:r>
      <w:r w:rsidR="007E3FFE" w:rsidRPr="003667EC">
        <w:rPr>
          <w:color w:val="000000"/>
          <w:lang w:val="es-ES_tradnl"/>
        </w:rPr>
        <w:t xml:space="preserve"> </w:t>
      </w:r>
      <w:r w:rsidRPr="003667EC">
        <w:rPr>
          <w:color w:val="000000"/>
          <w:lang w:val="es-ES_tradnl"/>
        </w:rPr>
        <w:t>1 de la BR</w:t>
      </w:r>
      <w:r w:rsidR="00437E8C" w:rsidRPr="003667EC">
        <w:rPr>
          <w:color w:val="000000"/>
          <w:lang w:val="es-ES_tradnl"/>
        </w:rPr>
        <w:t> </w:t>
      </w:r>
      <w:r w:rsidRPr="003667EC">
        <w:rPr>
          <w:color w:val="000000"/>
          <w:lang w:val="es-ES_tradnl"/>
        </w:rPr>
        <w:t>IFIC, llevará un símbolo especial en el que se haga referencia a esta Regla de Procedimiento.</w:t>
      </w:r>
    </w:p>
    <w:p w14:paraId="1D92DA62" w14:textId="77777777" w:rsidR="009C3798" w:rsidRDefault="00A60C28" w:rsidP="00E41FDD">
      <w:pPr>
        <w:rPr>
          <w:color w:val="000000"/>
          <w:lang w:val="es-ES_tradnl"/>
        </w:rPr>
      </w:pPr>
      <w:r w:rsidRPr="003667EC">
        <w:rPr>
          <w:color w:val="000000"/>
          <w:lang w:val="es-ES_tradnl"/>
        </w:rPr>
        <w:t>4</w:t>
      </w:r>
      <w:r w:rsidRPr="003667EC">
        <w:rPr>
          <w:color w:val="000000"/>
          <w:lang w:val="es-ES_tradnl"/>
        </w:rPr>
        <w:tab/>
        <w:t>Asignaciones a toda estación terrenal en las bandas compartidas con los servicios espaciales en igualdad de derechos que rebasen los límites de los parámetros de las estaciones terrenales especificados en los Cuadros 8a, 8b, 8c y 8d del Apéndice </w:t>
      </w:r>
      <w:r w:rsidRPr="003667EC">
        <w:rPr>
          <w:rStyle w:val="Appref"/>
          <w:b/>
          <w:color w:val="000000"/>
          <w:lang w:val="es-ES_tradnl"/>
        </w:rPr>
        <w:t>7</w:t>
      </w:r>
      <w:r w:rsidRPr="003667EC">
        <w:rPr>
          <w:color w:val="000000"/>
          <w:lang w:val="es-ES_tradnl"/>
        </w:rPr>
        <w:t xml:space="preserve"> y en el número </w:t>
      </w:r>
      <w:r w:rsidRPr="003667EC">
        <w:rPr>
          <w:rStyle w:val="Artref"/>
          <w:b/>
          <w:color w:val="000000"/>
          <w:lang w:val="es-ES_tradnl"/>
        </w:rPr>
        <w:t>21.3</w:t>
      </w:r>
      <w:r w:rsidRPr="003667EC">
        <w:rPr>
          <w:color w:val="000000"/>
          <w:lang w:val="es-ES_tradnl"/>
        </w:rPr>
        <w:t xml:space="preserve"> (número </w:t>
      </w:r>
      <w:r w:rsidRPr="003667EC">
        <w:rPr>
          <w:rStyle w:val="Artref"/>
          <w:b/>
          <w:color w:val="000000"/>
          <w:lang w:val="es-ES_tradnl"/>
        </w:rPr>
        <w:t>11.21</w:t>
      </w:r>
      <w:r w:rsidRPr="003667EC">
        <w:rPr>
          <w:color w:val="000000"/>
          <w:lang w:val="es-ES_tradnl"/>
        </w:rPr>
        <w:t>).</w:t>
      </w:r>
    </w:p>
    <w:p w14:paraId="25D09F32" w14:textId="77777777" w:rsidR="00A60C28" w:rsidRPr="003667EC" w:rsidRDefault="00A60C28" w:rsidP="00437E8C">
      <w:pPr>
        <w:rPr>
          <w:color w:val="000000"/>
          <w:lang w:val="es-ES_tradnl"/>
        </w:rPr>
      </w:pPr>
      <w:r w:rsidRPr="003667EC">
        <w:rPr>
          <w:color w:val="000000"/>
          <w:lang w:val="es-ES_tradnl"/>
        </w:rPr>
        <w:t xml:space="preserve">La Junta interpreta que la primera parte de esta disposición tiene por objeto otorgar la protección adecuada a las estaciones terrenas cuando la p.i.r.e. de las estaciones terrenales sea elevada. Teniendo en cuenta la variedad de condiciones especificadas en los citados Cuadros del Apéndice </w:t>
      </w:r>
      <w:r w:rsidRPr="003667EC">
        <w:rPr>
          <w:rStyle w:val="Appref"/>
          <w:b/>
          <w:bCs/>
          <w:color w:val="000000"/>
          <w:lang w:val="es-ES_tradnl"/>
        </w:rPr>
        <w:t>7</w:t>
      </w:r>
      <w:r w:rsidRPr="003667EC">
        <w:rPr>
          <w:color w:val="000000"/>
          <w:lang w:val="es-ES_tradnl"/>
        </w:rPr>
        <w:t>, la Junta decidió que las administraciones deberán presentar notificaciones individuales siempre que el límite de la p.i.r.e. rebase los siguientes valores:</w:t>
      </w:r>
    </w:p>
    <w:p w14:paraId="4F78007A" w14:textId="77777777" w:rsidR="00A60C28" w:rsidRPr="003667EC" w:rsidRDefault="00A60C28" w:rsidP="00FB6506">
      <w:pPr>
        <w:pStyle w:val="enumlev1"/>
        <w:spacing w:before="60"/>
        <w:rPr>
          <w:color w:val="000000"/>
          <w:lang w:val="es-ES_tradnl"/>
        </w:rPr>
      </w:pPr>
      <w:r w:rsidRPr="003667EC">
        <w:rPr>
          <w:color w:val="000000"/>
          <w:lang w:val="es-ES_tradnl"/>
        </w:rPr>
        <w:tab/>
        <w:t>50 dBW (para modulación analógica) y 37 dBW (para modulación digital), en cualquiera de las bandas de frecuencias por debajo de 3 GHz mencionadas en los Cuadros 8a y 8b;</w:t>
      </w:r>
    </w:p>
    <w:p w14:paraId="49B734D1" w14:textId="63253506"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r w:rsidRPr="003667EC">
        <w:rPr>
          <w:color w:val="000000"/>
          <w:lang w:val="es-ES_tradnl"/>
        </w:rPr>
        <w:t>dBW (para modulación analógica)</w:t>
      </w:r>
      <w:r w:rsidRPr="003667EC">
        <w:rPr>
          <w:rStyle w:val="FootnoteReference"/>
          <w:color w:val="000000"/>
          <w:sz w:val="20"/>
          <w:lang w:val="es-ES_tradnl"/>
        </w:rPr>
        <w:footnoteReference w:customMarkFollows="1" w:id="4"/>
        <w:t>4</w:t>
      </w:r>
      <w:r w:rsidRPr="003667EC">
        <w:rPr>
          <w:color w:val="000000"/>
          <w:lang w:val="es-ES_tradnl"/>
        </w:rPr>
        <w:t xml:space="preserve"> y 42 dBW (para modulación digital), en cualquiera de las bandas de frecuencias entre 3 GHz y 15 GHz mencionadas en los Cuadros 8b y 8c;</w:t>
      </w:r>
    </w:p>
    <w:p w14:paraId="1472105E" w14:textId="371D304D"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r w:rsidRPr="003667EC">
        <w:rPr>
          <w:color w:val="000000"/>
          <w:lang w:val="es-ES_tradnl"/>
        </w:rPr>
        <w:t>dBW (para modulación analógica)</w:t>
      </w:r>
      <w:r w:rsidRPr="003667EC">
        <w:rPr>
          <w:color w:val="000000"/>
          <w:position w:val="6"/>
          <w:sz w:val="20"/>
          <w:lang w:val="es-ES_tradnl"/>
        </w:rPr>
        <w:t>4</w:t>
      </w:r>
      <w:r w:rsidRPr="003667EC">
        <w:rPr>
          <w:color w:val="000000"/>
          <w:lang w:val="es-ES_tradnl"/>
        </w:rPr>
        <w:t xml:space="preserve"> y 40 dBW (para modulación digital), en cualquiera de las bandas de frecuencias por encima de 15 GHz mencionadas en los Cuadros 8c y 8d.</w:t>
      </w:r>
    </w:p>
    <w:p w14:paraId="76EAA2D6" w14:textId="77777777" w:rsidR="00A60C28" w:rsidRPr="003667EC" w:rsidRDefault="00A60C28" w:rsidP="00FB6506">
      <w:pPr>
        <w:spacing w:before="120"/>
        <w:rPr>
          <w:color w:val="000000"/>
          <w:lang w:val="es-ES_tradnl"/>
        </w:rPr>
      </w:pPr>
      <w:r w:rsidRPr="003667EC">
        <w:rPr>
          <w:color w:val="000000"/>
          <w:lang w:val="es-ES_tradnl"/>
        </w:rPr>
        <w:t>5</w:t>
      </w:r>
      <w:r w:rsidRPr="003667EC">
        <w:rPr>
          <w:color w:val="000000"/>
          <w:lang w:val="es-ES_tradnl"/>
        </w:rPr>
        <w:tab/>
        <w:t>Asignaciones a estaciones terrenales en las bandas de frecuencias indicadas en el Cuadro </w:t>
      </w:r>
      <w:r w:rsidRPr="003667EC">
        <w:rPr>
          <w:b/>
          <w:bCs/>
          <w:lang w:val="es-ES_tradnl"/>
        </w:rPr>
        <w:t>21-2</w:t>
      </w:r>
      <w:r w:rsidRPr="003667EC">
        <w:rPr>
          <w:color w:val="000000"/>
          <w:lang w:val="es-ES_tradnl"/>
        </w:rPr>
        <w:t xml:space="preserve"> (número </w:t>
      </w:r>
      <w:r w:rsidRPr="003667EC">
        <w:rPr>
          <w:rStyle w:val="Artref"/>
          <w:b/>
          <w:color w:val="000000"/>
          <w:lang w:val="es-ES_tradnl"/>
        </w:rPr>
        <w:t>11.21A</w:t>
      </w:r>
      <w:r w:rsidRPr="003667EC">
        <w:rPr>
          <w:color w:val="000000"/>
          <w:lang w:val="es-ES_tradnl"/>
        </w:rPr>
        <w:t>).</w:t>
      </w:r>
    </w:p>
    <w:p w14:paraId="2275F0E4" w14:textId="77777777" w:rsidR="00A60C28" w:rsidRPr="003667EC" w:rsidRDefault="00A60C28" w:rsidP="00FB6506">
      <w:pPr>
        <w:spacing w:before="120"/>
        <w:rPr>
          <w:lang w:val="es-ES_tradnl"/>
        </w:rPr>
      </w:pPr>
      <w:r w:rsidRPr="003667EC">
        <w:rPr>
          <w:lang w:val="es-ES_tradnl"/>
        </w:rPr>
        <w:t>La Junta interpreta que esta disposición tiene por objeto proteger la OSG y se debe aplicar a todos los servicios terrenales en las bandas citadas anteriormente, independientemente de la categoría de su atribución.</w:t>
      </w:r>
    </w:p>
    <w:p w14:paraId="21A72C21" w14:textId="77777777" w:rsidR="00A60C28" w:rsidRDefault="00A60C28" w:rsidP="00FB6506">
      <w:pPr>
        <w:spacing w:before="120"/>
        <w:rPr>
          <w:color w:val="000000"/>
          <w:lang w:val="es-ES_tradnl"/>
        </w:rPr>
      </w:pPr>
      <w:r w:rsidRPr="003667EC">
        <w:rPr>
          <w:color w:val="000000"/>
          <w:lang w:val="es-ES_tradnl"/>
        </w:rPr>
        <w:t>6</w:t>
      </w:r>
      <w:r w:rsidRPr="003667EC">
        <w:rPr>
          <w:color w:val="000000"/>
          <w:lang w:val="es-ES_tradnl"/>
        </w:rPr>
        <w:tab/>
        <w:t>Las asignaciones a estaciones terrenales que se rigen por el procedimiento para la búsqueda de un acuerdo según el número </w:t>
      </w:r>
      <w:r w:rsidRPr="003667EC">
        <w:rPr>
          <w:rStyle w:val="Artref"/>
          <w:b/>
          <w:bCs/>
          <w:color w:val="000000"/>
          <w:lang w:val="es-ES_tradnl"/>
        </w:rPr>
        <w:t>9.21</w:t>
      </w:r>
      <w:r w:rsidRPr="003667EC">
        <w:rPr>
          <w:color w:val="000000"/>
          <w:lang w:val="es-ES_tradnl"/>
        </w:rPr>
        <w:t xml:space="preserve"> (número </w:t>
      </w:r>
      <w:r w:rsidRPr="003667EC">
        <w:rPr>
          <w:rStyle w:val="Artref"/>
          <w:b/>
          <w:bCs/>
          <w:color w:val="000000"/>
          <w:lang w:val="es-ES_tradnl"/>
        </w:rPr>
        <w:t>11.21B</w:t>
      </w:r>
      <w:r w:rsidRPr="003667EC">
        <w:rPr>
          <w:color w:val="000000"/>
          <w:lang w:val="es-ES_tradnl"/>
        </w:rPr>
        <w:t>).</w:t>
      </w:r>
    </w:p>
    <w:p w14:paraId="40A1115F" w14:textId="77777777" w:rsidR="00415905" w:rsidRDefault="00415905" w:rsidP="00FB6506">
      <w:pPr>
        <w:spacing w:before="120"/>
        <w:rPr>
          <w:color w:val="000000"/>
          <w:lang w:val="es-ES_tradnl"/>
        </w:rPr>
      </w:pPr>
    </w:p>
    <w:p w14:paraId="64DCE15C" w14:textId="77777777" w:rsidR="00415905" w:rsidRDefault="00415905" w:rsidP="00FB6506">
      <w:pPr>
        <w:spacing w:before="120"/>
        <w:rPr>
          <w:color w:val="000000"/>
          <w:lang w:val="es-ES_tradnl"/>
        </w:rPr>
        <w:sectPr w:rsidR="00415905" w:rsidSect="00E41FDD">
          <w:headerReference w:type="even" r:id="rId9"/>
          <w:headerReference w:type="default" r:id="rId10"/>
          <w:footnotePr>
            <w:pos w:val="beneathText"/>
            <w:numFmt w:val="chicago"/>
          </w:footnotePr>
          <w:pgSz w:w="11907" w:h="16840" w:code="9"/>
          <w:pgMar w:top="1701" w:right="851" w:bottom="1134" w:left="1985" w:header="720" w:footer="482" w:gutter="0"/>
          <w:cols w:space="720"/>
          <w:vAlign w:val="both"/>
        </w:sectPr>
      </w:pPr>
    </w:p>
    <w:p w14:paraId="3B38FE9A" w14:textId="0BEB5887" w:rsidR="00A60C28" w:rsidRPr="003667EC" w:rsidRDefault="00A60C28" w:rsidP="00415905">
      <w:pPr>
        <w:pStyle w:val="Heading8"/>
        <w:spacing w:before="0"/>
        <w:rPr>
          <w:color w:val="000000"/>
          <w:lang w:val="es-ES_tradnl"/>
        </w:rPr>
      </w:pPr>
      <w:r w:rsidRPr="003667EC">
        <w:rPr>
          <w:color w:val="000000"/>
          <w:lang w:val="es-ES_tradnl"/>
        </w:rPr>
        <w:lastRenderedPageBreak/>
        <w:t>11.28</w:t>
      </w:r>
    </w:p>
    <w:p w14:paraId="148C23D4" w14:textId="77777777" w:rsidR="00FB6506" w:rsidRPr="00FB6506" w:rsidRDefault="00FB6506" w:rsidP="00415905">
      <w:pPr>
        <w:pStyle w:val="Headingb0"/>
        <w:spacing w:before="40"/>
        <w:rPr>
          <w:u w:val="single"/>
          <w:lang w:val="es-ES_tradnl"/>
        </w:rPr>
      </w:pPr>
      <w:r w:rsidRPr="00FB6506">
        <w:rPr>
          <w:lang w:val="es-ES_tradnl"/>
        </w:rPr>
        <w:t>Comparación de los datos con los presentados en virtud del Artículo </w:t>
      </w:r>
      <w:r w:rsidRPr="00FB6506">
        <w:rPr>
          <w:rStyle w:val="Artref"/>
          <w:color w:val="000000"/>
          <w:lang w:val="es-ES_tradnl"/>
        </w:rPr>
        <w:t>9</w:t>
      </w:r>
    </w:p>
    <w:p w14:paraId="5F47333C" w14:textId="77777777" w:rsidR="00FB6506" w:rsidRPr="00FB6506" w:rsidRDefault="00FB6506" w:rsidP="00415905">
      <w:pPr>
        <w:spacing w:before="40"/>
        <w:rPr>
          <w:lang w:val="es-ES_tradnl"/>
        </w:rPr>
      </w:pPr>
      <w:r w:rsidRPr="00FB6506">
        <w:rPr>
          <w:lang w:val="es-ES_tradnl"/>
        </w:rPr>
        <w:t>El número </w:t>
      </w:r>
      <w:r w:rsidRPr="00FB6506">
        <w:rPr>
          <w:rStyle w:val="Artref"/>
          <w:b/>
          <w:color w:val="000000"/>
          <w:lang w:val="es-ES_tradnl"/>
        </w:rPr>
        <w:t>11.28</w:t>
      </w:r>
      <w:r w:rsidRPr="00FB6506">
        <w:rPr>
          <w:lang w:val="es-ES_tradnl"/>
        </w:rPr>
        <w:t xml:space="preserve"> no hace referencia a la necesidad de comparar las características notificadas con las publicadas en las Secciones especiales para publicación anticipada, para coordinación y para los resultados o el estado de la coordinación. Una notificación de frecuencia presentada en virtud de los números </w:t>
      </w:r>
      <w:r w:rsidRPr="00FB6506">
        <w:rPr>
          <w:rStyle w:val="Artref"/>
          <w:b/>
          <w:color w:val="000000"/>
          <w:lang w:val="es-ES_tradnl"/>
        </w:rPr>
        <w:t>11.2</w:t>
      </w:r>
      <w:r w:rsidRPr="00FB6506">
        <w:rPr>
          <w:lang w:val="es-ES_tradnl"/>
        </w:rPr>
        <w:t xml:space="preserve"> u </w:t>
      </w:r>
      <w:r w:rsidRPr="00FB6506">
        <w:rPr>
          <w:rStyle w:val="Artref"/>
          <w:b/>
          <w:color w:val="000000"/>
          <w:lang w:val="es-ES_tradnl"/>
        </w:rPr>
        <w:t>11.9</w:t>
      </w:r>
      <w:r w:rsidRPr="00FB6506">
        <w:rPr>
          <w:lang w:val="es-ES_tradnl"/>
        </w:rPr>
        <w:t xml:space="preserve"> cuyas características difieren de las publicadas en una Sección especial necesariamente requiere un examen de la Oficina, para la adopción de las medidas adecuadas. Se adoptarán las siguientes medidas:</w:t>
      </w:r>
    </w:p>
    <w:p w14:paraId="49857FFB" w14:textId="77777777" w:rsidR="00FB6506" w:rsidRPr="00FB6506" w:rsidRDefault="00FB6506" w:rsidP="00415905">
      <w:pPr>
        <w:pStyle w:val="enumlev1"/>
        <w:keepNext/>
        <w:keepLines/>
        <w:spacing w:before="40"/>
        <w:rPr>
          <w:color w:val="000000"/>
          <w:lang w:val="es-ES_tradnl"/>
        </w:rPr>
      </w:pPr>
      <w:r w:rsidRPr="00FB6506">
        <w:rPr>
          <w:color w:val="000000"/>
          <w:lang w:val="es-ES_tradnl"/>
        </w:rPr>
        <w:t>1)</w:t>
      </w:r>
      <w:r w:rsidRPr="00FB6506">
        <w:rPr>
          <w:color w:val="000000"/>
          <w:lang w:val="es-ES_tradnl"/>
        </w:rPr>
        <w:tab/>
      </w:r>
      <w:r w:rsidRPr="00FB6506">
        <w:rPr>
          <w:lang w:val="es-ES_tradnl"/>
        </w:rPr>
        <w:t>Se cotejará la fecha de puesta en servicio de las asignaciones de frecuencias a una estación espacial con la fecha de recepción de la información completa pertinente con arreglo al número</w:t>
      </w:r>
      <w:r w:rsidRPr="00FB6506">
        <w:rPr>
          <w:szCs w:val="22"/>
          <w:lang w:val="es-ES_tradnl"/>
        </w:rPr>
        <w:t xml:space="preserve"> </w:t>
      </w:r>
      <w:r w:rsidRPr="00FB6506">
        <w:rPr>
          <w:b/>
          <w:bCs/>
          <w:szCs w:val="22"/>
          <w:lang w:val="es-ES_tradnl"/>
        </w:rPr>
        <w:t>9.1</w:t>
      </w:r>
      <w:r w:rsidRPr="00FB6506">
        <w:rPr>
          <w:szCs w:val="22"/>
          <w:lang w:val="es-ES_tradnl"/>
        </w:rPr>
        <w:t xml:space="preserve"> </w:t>
      </w:r>
      <w:r w:rsidRPr="00FB6506">
        <w:rPr>
          <w:lang w:val="es-ES_tradnl"/>
        </w:rPr>
        <w:t>ó</w:t>
      </w:r>
      <w:r w:rsidRPr="00FB6506">
        <w:rPr>
          <w:szCs w:val="22"/>
          <w:lang w:val="es-ES_tradnl"/>
        </w:rPr>
        <w:t xml:space="preserve"> </w:t>
      </w:r>
      <w:r w:rsidRPr="00FB6506">
        <w:rPr>
          <w:b/>
          <w:bCs/>
          <w:szCs w:val="22"/>
          <w:lang w:val="es-ES_tradnl"/>
        </w:rPr>
        <w:t>9.2</w:t>
      </w:r>
      <w:r w:rsidRPr="00FB6506">
        <w:rPr>
          <w:szCs w:val="22"/>
          <w:lang w:val="es-ES_tradnl"/>
        </w:rPr>
        <w:t xml:space="preserve"> </w:t>
      </w:r>
      <w:r w:rsidRPr="00FB6506">
        <w:rPr>
          <w:lang w:val="es-ES_tradnl"/>
        </w:rPr>
        <w:t xml:space="preserve">en el caso de las redes o sistemas de satélites no sujetos a la Sección </w:t>
      </w:r>
      <w:r w:rsidRPr="00FB6506">
        <w:rPr>
          <w:szCs w:val="22"/>
          <w:lang w:val="es-ES_tradnl"/>
        </w:rPr>
        <w:t xml:space="preserve">II </w:t>
      </w:r>
      <w:r w:rsidRPr="00FB6506">
        <w:rPr>
          <w:lang w:val="es-ES_tradnl"/>
        </w:rPr>
        <w:t xml:space="preserve">del Artículo </w:t>
      </w:r>
      <w:r w:rsidRPr="00FB6506">
        <w:rPr>
          <w:b/>
          <w:bCs/>
          <w:szCs w:val="22"/>
          <w:lang w:val="es-ES_tradnl"/>
        </w:rPr>
        <w:t>9</w:t>
      </w:r>
      <w:r w:rsidRPr="00FB6506">
        <w:rPr>
          <w:szCs w:val="22"/>
          <w:lang w:val="es-ES_tradnl"/>
        </w:rPr>
        <w:t xml:space="preserve"> o </w:t>
      </w:r>
      <w:r w:rsidRPr="00FB6506">
        <w:rPr>
          <w:lang w:val="es-ES_tradnl"/>
        </w:rPr>
        <w:t>con arreglo al número </w:t>
      </w:r>
      <w:r w:rsidRPr="00FB6506">
        <w:rPr>
          <w:b/>
          <w:bCs/>
          <w:szCs w:val="22"/>
          <w:lang w:val="es-ES_tradnl"/>
        </w:rPr>
        <w:t>9.1A</w:t>
      </w:r>
      <w:r w:rsidRPr="00FB6506">
        <w:rPr>
          <w:szCs w:val="22"/>
          <w:lang w:val="es-ES_tradnl"/>
        </w:rPr>
        <w:t xml:space="preserve"> </w:t>
      </w:r>
      <w:r w:rsidRPr="00FB6506">
        <w:rPr>
          <w:lang w:val="es-ES_tradnl"/>
        </w:rPr>
        <w:t xml:space="preserve">en el caso de las redes o sistemas de satélites sujetos a la Sección </w:t>
      </w:r>
      <w:r w:rsidRPr="00FB6506">
        <w:rPr>
          <w:szCs w:val="22"/>
          <w:lang w:val="es-ES_tradnl"/>
        </w:rPr>
        <w:t xml:space="preserve">II </w:t>
      </w:r>
      <w:r w:rsidRPr="00FB6506">
        <w:rPr>
          <w:lang w:val="es-ES_tradnl"/>
        </w:rPr>
        <w:t>del Artículo </w:t>
      </w:r>
      <w:r w:rsidRPr="00FB6506">
        <w:rPr>
          <w:b/>
          <w:bCs/>
          <w:szCs w:val="22"/>
          <w:lang w:val="es-ES_tradnl"/>
        </w:rPr>
        <w:t>9</w:t>
      </w:r>
      <w:r w:rsidRPr="00FB6506">
        <w:rPr>
          <w:lang w:val="es-ES_tradnl"/>
        </w:rPr>
        <w:t>. En el caso en que este periodo supere siete años, la notificación se devuelve a la Administración notificante, con la recomendación de iniciar nuevamente el procedimiento del Artículo </w:t>
      </w:r>
      <w:r w:rsidRPr="00FB6506">
        <w:rPr>
          <w:rStyle w:val="Artref"/>
          <w:rFonts w:asciiTheme="majorBidi" w:hAnsiTheme="majorBidi" w:cstheme="majorBidi"/>
          <w:b/>
          <w:bCs/>
          <w:color w:val="auto"/>
          <w:lang w:val="es-ES_tradnl"/>
        </w:rPr>
        <w:t>9</w:t>
      </w:r>
      <w:r w:rsidRPr="00FB6506">
        <w:rPr>
          <w:color w:val="000000"/>
          <w:lang w:val="es-ES_tradnl"/>
        </w:rPr>
        <w:t>.</w:t>
      </w:r>
    </w:p>
    <w:p w14:paraId="218B8B57" w14:textId="77777777" w:rsidR="00BF0573" w:rsidRDefault="00FB6506" w:rsidP="00415905">
      <w:pPr>
        <w:pStyle w:val="enumlev1"/>
        <w:spacing w:before="40"/>
        <w:rPr>
          <w:lang w:val="es-ES_tradnl"/>
        </w:rPr>
      </w:pPr>
      <w:r w:rsidRPr="00FB6506">
        <w:rPr>
          <w:color w:val="000000"/>
          <w:lang w:val="es-ES_tradnl"/>
        </w:rPr>
        <w:t>2)</w:t>
      </w:r>
      <w:r w:rsidRPr="00FB6506">
        <w:rPr>
          <w:color w:val="000000"/>
          <w:lang w:val="es-ES_tradnl"/>
        </w:rPr>
        <w:tab/>
      </w:r>
      <w:r w:rsidRPr="00FB6506">
        <w:rPr>
          <w:lang w:val="es-ES_tradnl"/>
        </w:rPr>
        <w:t>Cuando las características notificadas son diferentes de las publicadas en la Sección espec</w:t>
      </w:r>
      <w:r w:rsidRPr="001859EF">
        <w:rPr>
          <w:rFonts w:asciiTheme="majorBidi" w:hAnsiTheme="majorBidi" w:cstheme="majorBidi"/>
          <w:lang w:val="es-ES_tradnl"/>
        </w:rPr>
        <w:t xml:space="preserve">ial en relación con </w:t>
      </w:r>
      <w:r w:rsidRPr="00FB6506">
        <w:rPr>
          <w:rFonts w:asciiTheme="majorBidi" w:hAnsiTheme="majorBidi" w:cstheme="majorBidi"/>
          <w:color w:val="000000"/>
          <w:lang w:val="es-ES_tradnl"/>
        </w:rPr>
        <w:t>la publicación anticipada presentada por una administración o generada automáticamente por la Oficina, se sopesará la necesidad de volver a aplicar el procedimiento del Artículo</w:t>
      </w:r>
      <w:r w:rsidRPr="00FB6506">
        <w:rPr>
          <w:rFonts w:asciiTheme="majorBidi" w:hAnsiTheme="majorBidi" w:cstheme="majorBidi"/>
          <w:b/>
          <w:bCs/>
          <w:color w:val="000000"/>
          <w:lang w:val="es-ES_tradnl"/>
        </w:rPr>
        <w:t xml:space="preserve"> 9</w:t>
      </w:r>
      <w:r w:rsidRPr="00FB6506">
        <w:rPr>
          <w:rFonts w:asciiTheme="majorBidi" w:hAnsiTheme="majorBidi" w:cstheme="majorBidi"/>
          <w:color w:val="000000"/>
          <w:lang w:val="es-ES_tradnl"/>
        </w:rPr>
        <w:t xml:space="preserve"> con arreglo al número </w:t>
      </w:r>
      <w:r w:rsidRPr="00FB6506">
        <w:rPr>
          <w:rFonts w:asciiTheme="majorBidi" w:hAnsiTheme="majorBidi" w:cstheme="majorBidi"/>
          <w:b/>
          <w:bCs/>
          <w:color w:val="000000"/>
          <w:lang w:val="es-ES_tradnl"/>
        </w:rPr>
        <w:t>9.2</w:t>
      </w:r>
      <w:r w:rsidRPr="00FB6506">
        <w:rPr>
          <w:rFonts w:asciiTheme="majorBidi" w:hAnsiTheme="majorBidi" w:cstheme="majorBidi"/>
          <w:color w:val="000000"/>
          <w:lang w:val="es-ES_tradnl"/>
        </w:rPr>
        <w:t xml:space="preserve">. En su caso, la notificación se devuelve a la Administración notificante, con la recomendación de iniciar nuevamente el procedimiento del Artículo </w:t>
      </w:r>
      <w:r w:rsidRPr="00FB6506">
        <w:rPr>
          <w:rFonts w:asciiTheme="majorBidi" w:hAnsiTheme="majorBidi" w:cstheme="majorBidi"/>
          <w:b/>
          <w:bCs/>
          <w:color w:val="000000"/>
          <w:lang w:val="es-ES_tradnl"/>
        </w:rPr>
        <w:t>9</w:t>
      </w:r>
      <w:r w:rsidRPr="00FB6506">
        <w:rPr>
          <w:rFonts w:asciiTheme="majorBidi" w:hAnsiTheme="majorBidi" w:cstheme="majorBidi"/>
          <w:color w:val="000000"/>
          <w:lang w:val="es-ES_tradnl"/>
        </w:rPr>
        <w:t>.</w:t>
      </w:r>
    </w:p>
    <w:p w14:paraId="016D4334" w14:textId="77777777" w:rsidR="00FB6506" w:rsidRPr="00FB6506" w:rsidRDefault="00FB6506" w:rsidP="00415905">
      <w:pPr>
        <w:pStyle w:val="enumlev1"/>
        <w:keepNext/>
        <w:keepLines/>
        <w:spacing w:before="40"/>
        <w:rPr>
          <w:lang w:val="es-ES_tradnl"/>
        </w:rPr>
      </w:pPr>
      <w:r w:rsidRPr="001859EF">
        <w:rPr>
          <w:color w:val="000000"/>
          <w:lang w:val="es-ES_tradnl"/>
        </w:rPr>
        <w:t>3)</w:t>
      </w:r>
      <w:r w:rsidRPr="001859EF">
        <w:rPr>
          <w:color w:val="000000"/>
          <w:lang w:val="es-ES_tradnl"/>
        </w:rPr>
        <w:tab/>
      </w:r>
      <w:r w:rsidRPr="00FB6506">
        <w:rPr>
          <w:lang w:val="es-ES_tradnl"/>
        </w:rPr>
        <w:t>Cuando las características notificadas son diferentes de las publicadas en la Sección especial en relación con la publicación anticipada de la solicitud de coordinación, según proceda, se asume que dichas diferencias son fruto de la coordinación.</w:t>
      </w:r>
    </w:p>
    <w:p w14:paraId="57B7D703" w14:textId="77777777" w:rsidR="00F064A9" w:rsidRDefault="00FB6506" w:rsidP="00415905">
      <w:pPr>
        <w:pStyle w:val="enumlev1"/>
        <w:spacing w:before="40"/>
        <w:rPr>
          <w:rFonts w:asciiTheme="minorHAnsi" w:hAnsiTheme="minorHAnsi"/>
          <w:color w:val="000000"/>
          <w:lang w:val="es-ES_tradnl"/>
        </w:rPr>
      </w:pPr>
      <w:r w:rsidRPr="00FB6506">
        <w:rPr>
          <w:color w:val="000000"/>
          <w:lang w:val="es-ES_tradnl"/>
        </w:rPr>
        <w:t>4)</w:t>
      </w:r>
      <w:r w:rsidRPr="00FB6506">
        <w:rPr>
          <w:color w:val="000000"/>
          <w:lang w:val="es-ES_tradnl"/>
        </w:rPr>
        <w:tab/>
      </w:r>
      <w:r w:rsidRPr="00FB6506">
        <w:rPr>
          <w:lang w:val="es-ES_tradnl"/>
        </w:rPr>
        <w:t>Por motivos prácticos, la Oficina no puede llevar a cabo sistemáticamente la compa</w:t>
      </w:r>
      <w:r w:rsidRPr="00FB6506">
        <w:rPr>
          <w:lang w:val="es-ES_tradnl"/>
        </w:rPr>
        <w:softHyphen/>
        <w:t xml:space="preserve">ración de la información sobre coordinación contenida en el formulario de notificación presentado en virtud de los números </w:t>
      </w:r>
      <w:r w:rsidRPr="00FB6506">
        <w:rPr>
          <w:rStyle w:val="Artref"/>
          <w:b/>
          <w:bCs/>
          <w:color w:val="auto"/>
          <w:lang w:val="es-ES_tradnl"/>
        </w:rPr>
        <w:t>11.2</w:t>
      </w:r>
      <w:r w:rsidRPr="00FB6506">
        <w:rPr>
          <w:lang w:val="es-ES_tradnl"/>
        </w:rPr>
        <w:t xml:space="preserve"> u </w:t>
      </w:r>
      <w:r w:rsidRPr="00FB6506">
        <w:rPr>
          <w:rStyle w:val="Artref"/>
          <w:b/>
          <w:bCs/>
          <w:color w:val="auto"/>
          <w:lang w:val="es-ES_tradnl"/>
        </w:rPr>
        <w:t>11.9</w:t>
      </w:r>
      <w:r w:rsidRPr="00FB6506">
        <w:rPr>
          <w:lang w:val="es-ES_tradnl"/>
        </w:rPr>
        <w:t xml:space="preserve"> y la que se desprende de la voluminosa correspondencia de la fase de coordinación. Así pues, la Junta decidió que los exámenes de la Oficina en aplicación del número </w:t>
      </w:r>
      <w:r w:rsidRPr="00FB6506">
        <w:rPr>
          <w:rStyle w:val="Artref"/>
          <w:b/>
          <w:bCs/>
          <w:color w:val="auto"/>
          <w:lang w:val="es-ES_tradnl"/>
        </w:rPr>
        <w:t>11.32</w:t>
      </w:r>
      <w:r w:rsidRPr="00FB6506">
        <w:rPr>
          <w:lang w:val="es-ES_tradnl"/>
        </w:rPr>
        <w:t xml:space="preserve"> se basen en la información sobre coordi</w:t>
      </w:r>
      <w:r w:rsidRPr="00FB6506">
        <w:rPr>
          <w:lang w:val="es-ES_tradnl"/>
        </w:rPr>
        <w:softHyphen/>
        <w:t>nación disponible a partir de los formularios de notificación (casillas A5/A6). Como esta información es la más actualizada para el caso sometido a examen, la Oficina considerará que los datos notificados de la red sometidos en el formulario de notificación están coordinados con los países mencionados en las casillas A5/A6</w:t>
      </w:r>
      <w:r w:rsidRPr="00FB6506">
        <w:rPr>
          <w:rFonts w:asciiTheme="minorHAnsi" w:hAnsiTheme="minorHAnsi"/>
          <w:color w:val="000000"/>
          <w:lang w:val="es-ES_tradnl"/>
        </w:rPr>
        <w:t>.</w:t>
      </w:r>
    </w:p>
    <w:p w14:paraId="08304C03" w14:textId="77777777" w:rsidR="00415905" w:rsidRPr="00415905" w:rsidRDefault="00415905" w:rsidP="00415905">
      <w:pPr>
        <w:keepNext/>
        <w:keepLines/>
        <w:pBdr>
          <w:top w:val="double" w:sz="6" w:space="1" w:color="auto"/>
          <w:left w:val="double" w:sz="6" w:space="1" w:color="auto"/>
          <w:bottom w:val="double" w:sz="6" w:space="1" w:color="auto"/>
          <w:right w:val="double" w:sz="6" w:space="1" w:color="auto"/>
        </w:pBdr>
        <w:tabs>
          <w:tab w:val="clear" w:pos="2268"/>
        </w:tabs>
        <w:spacing w:before="120"/>
        <w:ind w:left="85" w:right="7938"/>
        <w:outlineLvl w:val="7"/>
        <w:rPr>
          <w:b/>
          <w:color w:val="000000"/>
        </w:rPr>
      </w:pPr>
      <w:r w:rsidRPr="00415905">
        <w:rPr>
          <w:b/>
          <w:color w:val="000000"/>
        </w:rPr>
        <w:t>11.28.1</w:t>
      </w:r>
      <w:r w:rsidRPr="00415905">
        <w:rPr>
          <w:b/>
          <w:color w:val="000000"/>
        </w:rPr>
        <w:tab/>
      </w:r>
      <w:r w:rsidRPr="00415905">
        <w:rPr>
          <w:b/>
          <w:color w:val="000000"/>
        </w:rPr>
        <w:tab/>
      </w:r>
      <w:r w:rsidRPr="00415905">
        <w:rPr>
          <w:sz w:val="16"/>
          <w:szCs w:val="16"/>
        </w:rPr>
        <w:t>    (ADD RRB26/532)</w:t>
      </w:r>
    </w:p>
    <w:p w14:paraId="38D642C3" w14:textId="77777777" w:rsidR="00415905" w:rsidRPr="00415905" w:rsidRDefault="00415905" w:rsidP="00415905">
      <w:pPr>
        <w:spacing w:before="80"/>
        <w:rPr>
          <w:lang w:val="es-ES"/>
        </w:rPr>
      </w:pPr>
      <w:r w:rsidRPr="00415905">
        <w:rPr>
          <w:lang w:val="es-ES"/>
        </w:rPr>
        <w:t>Esta disposición tiene por objeto permitir a las Administraciones realizar consultas entre sí en el caso de que la notificación de un sistema de satélites no sujeto a coordinación en virtud de la Sección II del Artículo </w:t>
      </w:r>
      <w:r w:rsidRPr="00415905">
        <w:rPr>
          <w:b/>
          <w:bCs/>
          <w:lang w:val="es-ES"/>
        </w:rPr>
        <w:t>9</w:t>
      </w:r>
      <w:r w:rsidRPr="00415905">
        <w:rPr>
          <w:lang w:val="es-ES"/>
        </w:rPr>
        <w:t xml:space="preserve"> contenga cambios en las características inicialmente presentadas en la publicación de información anticipada. Sin embargo, en esta disposición no se abordan las modificaciones presentadas con arreglo al número </w:t>
      </w:r>
      <w:r w:rsidRPr="00415905">
        <w:rPr>
          <w:b/>
          <w:bCs/>
          <w:lang w:val="es-ES"/>
        </w:rPr>
        <w:t>11.43A</w:t>
      </w:r>
      <w:r w:rsidRPr="00415905">
        <w:rPr>
          <w:lang w:val="es-ES"/>
        </w:rPr>
        <w:t xml:space="preserve"> respecto de las características notificadas de dicho sistema.</w:t>
      </w:r>
    </w:p>
    <w:p w14:paraId="3D926DB9" w14:textId="3DE1DE0D" w:rsidR="00415905" w:rsidRDefault="00415905" w:rsidP="00415905">
      <w:pPr>
        <w:spacing w:before="40"/>
        <w:rPr>
          <w:lang w:val="es-ES_tradnl"/>
        </w:rPr>
      </w:pPr>
      <w:r w:rsidRPr="00415905">
        <w:rPr>
          <w:lang w:val="es-ES"/>
        </w:rPr>
        <w:t>Por consiguiente, la Junta decidió que, cuando una administración que considere que las modificaciones presentadas con arreglo al número </w:t>
      </w:r>
      <w:r w:rsidRPr="00415905">
        <w:rPr>
          <w:b/>
          <w:bCs/>
          <w:lang w:val="es-ES"/>
        </w:rPr>
        <w:t>11.43A</w:t>
      </w:r>
      <w:r w:rsidRPr="00415905">
        <w:rPr>
          <w:lang w:val="es-ES"/>
        </w:rPr>
        <w:t xml:space="preserve"> respecto de las características ya registradas de redes o sistemas de satélites no sujetos a coordinación en virtud de la Sección II del Artículo </w:t>
      </w:r>
      <w:r w:rsidRPr="00415905">
        <w:rPr>
          <w:b/>
          <w:bCs/>
          <w:lang w:val="es-ES"/>
        </w:rPr>
        <w:t>9</w:t>
      </w:r>
      <w:r w:rsidRPr="00415905">
        <w:rPr>
          <w:lang w:val="es-ES"/>
        </w:rPr>
        <w:t xml:space="preserve"> podrían causar interferencia perjudicial a sus redes o sistemas de satélites existentes o planificados formule comentarios a la administración notificante con copia a la Oficina, ésta deberá publicar dichos comentarios recibidos en su sitio web. La Junta también observó que ambas administraciones deberán cooperar para resolver cualquier dificultad al respecto.</w:t>
      </w:r>
    </w:p>
    <w:p w14:paraId="6EE09EBC" w14:textId="77777777" w:rsidR="00997054" w:rsidRDefault="00997054" w:rsidP="00415905">
      <w:pPr>
        <w:pStyle w:val="enumlev1"/>
        <w:spacing w:before="40"/>
        <w:rPr>
          <w:rFonts w:asciiTheme="minorHAnsi" w:hAnsiTheme="minorHAnsi"/>
          <w:color w:val="000000"/>
          <w:lang w:val="es-ES_tradnl"/>
        </w:rPr>
        <w:sectPr w:rsidR="00997054" w:rsidSect="00E41FDD">
          <w:headerReference w:type="default" r:id="rId11"/>
          <w:footnotePr>
            <w:pos w:val="beneathText"/>
            <w:numFmt w:val="chicago"/>
          </w:footnotePr>
          <w:pgSz w:w="11907" w:h="16840" w:code="9"/>
          <w:pgMar w:top="1701" w:right="851" w:bottom="1134" w:left="1985" w:header="720" w:footer="482" w:gutter="0"/>
          <w:cols w:space="720"/>
          <w:vAlign w:val="both"/>
        </w:sectPr>
      </w:pPr>
    </w:p>
    <w:p w14:paraId="3A36871C" w14:textId="77777777" w:rsidR="00A60C28" w:rsidRPr="003667EC" w:rsidRDefault="00A60C28">
      <w:pPr>
        <w:pStyle w:val="Heading8"/>
        <w:rPr>
          <w:color w:val="000000"/>
          <w:lang w:val="es-ES_tradnl"/>
        </w:rPr>
      </w:pPr>
      <w:r w:rsidRPr="003667EC">
        <w:rPr>
          <w:color w:val="000000"/>
          <w:lang w:val="es-ES_tradnl"/>
        </w:rPr>
        <w:lastRenderedPageBreak/>
        <w:t>11.31</w:t>
      </w:r>
    </w:p>
    <w:p w14:paraId="58EA1DE7" w14:textId="77777777" w:rsidR="00F064A9" w:rsidRPr="003667EC" w:rsidRDefault="00F064A9" w:rsidP="005164F3">
      <w:pPr>
        <w:rPr>
          <w:color w:val="000000"/>
          <w:lang w:val="es-ES_tradnl"/>
        </w:rPr>
      </w:pPr>
      <w:r w:rsidRPr="003667EC">
        <w:rPr>
          <w:color w:val="000000"/>
          <w:lang w:val="es-ES_tradnl"/>
        </w:rPr>
        <w:t>1</w:t>
      </w:r>
      <w:r w:rsidRPr="003667EC">
        <w:rPr>
          <w:color w:val="000000"/>
          <w:lang w:val="es-ES_tradnl"/>
        </w:rPr>
        <w:tab/>
        <w:t xml:space="preserve">La disposición número </w:t>
      </w:r>
      <w:r w:rsidRPr="003667EC">
        <w:rPr>
          <w:rStyle w:val="Artref"/>
          <w:b/>
          <w:color w:val="000000"/>
          <w:lang w:val="es-ES_tradnl"/>
        </w:rPr>
        <w:t>11.31.2</w:t>
      </w:r>
      <w:r w:rsidRPr="003667EC">
        <w:rPr>
          <w:color w:val="000000"/>
          <w:lang w:val="es-ES_tradnl"/>
        </w:rPr>
        <w:t xml:space="preserve"> estipula que las </w:t>
      </w:r>
      <w:r w:rsidRPr="00364B5B">
        <w:rPr>
          <w:i/>
          <w:iCs/>
          <w:color w:val="000000"/>
          <w:lang w:val="es-ES_tradnl"/>
        </w:rPr>
        <w:t>«demás disposiciones»</w:t>
      </w:r>
      <w:r w:rsidRPr="003667EC">
        <w:rPr>
          <w:color w:val="000000"/>
          <w:lang w:val="es-ES_tradnl"/>
        </w:rPr>
        <w:t xml:space="preserve"> mencionadas en el número </w:t>
      </w:r>
      <w:r w:rsidRPr="003667EC">
        <w:rPr>
          <w:rStyle w:val="Artref"/>
          <w:b/>
          <w:color w:val="000000"/>
          <w:lang w:val="es-ES_tradnl"/>
        </w:rPr>
        <w:t>11.31</w:t>
      </w:r>
      <w:r w:rsidRPr="003667EC">
        <w:rPr>
          <w:color w:val="000000"/>
          <w:lang w:val="es-ES_tradnl"/>
        </w:rPr>
        <w:t xml:space="preserve"> deberán ser identificadas e incluidas en las Reglas de Procedimiento. Este Capítulo apunta a resolver el problema citado.</w:t>
      </w:r>
    </w:p>
    <w:p w14:paraId="288A13DE" w14:textId="77777777" w:rsidR="00F064A9" w:rsidRPr="003667EC" w:rsidRDefault="00F064A9" w:rsidP="00F064A9">
      <w:pPr>
        <w:rPr>
          <w:color w:val="000000"/>
          <w:lang w:val="es-ES_tradnl"/>
        </w:rPr>
      </w:pPr>
      <w:r w:rsidRPr="003667EC">
        <w:rPr>
          <w:color w:val="000000"/>
          <w:lang w:val="es-ES_tradnl"/>
        </w:rPr>
        <w:t>El examen reglamentario en virtud del número </w:t>
      </w:r>
      <w:r w:rsidRPr="003667EC">
        <w:rPr>
          <w:rStyle w:val="Artref"/>
          <w:b/>
          <w:bCs/>
          <w:color w:val="000000"/>
          <w:lang w:val="es-ES_tradnl"/>
        </w:rPr>
        <w:t>11.31</w:t>
      </w:r>
      <w:r w:rsidRPr="003667EC">
        <w:rPr>
          <w:color w:val="000000"/>
          <w:lang w:val="es-ES_tradnl"/>
        </w:rPr>
        <w:t xml:space="preserve"> incluye</w:t>
      </w:r>
      <w:r w:rsidRPr="003667EC">
        <w:rPr>
          <w:rStyle w:val="FootnoteReference"/>
          <w:color w:val="000000"/>
          <w:sz w:val="20"/>
          <w:lang w:val="es-ES_tradnl"/>
        </w:rPr>
        <w:footnoteReference w:customMarkFollows="1" w:id="5"/>
        <w:t>5</w:t>
      </w:r>
      <w:r w:rsidRPr="003667EC">
        <w:rPr>
          <w:color w:val="000000"/>
          <w:lang w:val="es-ES_tradnl"/>
        </w:rPr>
        <w:t>:</w:t>
      </w:r>
    </w:p>
    <w:p w14:paraId="5428E32B"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conformidad con el Cuadro de atribución de bandas de frecuencias, incluidas sus notas y toda Resolución o Recomendación a que se haga referencia en una nota;</w:t>
      </w:r>
    </w:p>
    <w:p w14:paraId="3F9FD950" w14:textId="77777777" w:rsidR="00F064A9" w:rsidRPr="003667EC" w:rsidRDefault="00F064A9" w:rsidP="00285A0D">
      <w:pPr>
        <w:pStyle w:val="enumlev1"/>
        <w:spacing w:before="40"/>
        <w:rPr>
          <w:color w:val="000000"/>
          <w:lang w:val="es-ES_tradnl"/>
        </w:rPr>
      </w:pPr>
      <w:r w:rsidRPr="003667EC">
        <w:rPr>
          <w:color w:val="000000"/>
          <w:lang w:val="es-ES_tradnl"/>
        </w:rPr>
        <w:t>–</w:t>
      </w:r>
      <w:r w:rsidRPr="003667EC">
        <w:rPr>
          <w:color w:val="000000"/>
          <w:lang w:val="es-ES_tradnl"/>
        </w:rPr>
        <w:tab/>
        <w:t xml:space="preserve">la aplicación satisfactoria del número </w:t>
      </w:r>
      <w:r w:rsidRPr="003667EC">
        <w:rPr>
          <w:rStyle w:val="Artref"/>
          <w:b/>
          <w:color w:val="000000"/>
          <w:lang w:val="es-ES_tradnl"/>
        </w:rPr>
        <w:t>9.21</w:t>
      </w:r>
      <w:r w:rsidRPr="003667EC">
        <w:rPr>
          <w:color w:val="000000"/>
          <w:lang w:val="es-ES_tradnl"/>
        </w:rPr>
        <w:t xml:space="preserve">, cuando se hace mención de esa disposición en una nota (véanse asimismo las Reglas de Procedimiento relativas a los números </w:t>
      </w:r>
      <w:r w:rsidRPr="003667EC">
        <w:rPr>
          <w:rStyle w:val="Artref"/>
          <w:b/>
          <w:color w:val="000000"/>
          <w:lang w:val="es-ES_tradnl"/>
        </w:rPr>
        <w:t>9.21</w:t>
      </w:r>
      <w:r w:rsidRPr="003667EC">
        <w:rPr>
          <w:color w:val="000000"/>
          <w:lang w:val="es-ES_tradnl"/>
        </w:rPr>
        <w:t xml:space="preserve"> y </w:t>
      </w:r>
      <w:r w:rsidRPr="003667EC">
        <w:rPr>
          <w:rStyle w:val="Artref"/>
          <w:b/>
          <w:color w:val="000000"/>
          <w:lang w:val="es-ES_tradnl"/>
        </w:rPr>
        <w:t>11.37</w:t>
      </w:r>
      <w:r w:rsidRPr="003667EC">
        <w:rPr>
          <w:color w:val="000000"/>
          <w:lang w:val="es-ES_tradnl"/>
        </w:rPr>
        <w:t>);</w:t>
      </w:r>
    </w:p>
    <w:p w14:paraId="7260B318"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 xml:space="preserve">todas las </w:t>
      </w:r>
      <w:r w:rsidRPr="00364B5B">
        <w:rPr>
          <w:i/>
          <w:iCs/>
          <w:color w:val="000000"/>
          <w:lang w:val="es-ES_tradnl"/>
        </w:rPr>
        <w:t>«demás disposiciones»</w:t>
      </w:r>
      <w:r w:rsidRPr="003667EC">
        <w:rPr>
          <w:color w:val="000000"/>
          <w:lang w:val="es-ES_tradnl"/>
        </w:rPr>
        <w:t xml:space="preserve"> obligatorias contenidas en los Artículos </w:t>
      </w:r>
      <w:r w:rsidRPr="003667EC">
        <w:rPr>
          <w:rStyle w:val="Artref"/>
          <w:b/>
          <w:color w:val="000000"/>
          <w:lang w:val="es-ES_tradnl"/>
        </w:rPr>
        <w:t>21</w:t>
      </w:r>
      <w:r w:rsidRPr="003667EC">
        <w:rPr>
          <w:color w:val="000000"/>
          <w:lang w:val="es-ES_tradnl"/>
        </w:rPr>
        <w:t xml:space="preserve"> a </w:t>
      </w:r>
      <w:r w:rsidRPr="003667EC">
        <w:rPr>
          <w:rStyle w:val="Artref"/>
          <w:b/>
          <w:color w:val="000000"/>
          <w:lang w:val="es-ES_tradnl"/>
        </w:rPr>
        <w:t>57</w:t>
      </w:r>
      <w:r w:rsidRPr="003667EC">
        <w:rPr>
          <w:color w:val="000000"/>
          <w:lang w:val="es-ES_tradnl"/>
        </w:rPr>
        <w:t>, en los Apéndices del Reglamento de Radiocomunicaciones y/o en Resoluciones son pertinentes al servicio en la banda de frecuencia en la que funciona una estación de ese servicio.</w:t>
      </w:r>
    </w:p>
    <w:p w14:paraId="02C3822E" w14:textId="4F3A42C2" w:rsidR="00F064A9" w:rsidRPr="003667EC" w:rsidRDefault="00F064A9" w:rsidP="007E3FFE">
      <w:pPr>
        <w:rPr>
          <w:color w:val="000000"/>
          <w:lang w:val="es-ES_tradnl"/>
        </w:rPr>
      </w:pPr>
      <w:r w:rsidRPr="003667EC">
        <w:rPr>
          <w:color w:val="000000"/>
          <w:lang w:val="es-ES_tradnl"/>
        </w:rPr>
        <w:t>2</w:t>
      </w:r>
      <w:r w:rsidRPr="003667EC">
        <w:rPr>
          <w:color w:val="000000"/>
          <w:lang w:val="es-ES_tradnl"/>
        </w:rPr>
        <w:tab/>
        <w:t xml:space="preserve">A continuación se indica la lista de </w:t>
      </w:r>
      <w:r w:rsidRPr="00364B5B">
        <w:rPr>
          <w:i/>
          <w:iCs/>
          <w:color w:val="000000"/>
          <w:lang w:val="es-ES_tradnl"/>
        </w:rPr>
        <w:t>«las demás disposiciones»</w:t>
      </w:r>
      <w:r w:rsidRPr="003667EC">
        <w:rPr>
          <w:color w:val="000000"/>
          <w:lang w:val="es-ES_tradnl"/>
        </w:rPr>
        <w:t xml:space="preserve"> citadas en el número </w:t>
      </w:r>
      <w:r w:rsidRPr="003667EC">
        <w:rPr>
          <w:rStyle w:val="Artref"/>
          <w:b/>
          <w:color w:val="000000"/>
          <w:lang w:val="es-ES_tradnl"/>
        </w:rPr>
        <w:t>11.31.2</w:t>
      </w:r>
      <w:r w:rsidRPr="003667EC">
        <w:rPr>
          <w:color w:val="000000"/>
          <w:lang w:val="es-ES_tradnl"/>
        </w:rPr>
        <w:t xml:space="preserve"> respecto a la cual se examinan las notificaciones de las estaciones terrenales (§ 2.1 a 2.5.2) o de los servicios espaciales (§ 2.6 a</w:t>
      </w:r>
      <w:r w:rsidR="007E3FFE" w:rsidRPr="003667EC">
        <w:rPr>
          <w:color w:val="000000"/>
          <w:lang w:val="es-ES_tradnl"/>
        </w:rPr>
        <w:t> </w:t>
      </w:r>
      <w:r w:rsidR="00997054">
        <w:rPr>
          <w:color w:val="000000"/>
          <w:lang w:val="es-ES_tradnl"/>
        </w:rPr>
        <w:t>2.6.7</w:t>
      </w:r>
      <w:r w:rsidRPr="003667EC">
        <w:rPr>
          <w:color w:val="000000"/>
          <w:lang w:val="es-ES_tradnl"/>
        </w:rPr>
        <w:t>):</w:t>
      </w:r>
    </w:p>
    <w:p w14:paraId="2165C5E7" w14:textId="77777777" w:rsidR="00F064A9" w:rsidRPr="003667EC" w:rsidRDefault="00F064A9" w:rsidP="00871B18">
      <w:pPr>
        <w:spacing w:before="80"/>
        <w:rPr>
          <w:color w:val="000000"/>
          <w:lang w:val="es-ES_tradnl"/>
        </w:rPr>
      </w:pPr>
      <w:r w:rsidRPr="003667EC">
        <w:rPr>
          <w:color w:val="000000"/>
          <w:lang w:val="es-ES_tradnl"/>
        </w:rPr>
        <w:t>2.1</w:t>
      </w:r>
      <w:r w:rsidRPr="003667EC">
        <w:rPr>
          <w:b/>
          <w:color w:val="000000"/>
          <w:lang w:val="es-ES_tradnl"/>
        </w:rPr>
        <w:tab/>
      </w:r>
      <w:r w:rsidRPr="003667EC">
        <w:rPr>
          <w:i/>
          <w:color w:val="000000"/>
          <w:lang w:val="es-ES_tradnl"/>
        </w:rPr>
        <w:t>Servicio de radiodifusión</w:t>
      </w:r>
      <w:r w:rsidRPr="003667EC">
        <w:rPr>
          <w:color w:val="000000"/>
          <w:lang w:val="es-ES_tradnl"/>
        </w:rPr>
        <w:t xml:space="preserve">: las comprendidas en el número </w:t>
      </w:r>
      <w:r w:rsidRPr="003667EC">
        <w:rPr>
          <w:rStyle w:val="Artref"/>
          <w:b/>
          <w:color w:val="000000"/>
          <w:lang w:val="es-ES_tradnl"/>
        </w:rPr>
        <w:t>23.7</w:t>
      </w:r>
      <w:r w:rsidRPr="003667EC">
        <w:rPr>
          <w:color w:val="000000"/>
          <w:lang w:val="es-ES_tradnl"/>
        </w:rPr>
        <w:t xml:space="preserve"> se refieren al límite de potencia (50</w:t>
      </w:r>
      <w:r w:rsidR="00C23ED0" w:rsidRPr="003667EC">
        <w:rPr>
          <w:color w:val="000000"/>
          <w:lang w:val="es-ES_tradnl"/>
        </w:rPr>
        <w:t xml:space="preserve"> </w:t>
      </w:r>
      <w:r w:rsidRPr="003667EC">
        <w:rPr>
          <w:color w:val="000000"/>
          <w:lang w:val="es-ES_tradnl"/>
        </w:rPr>
        <w:t>kW) de la onda portadora de los transmisores de radiodifusión que funcionan en las bandas de la Zona Tropical citadas en las bandas de frecuencias del número </w:t>
      </w:r>
      <w:r w:rsidRPr="003667EC">
        <w:rPr>
          <w:rStyle w:val="Artref"/>
          <w:b/>
          <w:color w:val="000000"/>
          <w:lang w:val="es-ES_tradnl"/>
        </w:rPr>
        <w:t>23.6</w:t>
      </w:r>
      <w:r w:rsidRPr="003667EC">
        <w:rPr>
          <w:color w:val="000000"/>
          <w:lang w:val="es-ES_tradnl"/>
        </w:rPr>
        <w:t>.</w:t>
      </w:r>
    </w:p>
    <w:p w14:paraId="5865E252" w14:textId="77777777" w:rsidR="00871B18" w:rsidRDefault="00F064A9" w:rsidP="00871B18">
      <w:pPr>
        <w:rPr>
          <w:color w:val="000000"/>
          <w:lang w:val="es-ES_tradnl"/>
        </w:rPr>
      </w:pPr>
      <w:r w:rsidRPr="003667EC">
        <w:rPr>
          <w:color w:val="000000"/>
          <w:lang w:val="es-ES_tradnl"/>
        </w:rPr>
        <w:t>2.2</w:t>
      </w:r>
      <w:r w:rsidRPr="003667EC">
        <w:rPr>
          <w:color w:val="000000"/>
          <w:lang w:val="es-ES_tradnl"/>
        </w:rPr>
        <w:tab/>
      </w:r>
      <w:r w:rsidRPr="003667EC">
        <w:rPr>
          <w:i/>
          <w:color w:val="000000"/>
          <w:lang w:val="es-ES_tradnl"/>
        </w:rPr>
        <w:t>Servicio fijo</w:t>
      </w:r>
      <w:r w:rsidRPr="003667EC">
        <w:rPr>
          <w:color w:val="000000"/>
          <w:lang w:val="es-ES_tradnl"/>
        </w:rPr>
        <w:t xml:space="preserve">: las indicadas en el número </w:t>
      </w:r>
      <w:r w:rsidRPr="003667EC">
        <w:rPr>
          <w:rStyle w:val="Artref"/>
          <w:b/>
          <w:color w:val="000000"/>
          <w:lang w:val="es-ES_tradnl"/>
        </w:rPr>
        <w:t>24.2</w:t>
      </w:r>
      <w:r w:rsidRPr="003667EC">
        <w:rPr>
          <w:color w:val="000000"/>
          <w:lang w:val="es-ES_tradnl"/>
        </w:rPr>
        <w:t xml:space="preserve"> el cual estipula que se prohíbe utilizar emisiones de clase F3E y G3E en el servicio fijo en</w:t>
      </w:r>
      <w:r w:rsidR="00871B18">
        <w:rPr>
          <w:color w:val="000000"/>
          <w:lang w:val="es-ES_tradnl"/>
        </w:rPr>
        <w:t xml:space="preserve"> las bandas inferiores a 30 MHz.</w:t>
      </w:r>
    </w:p>
    <w:p w14:paraId="57A8457F" w14:textId="70145DEB" w:rsidR="00F064A9" w:rsidRDefault="00F064A9" w:rsidP="007E3FFE">
      <w:pPr>
        <w:rPr>
          <w:color w:val="000000"/>
          <w:lang w:val="es-ES_tradnl"/>
        </w:rPr>
      </w:pPr>
      <w:r w:rsidRPr="003667EC">
        <w:rPr>
          <w:color w:val="000000"/>
          <w:lang w:val="es-ES_tradnl"/>
        </w:rPr>
        <w:t>2.3</w:t>
      </w:r>
      <w:r w:rsidRPr="003667EC">
        <w:rPr>
          <w:color w:val="000000"/>
          <w:lang w:val="es-ES_tradnl"/>
        </w:rPr>
        <w:tab/>
      </w:r>
      <w:r w:rsidRPr="003667EC">
        <w:rPr>
          <w:i/>
          <w:color w:val="000000"/>
          <w:lang w:val="es-ES_tradnl"/>
        </w:rPr>
        <w:t>Servicio móvil aeronáutico</w:t>
      </w:r>
      <w:r w:rsidRPr="003667EC">
        <w:rPr>
          <w:color w:val="000000"/>
          <w:lang w:val="es-ES_tradnl"/>
        </w:rPr>
        <w:t xml:space="preserve">: hay disposiciones obligatorias únicamente para las bandas de frecuencia atribuidas con carácter exclusivo al servicio móvil aeronáutico. Estas disposiciones (disposición obligatoria de canales, clases de emisión permitidas, límites de potencia) figuran en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También entran en esta categoría de disposiciones reglamentarias obligatorias las del número </w:t>
      </w:r>
      <w:r w:rsidRPr="003667EC">
        <w:rPr>
          <w:rStyle w:val="Appref"/>
          <w:b/>
          <w:color w:val="000000"/>
          <w:lang w:val="es-ES_tradnl"/>
        </w:rPr>
        <w:t>43.4</w:t>
      </w:r>
      <w:r w:rsidRPr="003667EC">
        <w:rPr>
          <w:color w:val="000000"/>
          <w:lang w:val="es-ES_tradnl"/>
        </w:rPr>
        <w:t>, es decir, la prohibición de utilizar atribu</w:t>
      </w:r>
      <w:r w:rsidR="00437E8C" w:rsidRPr="003667EC">
        <w:rPr>
          <w:color w:val="000000"/>
          <w:lang w:val="es-ES_tradnl"/>
        </w:rPr>
        <w:softHyphen/>
      </w:r>
      <w:r w:rsidRPr="003667EC">
        <w:rPr>
          <w:color w:val="000000"/>
          <w:lang w:val="es-ES_tradnl"/>
        </w:rPr>
        <w:t>ciones de frecuencia exclusivas al servicio móvil aeronáutico para cualquier otro tipo de correspondencia pública.</w:t>
      </w:r>
    </w:p>
    <w:p w14:paraId="5863FE2D" w14:textId="77777777" w:rsidR="00243C1F" w:rsidRPr="003667EC" w:rsidRDefault="00243C1F" w:rsidP="007E3FFE">
      <w:pPr>
        <w:rPr>
          <w:color w:val="000000"/>
          <w:lang w:val="es-ES_tradnl"/>
        </w:rPr>
      </w:pPr>
    </w:p>
    <w:p w14:paraId="6D7EED94" w14:textId="77777777" w:rsidR="00997054" w:rsidRDefault="00997054" w:rsidP="004306BF">
      <w:pPr>
        <w:rPr>
          <w:color w:val="000000"/>
          <w:lang w:val="es-ES"/>
        </w:rPr>
        <w:sectPr w:rsidR="00997054" w:rsidSect="00E41FDD">
          <w:headerReference w:type="even" r:id="rId12"/>
          <w:footnotePr>
            <w:pos w:val="beneathText"/>
            <w:numFmt w:val="chicago"/>
          </w:footnotePr>
          <w:pgSz w:w="11907" w:h="16840" w:code="9"/>
          <w:pgMar w:top="1701" w:right="851" w:bottom="1134" w:left="1985" w:header="720" w:footer="482" w:gutter="0"/>
          <w:cols w:space="720"/>
          <w:vAlign w:val="both"/>
        </w:sectPr>
      </w:pPr>
    </w:p>
    <w:p w14:paraId="396D3BCE" w14:textId="77777777" w:rsidR="00F064A9" w:rsidRPr="00EA2D8D" w:rsidRDefault="004306BF" w:rsidP="004306BF">
      <w:pPr>
        <w:rPr>
          <w:color w:val="000000"/>
          <w:lang w:val="es-ES"/>
        </w:rPr>
      </w:pPr>
      <w:r w:rsidRPr="00D3267E">
        <w:rPr>
          <w:color w:val="000000"/>
          <w:lang w:val="es-ES"/>
        </w:rPr>
        <w:lastRenderedPageBreak/>
        <w:t>2.4</w:t>
      </w:r>
      <w:r w:rsidRPr="00D3267E">
        <w:rPr>
          <w:color w:val="000000"/>
          <w:lang w:val="es-ES"/>
        </w:rPr>
        <w:tab/>
      </w:r>
      <w:r w:rsidRPr="00D3267E">
        <w:rPr>
          <w:i/>
          <w:color w:val="000000"/>
          <w:lang w:val="es-ES"/>
        </w:rPr>
        <w:t>Servicio móvil marítimo</w:t>
      </w:r>
      <w:r w:rsidRPr="00D3267E">
        <w:rPr>
          <w:color w:val="000000"/>
          <w:lang w:val="es-ES"/>
        </w:rPr>
        <w:t>: la mayoría de ellas se refieren a las bandas de frecuencia atribuidas con carácter exclusivo al servicio móvil marítimo (disposiciones de canales obliga</w:t>
      </w:r>
      <w:r w:rsidRPr="00D3267E">
        <w:rPr>
          <w:color w:val="000000"/>
          <w:lang w:val="es-ES"/>
        </w:rPr>
        <w:softHyphen/>
        <w:t>torias, clases de emisión permitidas, límites de potencia, etc.); no obstante, muchas de ellas se aplican también a las atribuciones no exclusivas del servicio móvil marítimo. En el cuadro siguiente se ofrece un resumen de las disposiciones aplicables a las asignaciones de frecuencia sujetas a notificación:</w:t>
      </w:r>
    </w:p>
    <w:p w14:paraId="2E9C1D30" w14:textId="77777777" w:rsidR="00F064A9" w:rsidRPr="003667EC" w:rsidRDefault="00F064A9" w:rsidP="007C0F78">
      <w:pPr>
        <w:pStyle w:val="Table"/>
        <w:spacing w:before="120"/>
        <w:jc w:val="left"/>
        <w:rPr>
          <w:color w:val="00000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919"/>
      </w:tblGrid>
      <w:tr w:rsidR="00F064A9" w:rsidRPr="003667EC" w14:paraId="40144D98" w14:textId="77777777" w:rsidTr="00700F38">
        <w:trPr>
          <w:cantSplit/>
          <w:jc w:val="center"/>
        </w:trPr>
        <w:tc>
          <w:tcPr>
            <w:tcW w:w="2835" w:type="dxa"/>
            <w:tcBorders>
              <w:top w:val="nil"/>
              <w:left w:val="nil"/>
            </w:tcBorders>
          </w:tcPr>
          <w:p w14:paraId="36187BA0" w14:textId="77777777" w:rsidR="00F064A9" w:rsidRPr="003667EC" w:rsidRDefault="00F064A9" w:rsidP="00700F38">
            <w:pPr>
              <w:pStyle w:val="TableText"/>
              <w:framePr w:hSpace="181" w:wrap="notBeside" w:vAnchor="text" w:hAnchor="text" w:xAlign="center" w:y="1"/>
              <w:spacing w:before="120" w:after="120"/>
              <w:rPr>
                <w:color w:val="000000"/>
                <w:lang w:val="es-ES_tradnl"/>
              </w:rPr>
            </w:pPr>
          </w:p>
        </w:tc>
        <w:tc>
          <w:tcPr>
            <w:tcW w:w="5919" w:type="dxa"/>
            <w:tcBorders>
              <w:left w:val="nil"/>
              <w:right w:val="single" w:sz="6" w:space="0" w:color="auto"/>
            </w:tcBorders>
          </w:tcPr>
          <w:p w14:paraId="644B8403" w14:textId="77777777" w:rsidR="00F064A9" w:rsidRPr="003667EC" w:rsidRDefault="00F064A9" w:rsidP="00700F38">
            <w:pPr>
              <w:pStyle w:val="TableHead"/>
              <w:framePr w:hSpace="181" w:wrap="notBeside" w:vAnchor="text" w:hAnchor="text" w:xAlign="center" w:y="1"/>
              <w:spacing w:before="120" w:after="120"/>
              <w:rPr>
                <w:color w:val="000000"/>
                <w:lang w:val="es-ES_tradnl"/>
              </w:rPr>
            </w:pPr>
            <w:r w:rsidRPr="003667EC">
              <w:rPr>
                <w:color w:val="000000"/>
                <w:lang w:val="es-ES_tradnl"/>
              </w:rPr>
              <w:t>Disposición número</w:t>
            </w:r>
          </w:p>
        </w:tc>
      </w:tr>
      <w:tr w:rsidR="00F064A9" w:rsidRPr="003667EC" w14:paraId="752E037B" w14:textId="77777777" w:rsidTr="00700F38">
        <w:trPr>
          <w:cantSplit/>
          <w:jc w:val="center"/>
        </w:trPr>
        <w:tc>
          <w:tcPr>
            <w:tcW w:w="2835" w:type="dxa"/>
          </w:tcPr>
          <w:p w14:paraId="65F18646"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Límites de potencia</w:t>
            </w:r>
          </w:p>
        </w:tc>
        <w:tc>
          <w:tcPr>
            <w:tcW w:w="5919" w:type="dxa"/>
            <w:tcBorders>
              <w:right w:val="single" w:sz="6" w:space="0" w:color="auto"/>
            </w:tcBorders>
          </w:tcPr>
          <w:p w14:paraId="7DB92542"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52.104</w:t>
            </w:r>
          </w:p>
          <w:p w14:paraId="42D76284" w14:textId="77777777" w:rsidR="008A784F" w:rsidRPr="009B0E26" w:rsidRDefault="008A784F" w:rsidP="008A784F">
            <w:pPr>
              <w:pStyle w:val="TableText"/>
              <w:framePr w:hSpace="181" w:wrap="notBeside" w:vAnchor="text" w:hAnchor="text" w:xAlign="center" w:y="1"/>
              <w:spacing w:after="0"/>
              <w:rPr>
                <w:b/>
                <w:bCs/>
                <w:color w:val="000000"/>
                <w:lang w:val="es-ES"/>
              </w:rPr>
            </w:pPr>
            <w:r w:rsidRPr="009B0E26">
              <w:rPr>
                <w:rStyle w:val="Artref"/>
                <w:b/>
                <w:bCs/>
                <w:color w:val="000000"/>
                <w:lang w:val="es-ES"/>
              </w:rPr>
              <w:t>52.117</w:t>
            </w:r>
            <w:r w:rsidRPr="009B0E26">
              <w:rPr>
                <w:b/>
                <w:bCs/>
                <w:color w:val="000000"/>
                <w:lang w:val="es-ES"/>
              </w:rPr>
              <w:t xml:space="preserve">, </w:t>
            </w:r>
            <w:r w:rsidRPr="009B0E26">
              <w:rPr>
                <w:rStyle w:val="Artref"/>
                <w:b/>
                <w:bCs/>
                <w:color w:val="000000"/>
                <w:lang w:val="es-ES"/>
              </w:rPr>
              <w:t>52.127</w:t>
            </w:r>
            <w:r w:rsidRPr="009B0E26">
              <w:rPr>
                <w:b/>
                <w:bCs/>
                <w:color w:val="000000"/>
                <w:lang w:val="es-ES"/>
              </w:rPr>
              <w:t xml:space="preserve"> </w:t>
            </w:r>
            <w:r w:rsidRPr="009B0E26">
              <w:rPr>
                <w:color w:val="000000"/>
                <w:lang w:val="es-ES"/>
              </w:rPr>
              <w:t>(Región 1 únicamente),</w:t>
            </w:r>
            <w:r w:rsidRPr="009B0E26">
              <w:rPr>
                <w:b/>
                <w:bCs/>
                <w:color w:val="000000"/>
                <w:lang w:val="es-ES"/>
              </w:rPr>
              <w:t xml:space="preserve"> </w:t>
            </w:r>
            <w:r w:rsidRPr="009B0E26">
              <w:rPr>
                <w:rStyle w:val="Artref"/>
                <w:b/>
                <w:bCs/>
                <w:color w:val="000000"/>
                <w:lang w:val="es-ES"/>
              </w:rPr>
              <w:t>52.143</w:t>
            </w:r>
            <w:r w:rsidRPr="009B0E26">
              <w:rPr>
                <w:b/>
                <w:bCs/>
                <w:color w:val="000000"/>
                <w:lang w:val="es-ES"/>
              </w:rPr>
              <w:t xml:space="preserve">, </w:t>
            </w:r>
            <w:r w:rsidRPr="009B0E26">
              <w:rPr>
                <w:rStyle w:val="Artref"/>
                <w:b/>
                <w:bCs/>
                <w:color w:val="000000"/>
                <w:lang w:val="es-ES"/>
              </w:rPr>
              <w:t>52.144</w:t>
            </w:r>
            <w:r w:rsidRPr="009B0E26">
              <w:rPr>
                <w:b/>
                <w:bCs/>
                <w:color w:val="000000"/>
                <w:lang w:val="es-ES"/>
              </w:rPr>
              <w:t xml:space="preserve">, </w:t>
            </w:r>
            <w:r w:rsidRPr="009B0E26">
              <w:rPr>
                <w:rStyle w:val="Artref"/>
                <w:b/>
                <w:bCs/>
                <w:color w:val="000000"/>
                <w:lang w:val="es-ES"/>
              </w:rPr>
              <w:t>52.172</w:t>
            </w:r>
          </w:p>
          <w:p w14:paraId="5BEB4070" w14:textId="77777777" w:rsidR="008A784F" w:rsidRPr="009B0E26" w:rsidRDefault="008A784F" w:rsidP="008A784F">
            <w:pPr>
              <w:pStyle w:val="TableText"/>
              <w:framePr w:hSpace="181" w:wrap="notBeside" w:vAnchor="text" w:hAnchor="text" w:xAlign="center" w:y="1"/>
              <w:spacing w:after="0"/>
              <w:rPr>
                <w:color w:val="000000"/>
                <w:lang w:val="es-ES"/>
              </w:rPr>
            </w:pPr>
            <w:r w:rsidRPr="009B0E26">
              <w:rPr>
                <w:rStyle w:val="Artref"/>
                <w:b/>
                <w:bCs/>
                <w:color w:val="000000"/>
                <w:lang w:val="es-ES"/>
              </w:rPr>
              <w:t>52.184</w:t>
            </w:r>
            <w:r w:rsidRPr="009B0E26">
              <w:rPr>
                <w:b/>
                <w:bCs/>
                <w:color w:val="000000"/>
                <w:lang w:val="es-ES"/>
              </w:rPr>
              <w:t>-</w:t>
            </w:r>
            <w:r w:rsidRPr="009B0E26">
              <w:rPr>
                <w:rStyle w:val="Artref"/>
                <w:b/>
                <w:bCs/>
                <w:color w:val="000000"/>
                <w:lang w:val="es-ES"/>
              </w:rPr>
              <w:t>52.186</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52.202</w:t>
            </w:r>
            <w:r w:rsidRPr="009B0E26">
              <w:rPr>
                <w:b/>
                <w:bCs/>
                <w:color w:val="000000"/>
                <w:lang w:val="es-ES"/>
              </w:rPr>
              <w:t xml:space="preserve"> </w:t>
            </w:r>
            <w:r w:rsidRPr="009B0E26">
              <w:rPr>
                <w:color w:val="000000"/>
                <w:lang w:val="es-ES"/>
              </w:rPr>
              <w:t>(Región 1 únicamente)</w:t>
            </w:r>
          </w:p>
          <w:p w14:paraId="6B13E466" w14:textId="77777777" w:rsidR="00F064A9" w:rsidRPr="003667EC" w:rsidRDefault="008A784F" w:rsidP="008A784F">
            <w:pPr>
              <w:pStyle w:val="TableText"/>
              <w:framePr w:hSpace="181" w:wrap="notBeside" w:vAnchor="text" w:hAnchor="text" w:xAlign="center" w:y="1"/>
              <w:spacing w:after="80"/>
              <w:rPr>
                <w:color w:val="000000"/>
                <w:lang w:val="es-ES_tradnl"/>
              </w:rPr>
            </w:pPr>
            <w:r w:rsidRPr="009B0E26">
              <w:rPr>
                <w:rStyle w:val="Artref"/>
                <w:b/>
                <w:bCs/>
                <w:color w:val="000000"/>
                <w:lang w:val="es-ES"/>
              </w:rPr>
              <w:t>52.219</w:t>
            </w:r>
            <w:r w:rsidRPr="009B0E26">
              <w:rPr>
                <w:b/>
                <w:bCs/>
                <w:color w:val="000000"/>
                <w:lang w:val="es-ES"/>
              </w:rPr>
              <w:t xml:space="preserve">, </w:t>
            </w:r>
            <w:r w:rsidRPr="009B0E26">
              <w:rPr>
                <w:rStyle w:val="Artref"/>
                <w:b/>
                <w:bCs/>
                <w:color w:val="000000"/>
                <w:lang w:val="es-ES"/>
              </w:rPr>
              <w:t>52.220</w:t>
            </w:r>
            <w:r w:rsidRPr="009B0E26">
              <w:rPr>
                <w:b/>
                <w:bCs/>
                <w:color w:val="000000"/>
                <w:lang w:val="es-ES"/>
              </w:rPr>
              <w:t xml:space="preserve">, </w:t>
            </w:r>
            <w:r w:rsidRPr="009B0E26">
              <w:rPr>
                <w:rStyle w:val="Artref"/>
                <w:b/>
                <w:bCs/>
                <w:color w:val="000000"/>
                <w:lang w:val="es-ES"/>
              </w:rPr>
              <w:t xml:space="preserve">52.227, </w:t>
            </w:r>
            <w:r w:rsidRPr="00871B18">
              <w:rPr>
                <w:rStyle w:val="Artref"/>
                <w:b/>
                <w:bCs/>
                <w:color w:val="auto"/>
                <w:lang w:val="es-ES"/>
              </w:rPr>
              <w:t>52.265, 52.266</w:t>
            </w:r>
          </w:p>
        </w:tc>
      </w:tr>
      <w:tr w:rsidR="00F064A9" w:rsidRPr="003667EC" w14:paraId="5B711E34" w14:textId="77777777" w:rsidTr="00700F38">
        <w:trPr>
          <w:cantSplit/>
          <w:jc w:val="center"/>
        </w:trPr>
        <w:tc>
          <w:tcPr>
            <w:tcW w:w="2835" w:type="dxa"/>
            <w:tcBorders>
              <w:bottom w:val="single" w:sz="6" w:space="0" w:color="auto"/>
            </w:tcBorders>
          </w:tcPr>
          <w:p w14:paraId="01486B37"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Clase de emisión</w:t>
            </w:r>
          </w:p>
        </w:tc>
        <w:tc>
          <w:tcPr>
            <w:tcW w:w="5919" w:type="dxa"/>
            <w:tcBorders>
              <w:bottom w:val="single" w:sz="6" w:space="0" w:color="auto"/>
              <w:right w:val="single" w:sz="6" w:space="0" w:color="auto"/>
            </w:tcBorders>
          </w:tcPr>
          <w:p w14:paraId="5245D540"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52.2</w:t>
            </w:r>
            <w:r w:rsidRPr="009B0E26">
              <w:rPr>
                <w:b/>
                <w:bCs/>
                <w:color w:val="000000"/>
                <w:lang w:val="es-ES"/>
              </w:rPr>
              <w:t xml:space="preserve">, </w:t>
            </w:r>
            <w:r w:rsidRPr="009B0E26">
              <w:rPr>
                <w:rStyle w:val="Artref"/>
                <w:b/>
                <w:bCs/>
                <w:color w:val="000000"/>
                <w:lang w:val="es-ES"/>
              </w:rPr>
              <w:t>52.3</w:t>
            </w:r>
          </w:p>
          <w:p w14:paraId="5C12E1E6" w14:textId="77777777" w:rsidR="00F064A9" w:rsidRPr="003667EC" w:rsidRDefault="008A784F" w:rsidP="008A784F">
            <w:pPr>
              <w:pStyle w:val="TableText"/>
              <w:framePr w:hSpace="181" w:wrap="notBeside" w:vAnchor="text" w:hAnchor="text" w:xAlign="center" w:y="1"/>
              <w:spacing w:after="80"/>
              <w:jc w:val="left"/>
              <w:rPr>
                <w:color w:val="000000"/>
                <w:lang w:val="es-ES_tradnl"/>
              </w:rPr>
            </w:pPr>
            <w:r w:rsidRPr="009B0E26">
              <w:rPr>
                <w:rStyle w:val="Artref"/>
                <w:b/>
                <w:bCs/>
                <w:color w:val="000000"/>
                <w:lang w:val="es-ES"/>
              </w:rPr>
              <w:t>52.101</w:t>
            </w:r>
            <w:r w:rsidRPr="009B0E26">
              <w:rPr>
                <w:b/>
                <w:bCs/>
                <w:color w:val="000000"/>
                <w:lang w:val="es-ES"/>
              </w:rPr>
              <w:t xml:space="preserve">, </w:t>
            </w:r>
            <w:r w:rsidRPr="009B0E26">
              <w:rPr>
                <w:rStyle w:val="Artref"/>
                <w:b/>
                <w:bCs/>
                <w:color w:val="000000"/>
                <w:lang w:val="es-ES"/>
              </w:rPr>
              <w:t>52.177</w:t>
            </w:r>
            <w:r w:rsidRPr="009B0E26">
              <w:rPr>
                <w:b/>
                <w:bCs/>
                <w:color w:val="000000"/>
                <w:lang w:val="es-ES"/>
              </w:rPr>
              <w:t xml:space="preserve">, </w:t>
            </w:r>
            <w:r w:rsidRPr="009B0E26">
              <w:rPr>
                <w:rStyle w:val="Artref"/>
                <w:b/>
                <w:bCs/>
                <w:color w:val="000000"/>
                <w:lang w:val="es-ES"/>
              </w:rPr>
              <w:t>52.183</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52.198</w:t>
            </w:r>
            <w:r w:rsidRPr="009B0E26">
              <w:rPr>
                <w:b/>
                <w:bCs/>
                <w:color w:val="000000"/>
                <w:lang w:val="es-ES"/>
              </w:rPr>
              <w:t xml:space="preserve">, </w:t>
            </w:r>
            <w:r w:rsidRPr="009B0E26">
              <w:rPr>
                <w:rStyle w:val="Artref"/>
                <w:b/>
                <w:bCs/>
                <w:color w:val="000000"/>
                <w:lang w:val="es-ES"/>
              </w:rPr>
              <w:t>52.217</w:t>
            </w:r>
          </w:p>
        </w:tc>
      </w:tr>
      <w:tr w:rsidR="008A784F" w:rsidRPr="003667EC" w14:paraId="321D3504" w14:textId="77777777" w:rsidTr="00700F38">
        <w:trPr>
          <w:cantSplit/>
          <w:jc w:val="center"/>
        </w:trPr>
        <w:tc>
          <w:tcPr>
            <w:tcW w:w="2835" w:type="dxa"/>
          </w:tcPr>
          <w:p w14:paraId="1DA08F14" w14:textId="77777777" w:rsidR="008A784F" w:rsidRPr="003667EC" w:rsidRDefault="008A784F" w:rsidP="008A784F">
            <w:pPr>
              <w:pStyle w:val="TableText"/>
              <w:framePr w:hSpace="181" w:wrap="notBeside" w:vAnchor="text" w:hAnchor="text" w:xAlign="center" w:y="1"/>
              <w:spacing w:before="80" w:after="80"/>
              <w:rPr>
                <w:color w:val="000000"/>
                <w:lang w:val="es-ES_tradnl"/>
              </w:rPr>
            </w:pPr>
            <w:r w:rsidRPr="003667EC">
              <w:rPr>
                <w:color w:val="000000"/>
                <w:lang w:val="es-ES_tradnl"/>
              </w:rPr>
              <w:t>Subdivisión obligatoria</w:t>
            </w:r>
          </w:p>
        </w:tc>
        <w:tc>
          <w:tcPr>
            <w:tcW w:w="5919" w:type="dxa"/>
            <w:tcBorders>
              <w:right w:val="single" w:sz="6" w:space="0" w:color="auto"/>
            </w:tcBorders>
          </w:tcPr>
          <w:p w14:paraId="339DB21B" w14:textId="77777777" w:rsidR="008A784F" w:rsidRPr="00D3267E" w:rsidRDefault="008A784F" w:rsidP="008A784F">
            <w:pPr>
              <w:pStyle w:val="TableText"/>
              <w:framePr w:hSpace="181" w:wrap="notBeside" w:vAnchor="text" w:hAnchor="text" w:xAlign="center" w:y="1"/>
              <w:spacing w:before="80" w:after="0"/>
              <w:rPr>
                <w:color w:val="000000"/>
                <w:lang w:val="es-ES"/>
              </w:rPr>
            </w:pPr>
            <w:r w:rsidRPr="009B0E26">
              <w:rPr>
                <w:rStyle w:val="Artref"/>
                <w:b/>
                <w:bCs/>
                <w:color w:val="000000"/>
                <w:lang w:val="es-ES"/>
              </w:rPr>
              <w:t>52.10</w:t>
            </w:r>
            <w:r w:rsidRPr="00D3267E">
              <w:rPr>
                <w:color w:val="000000"/>
                <w:lang w:val="es-ES"/>
              </w:rPr>
              <w:t xml:space="preserve"> (Región 1 únicamente), </w:t>
            </w:r>
            <w:r w:rsidRPr="009B0E26">
              <w:rPr>
                <w:rStyle w:val="Artref"/>
                <w:b/>
                <w:bCs/>
                <w:color w:val="000000"/>
                <w:lang w:val="es-ES"/>
              </w:rPr>
              <w:t>52.13</w:t>
            </w:r>
            <w:r w:rsidRPr="00D3267E">
              <w:rPr>
                <w:color w:val="000000"/>
                <w:lang w:val="es-ES"/>
              </w:rPr>
              <w:t xml:space="preserve"> </w:t>
            </w:r>
          </w:p>
          <w:p w14:paraId="43C6865B" w14:textId="77777777" w:rsidR="008A784F" w:rsidRPr="00D3267E" w:rsidRDefault="008A784F" w:rsidP="008A784F">
            <w:pPr>
              <w:pStyle w:val="TableText"/>
              <w:framePr w:hSpace="181" w:wrap="notBeside" w:vAnchor="text" w:hAnchor="text" w:xAlign="center" w:y="1"/>
              <w:spacing w:after="80"/>
              <w:rPr>
                <w:color w:val="000000"/>
                <w:lang w:val="es-ES"/>
              </w:rPr>
            </w:pPr>
            <w:r w:rsidRPr="00D3267E">
              <w:rPr>
                <w:color w:val="000000"/>
                <w:lang w:val="es-ES"/>
              </w:rPr>
              <w:t xml:space="preserve">Apéndice </w:t>
            </w:r>
            <w:r w:rsidRPr="00D3267E">
              <w:rPr>
                <w:rStyle w:val="Appref"/>
                <w:b/>
                <w:color w:val="000000"/>
                <w:lang w:val="es-ES"/>
              </w:rPr>
              <w:t>17</w:t>
            </w:r>
          </w:p>
        </w:tc>
      </w:tr>
    </w:tbl>
    <w:p w14:paraId="258799C5" w14:textId="77777777" w:rsidR="00F064A9" w:rsidRPr="003667EC" w:rsidRDefault="00F064A9" w:rsidP="00F064A9">
      <w:pPr>
        <w:pStyle w:val="TableFin"/>
        <w:rPr>
          <w:color w:val="000000"/>
          <w:lang w:val="es-ES_tradnl"/>
        </w:rPr>
      </w:pPr>
    </w:p>
    <w:p w14:paraId="5E22E0B3" w14:textId="77777777" w:rsidR="00F064A9" w:rsidRPr="003667EC" w:rsidRDefault="00F064A9" w:rsidP="00F064A9">
      <w:pPr>
        <w:rPr>
          <w:color w:val="000000"/>
          <w:lang w:val="es-ES_tradnl"/>
        </w:rPr>
      </w:pPr>
      <w:r w:rsidRPr="003667EC">
        <w:rPr>
          <w:color w:val="000000"/>
          <w:lang w:val="es-ES_tradnl"/>
        </w:rPr>
        <w:t>2.5</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con respecto a las cuales se examinan las notificaciones a estaciones en los servicios terrenales</w:t>
      </w:r>
      <w:r w:rsidRPr="003667EC">
        <w:rPr>
          <w:rStyle w:val="FootnoteReference"/>
          <w:color w:val="000000"/>
          <w:sz w:val="20"/>
          <w:lang w:val="es-ES_tradnl"/>
        </w:rPr>
        <w:footnoteReference w:customMarkFollows="1" w:id="6"/>
        <w:t>6</w:t>
      </w:r>
      <w:r w:rsidRPr="003667EC">
        <w:rPr>
          <w:color w:val="000000"/>
          <w:lang w:val="es-ES_tradnl"/>
        </w:rPr>
        <w:t xml:space="preserve"> en las bandas compartidas con los servicios espaciales con igualdad de derechos:</w:t>
      </w:r>
    </w:p>
    <w:p w14:paraId="7B130D76" w14:textId="77777777" w:rsidR="00F064A9" w:rsidRPr="003667EC" w:rsidRDefault="00F064A9" w:rsidP="00F064A9">
      <w:pPr>
        <w:rPr>
          <w:lang w:val="es-ES_tradnl"/>
        </w:rPr>
      </w:pPr>
      <w:r w:rsidRPr="003667EC">
        <w:rPr>
          <w:lang w:val="es-ES_tradnl"/>
        </w:rPr>
        <w:t>2.5.1</w:t>
      </w:r>
      <w:r w:rsidRPr="003667EC">
        <w:rPr>
          <w:lang w:val="es-ES_tradnl"/>
        </w:rPr>
        <w:tab/>
        <w:t>conformidad con los límites relativos a la potencia isótropa radiada equivalente (p.i.r.e.), en el contexto de los servicios y bandas de frecuencias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21.3</w:t>
      </w:r>
      <w:r w:rsidRPr="003667EC">
        <w:rPr>
          <w:lang w:val="es-ES_tradnl"/>
        </w:rPr>
        <w:t xml:space="preserve">, </w:t>
      </w:r>
      <w:r w:rsidRPr="003667EC">
        <w:rPr>
          <w:rStyle w:val="Artref"/>
          <w:b/>
          <w:color w:val="000000"/>
          <w:lang w:val="es-ES_tradnl"/>
        </w:rPr>
        <w:t>21.4</w:t>
      </w:r>
      <w:r w:rsidRPr="003667EC">
        <w:rPr>
          <w:lang w:val="es-ES_tradnl"/>
        </w:rPr>
        <w:t xml:space="preserve">, </w:t>
      </w:r>
      <w:r w:rsidRPr="003667EC">
        <w:rPr>
          <w:rStyle w:val="Artref"/>
          <w:b/>
          <w:color w:val="000000"/>
          <w:lang w:val="es-ES_tradnl"/>
        </w:rPr>
        <w:t>21.5A</w:t>
      </w:r>
      <w:r w:rsidRPr="003667EC">
        <w:rPr>
          <w:lang w:val="es-ES_tradnl"/>
        </w:rPr>
        <w:t xml:space="preserve"> y </w:t>
      </w:r>
      <w:r w:rsidRPr="003667EC">
        <w:rPr>
          <w:rStyle w:val="Artref"/>
          <w:b/>
          <w:color w:val="000000"/>
          <w:lang w:val="es-ES_tradnl"/>
        </w:rPr>
        <w:t>21.6</w:t>
      </w:r>
      <w:r w:rsidRPr="003667EC">
        <w:rPr>
          <w:lang w:val="es-ES_tradnl"/>
        </w:rPr>
        <w:t>);</w:t>
      </w:r>
    </w:p>
    <w:p w14:paraId="24F8714A" w14:textId="77777777" w:rsidR="00F064A9" w:rsidRDefault="00F064A9" w:rsidP="00F064A9">
      <w:pPr>
        <w:rPr>
          <w:lang w:val="es-ES_tradnl"/>
        </w:rPr>
      </w:pPr>
      <w:r w:rsidRPr="003667EC">
        <w:rPr>
          <w:lang w:val="es-ES_tradnl"/>
        </w:rPr>
        <w:t>2.5.2</w:t>
      </w:r>
      <w:r w:rsidRPr="003667EC">
        <w:rPr>
          <w:lang w:val="es-ES_tradnl"/>
        </w:rPr>
        <w:tab/>
        <w:t>conformidad con los límites relativos a la potencia suministrada por un transmisor a la antena de una estación de los servicios fijo o móvil (13 dBW en las bandas de frecuencia comprendidas entre 1 GHz y 10 GHz, 10 dBW en las bandas de frecuencia superiores a 10 GHz) en el contexto de los servicios y bandas de frecuencia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21.5</w:t>
      </w:r>
      <w:r w:rsidRPr="003667EC">
        <w:rPr>
          <w:lang w:val="es-ES_tradnl"/>
        </w:rPr>
        <w:t xml:space="preserve"> y </w:t>
      </w:r>
      <w:r w:rsidRPr="003667EC">
        <w:rPr>
          <w:rStyle w:val="Artref"/>
          <w:b/>
          <w:color w:val="000000"/>
          <w:lang w:val="es-ES_tradnl"/>
        </w:rPr>
        <w:t>21.6</w:t>
      </w:r>
      <w:r w:rsidRPr="003667EC">
        <w:rPr>
          <w:lang w:val="es-ES_tradnl"/>
        </w:rPr>
        <w:t>).</w:t>
      </w:r>
    </w:p>
    <w:p w14:paraId="6A1EDC74" w14:textId="5861D88B" w:rsidR="008036F8" w:rsidRDefault="008036F8" w:rsidP="008036F8">
      <w:pPr>
        <w:rPr>
          <w:color w:val="000000"/>
          <w:lang w:val="es-ES_tradnl"/>
        </w:rPr>
      </w:pPr>
      <w:r w:rsidRPr="003667EC">
        <w:rPr>
          <w:color w:val="000000"/>
          <w:lang w:val="es-ES_tradnl"/>
        </w:rPr>
        <w:t>2.6</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aplicable a los servicios espaciales, en la medida en que tienen relación con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w:t>
      </w:r>
    </w:p>
    <w:p w14:paraId="3CBD4462" w14:textId="77777777" w:rsidR="00243C1F" w:rsidRPr="003667EC" w:rsidRDefault="00243C1F" w:rsidP="008036F8">
      <w:pPr>
        <w:rPr>
          <w:color w:val="000000"/>
          <w:lang w:val="es-ES_tradnl"/>
        </w:rPr>
      </w:pPr>
    </w:p>
    <w:p w14:paraId="3CFC2D4D" w14:textId="77777777" w:rsidR="00997054" w:rsidRDefault="00997054" w:rsidP="008036F8">
      <w:pPr>
        <w:rPr>
          <w:color w:val="000000"/>
          <w:lang w:val="es-ES_tradnl"/>
        </w:rPr>
        <w:sectPr w:rsidR="00997054" w:rsidSect="00E41FDD">
          <w:headerReference w:type="default" r:id="rId13"/>
          <w:footnotePr>
            <w:pos w:val="beneathText"/>
            <w:numFmt w:val="chicago"/>
          </w:footnotePr>
          <w:pgSz w:w="11907" w:h="16840" w:code="9"/>
          <w:pgMar w:top="1701" w:right="851" w:bottom="1134" w:left="1985" w:header="720" w:footer="482" w:gutter="0"/>
          <w:cols w:space="720"/>
          <w:vAlign w:val="both"/>
        </w:sectPr>
      </w:pPr>
    </w:p>
    <w:p w14:paraId="3162B0AD" w14:textId="77777777" w:rsidR="00F064A9" w:rsidRPr="003667EC" w:rsidRDefault="00F064A9" w:rsidP="006B1FA3">
      <w:pPr>
        <w:spacing w:before="60"/>
        <w:rPr>
          <w:color w:val="000000"/>
          <w:lang w:val="es-ES_tradnl"/>
        </w:rPr>
      </w:pPr>
      <w:r w:rsidRPr="003667EC">
        <w:rPr>
          <w:color w:val="000000"/>
          <w:lang w:val="es-ES_tradnl"/>
        </w:rPr>
        <w:lastRenderedPageBreak/>
        <w:t>2.6.1</w:t>
      </w:r>
      <w:r w:rsidRPr="003667EC">
        <w:rPr>
          <w:color w:val="000000"/>
          <w:lang w:val="es-ES_tradnl"/>
        </w:rPr>
        <w:tab/>
        <w:t xml:space="preserve">conformidad con los límites de potencia indicados para las estaciones terrenas según se estipula en las disposiciones de los números </w:t>
      </w:r>
      <w:r w:rsidRPr="003667EC">
        <w:rPr>
          <w:rStyle w:val="Artref"/>
          <w:b/>
          <w:color w:val="000000"/>
          <w:lang w:val="es-ES_tradnl"/>
        </w:rPr>
        <w:t>21.8</w:t>
      </w:r>
      <w:r w:rsidRPr="003667EC">
        <w:rPr>
          <w:color w:val="000000"/>
          <w:lang w:val="es-ES_tradnl"/>
        </w:rPr>
        <w:t xml:space="preserve">, </w:t>
      </w:r>
      <w:r w:rsidRPr="003667EC">
        <w:rPr>
          <w:rStyle w:val="Artref"/>
          <w:b/>
          <w:color w:val="000000"/>
          <w:lang w:val="es-ES_tradnl"/>
        </w:rPr>
        <w:t>21.10</w:t>
      </w:r>
      <w:r w:rsidRPr="003667EC">
        <w:rPr>
          <w:color w:val="000000"/>
          <w:lang w:val="es-ES_tradnl"/>
        </w:rPr>
        <w:t xml:space="preserve"> y </w:t>
      </w:r>
      <w:r w:rsidRPr="003667EC">
        <w:rPr>
          <w:rStyle w:val="Artref"/>
          <w:b/>
          <w:color w:val="000000"/>
          <w:lang w:val="es-ES_tradnl"/>
        </w:rPr>
        <w:t>21.12</w:t>
      </w:r>
      <w:r w:rsidRPr="003667EC">
        <w:rPr>
          <w:color w:val="000000"/>
          <w:lang w:val="es-ES_tradnl"/>
        </w:rPr>
        <w:t xml:space="preserve">, </w:t>
      </w:r>
      <w:r w:rsidRPr="003667EC">
        <w:rPr>
          <w:rStyle w:val="Artref"/>
          <w:b/>
          <w:color w:val="000000"/>
          <w:lang w:val="es-ES_tradnl"/>
        </w:rPr>
        <w:t>21.13</w:t>
      </w:r>
      <w:r w:rsidRPr="003667EC">
        <w:rPr>
          <w:color w:val="000000"/>
          <w:lang w:val="es-ES_tradnl"/>
        </w:rPr>
        <w:t xml:space="preserve"> y </w:t>
      </w:r>
      <w:r w:rsidRPr="003667EC">
        <w:rPr>
          <w:rStyle w:val="Artref"/>
          <w:b/>
          <w:color w:val="000000"/>
          <w:lang w:val="es-ES_tradnl"/>
        </w:rPr>
        <w:t>21.13A</w:t>
      </w:r>
      <w:r w:rsidRPr="003667EC">
        <w:rPr>
          <w:color w:val="000000"/>
          <w:lang w:val="es-ES_tradnl"/>
        </w:rPr>
        <w:t xml:space="preserve">, tomando en cuenta los números </w:t>
      </w:r>
      <w:r w:rsidRPr="003667EC">
        <w:rPr>
          <w:rStyle w:val="Artref"/>
          <w:b/>
          <w:color w:val="000000"/>
          <w:lang w:val="es-ES_tradnl"/>
        </w:rPr>
        <w:t>21.9</w:t>
      </w:r>
      <w:r w:rsidRPr="003667EC">
        <w:rPr>
          <w:color w:val="000000"/>
          <w:lang w:val="es-ES_tradnl"/>
        </w:rPr>
        <w:t xml:space="preserve"> y </w:t>
      </w:r>
      <w:r w:rsidRPr="003667EC">
        <w:rPr>
          <w:rStyle w:val="Artref"/>
          <w:b/>
          <w:color w:val="000000"/>
          <w:lang w:val="es-ES_tradnl"/>
        </w:rPr>
        <w:t>21.11</w:t>
      </w:r>
      <w:r w:rsidR="00515A02" w:rsidRPr="003667EC">
        <w:rPr>
          <w:rStyle w:val="Artref"/>
          <w:rFonts w:ascii="Tms Rmn" w:hAnsi="Tms Rmn"/>
          <w:b/>
          <w:color w:val="000000"/>
          <w:sz w:val="12"/>
          <w:lang w:val="es-ES_tradnl"/>
        </w:rPr>
        <w:t> </w:t>
      </w:r>
      <w:r w:rsidRPr="003667EC">
        <w:rPr>
          <w:rStyle w:val="FootnoteReference"/>
          <w:bCs/>
          <w:color w:val="000000"/>
          <w:sz w:val="20"/>
          <w:lang w:val="es-ES_tradnl"/>
        </w:rPr>
        <w:footnoteReference w:customMarkFollows="1" w:id="7"/>
        <w:t>7</w:t>
      </w:r>
      <w:r w:rsidRPr="003667EC">
        <w:rPr>
          <w:color w:val="000000"/>
          <w:lang w:val="es-ES_tradnl"/>
        </w:rPr>
        <w:t xml:space="preserve"> y en las disposiciones de los números</w:t>
      </w:r>
      <w:r w:rsidR="00437E8C" w:rsidRPr="003667EC">
        <w:rPr>
          <w:color w:val="000000"/>
          <w:lang w:val="es-ES_tradnl"/>
        </w:rPr>
        <w:t xml:space="preserve"> </w:t>
      </w:r>
      <w:r w:rsidRPr="003667EC">
        <w:rPr>
          <w:rStyle w:val="Artref"/>
          <w:b/>
          <w:color w:val="000000"/>
          <w:lang w:val="es-ES_tradnl"/>
        </w:rPr>
        <w:t>22.26</w:t>
      </w:r>
      <w:r w:rsidRPr="003667EC">
        <w:rPr>
          <w:color w:val="000000"/>
          <w:lang w:val="es-ES_tradnl"/>
        </w:rPr>
        <w:t xml:space="preserve"> a </w:t>
      </w:r>
      <w:r w:rsidRPr="003667EC">
        <w:rPr>
          <w:rStyle w:val="Artref"/>
          <w:b/>
          <w:color w:val="000000"/>
          <w:lang w:val="es-ES_tradnl"/>
        </w:rPr>
        <w:t>22.28</w:t>
      </w:r>
      <w:r w:rsidRPr="003667EC">
        <w:rPr>
          <w:color w:val="000000"/>
          <w:lang w:val="es-ES_tradnl"/>
        </w:rPr>
        <w:t xml:space="preserve"> ó </w:t>
      </w:r>
      <w:r w:rsidRPr="003667EC">
        <w:rPr>
          <w:rStyle w:val="Artref"/>
          <w:b/>
          <w:color w:val="000000"/>
          <w:lang w:val="es-ES_tradnl"/>
        </w:rPr>
        <w:t>22.32</w:t>
      </w:r>
      <w:r w:rsidRPr="003667EC">
        <w:rPr>
          <w:color w:val="000000"/>
          <w:lang w:val="es-ES_tradnl"/>
        </w:rPr>
        <w:t xml:space="preserve"> (según el caso) bajo las condiciones especificadas en los números </w:t>
      </w:r>
      <w:r w:rsidRPr="003667EC">
        <w:rPr>
          <w:rStyle w:val="Artref"/>
          <w:b/>
          <w:color w:val="000000"/>
          <w:lang w:val="es-ES_tradnl"/>
        </w:rPr>
        <w:t>22.30</w:t>
      </w:r>
      <w:r w:rsidRPr="003667EC">
        <w:rPr>
          <w:color w:val="000000"/>
          <w:lang w:val="es-ES_tradnl"/>
        </w:rPr>
        <w:t xml:space="preserve">, </w:t>
      </w:r>
      <w:r w:rsidRPr="003667EC">
        <w:rPr>
          <w:rStyle w:val="Artref"/>
          <w:b/>
          <w:color w:val="000000"/>
          <w:lang w:val="es-ES_tradnl"/>
        </w:rPr>
        <w:t>22.31</w:t>
      </w:r>
      <w:r w:rsidRPr="003667EC">
        <w:rPr>
          <w:color w:val="000000"/>
          <w:lang w:val="es-ES_tradnl"/>
        </w:rPr>
        <w:t xml:space="preserve"> y </w:t>
      </w:r>
      <w:r w:rsidRPr="003667EC">
        <w:rPr>
          <w:rStyle w:val="Artref"/>
          <w:b/>
          <w:color w:val="000000"/>
          <w:lang w:val="es-ES_tradnl"/>
        </w:rPr>
        <w:t>22.34</w:t>
      </w:r>
      <w:r w:rsidRPr="003667EC">
        <w:rPr>
          <w:color w:val="000000"/>
          <w:lang w:val="es-ES_tradnl"/>
        </w:rPr>
        <w:t xml:space="preserve"> a </w:t>
      </w:r>
      <w:r w:rsidRPr="003667EC">
        <w:rPr>
          <w:rStyle w:val="Artref"/>
          <w:b/>
          <w:color w:val="000000"/>
          <w:lang w:val="es-ES_tradnl"/>
        </w:rPr>
        <w:t>22.39</w:t>
      </w:r>
      <w:r w:rsidRPr="003667EC">
        <w:rPr>
          <w:color w:val="000000"/>
          <w:lang w:val="es-ES_tradnl"/>
        </w:rPr>
        <w:t>, donde las estaciones terrenas están sujetas a esos límites de potencia (véase también el § </w:t>
      </w:r>
      <w:r w:rsidRPr="003667EC">
        <w:rPr>
          <w:lang w:val="es-ES_tradnl"/>
        </w:rPr>
        <w:t>A.16</w:t>
      </w:r>
      <w:r w:rsidRPr="003667EC">
        <w:rPr>
          <w:color w:val="000000"/>
          <w:lang w:val="es-ES_tradnl"/>
        </w:rPr>
        <w:t xml:space="preserve"> del Apéndice </w:t>
      </w:r>
      <w:r w:rsidRPr="003667EC">
        <w:rPr>
          <w:rStyle w:val="Appref"/>
          <w:b/>
          <w:color w:val="000000"/>
          <w:lang w:val="es-ES_tradnl"/>
        </w:rPr>
        <w:t>4)</w:t>
      </w:r>
      <w:r w:rsidRPr="003667EC">
        <w:rPr>
          <w:color w:val="000000"/>
          <w:lang w:val="es-ES_tradnl"/>
        </w:rPr>
        <w:t>;</w:t>
      </w:r>
    </w:p>
    <w:p w14:paraId="32209E30" w14:textId="77777777" w:rsidR="00F064A9" w:rsidRPr="003667EC" w:rsidRDefault="00F064A9" w:rsidP="006B1FA3">
      <w:pPr>
        <w:spacing w:before="60"/>
        <w:rPr>
          <w:color w:val="000000"/>
          <w:lang w:val="es-ES_tradnl"/>
        </w:rPr>
      </w:pPr>
      <w:r w:rsidRPr="003667EC">
        <w:rPr>
          <w:color w:val="000000"/>
          <w:lang w:val="es-ES_tradnl"/>
        </w:rPr>
        <w:t>2.6.2</w:t>
      </w:r>
      <w:r w:rsidRPr="003667EC">
        <w:rPr>
          <w:color w:val="000000"/>
          <w:lang w:val="es-ES_tradnl"/>
        </w:rPr>
        <w:tab/>
        <w:t>conformidad con el ángulo mínimo de elevación de las estaciones terrenas que se estipulan en las disposiciones de los números </w:t>
      </w:r>
      <w:r w:rsidRPr="003667EC">
        <w:rPr>
          <w:rStyle w:val="Artref"/>
          <w:b/>
          <w:color w:val="000000"/>
          <w:lang w:val="es-ES_tradnl"/>
        </w:rPr>
        <w:t>21.14</w:t>
      </w:r>
      <w:r w:rsidR="00515A02" w:rsidRPr="003667EC">
        <w:rPr>
          <w:rStyle w:val="Artref"/>
          <w:rFonts w:ascii="Tms Rmn" w:hAnsi="Tms Rmn"/>
          <w:b/>
          <w:color w:val="000000"/>
          <w:sz w:val="12"/>
          <w:lang w:val="es-ES_tradnl"/>
        </w:rPr>
        <w:t> </w:t>
      </w:r>
      <w:r w:rsidRPr="003667EC">
        <w:rPr>
          <w:rStyle w:val="FootnoteReference"/>
          <w:color w:val="000000"/>
          <w:sz w:val="20"/>
          <w:lang w:val="es-ES_tradnl"/>
        </w:rPr>
        <w:footnoteReference w:customMarkFollows="1" w:id="8"/>
        <w:t>8</w:t>
      </w:r>
      <w:r w:rsidRPr="003667EC">
        <w:rPr>
          <w:b/>
          <w:color w:val="000000"/>
          <w:lang w:val="es-ES_tradnl"/>
        </w:rPr>
        <w:t xml:space="preserve"> </w:t>
      </w:r>
      <w:r w:rsidRPr="003667EC">
        <w:rPr>
          <w:color w:val="000000"/>
          <w:lang w:val="es-ES_tradnl"/>
        </w:rPr>
        <w:t>y </w:t>
      </w:r>
      <w:r w:rsidRPr="003667EC">
        <w:rPr>
          <w:rStyle w:val="Artref"/>
          <w:b/>
          <w:color w:val="000000"/>
          <w:lang w:val="es-ES_tradnl"/>
        </w:rPr>
        <w:t>21.15</w:t>
      </w:r>
      <w:r w:rsidRPr="003667EC">
        <w:rPr>
          <w:color w:val="000000"/>
          <w:lang w:val="es-ES_tradnl"/>
        </w:rPr>
        <w:t>;</w:t>
      </w:r>
    </w:p>
    <w:p w14:paraId="286159E7" w14:textId="2A441DA6" w:rsidR="00F064A9" w:rsidRPr="002C5784" w:rsidRDefault="00F064A9" w:rsidP="006B1FA3">
      <w:pPr>
        <w:spacing w:before="60"/>
        <w:rPr>
          <w:color w:val="000000"/>
          <w:lang w:val="es-ES_tradnl"/>
        </w:rPr>
      </w:pPr>
      <w:r w:rsidRPr="003667EC">
        <w:rPr>
          <w:color w:val="000000"/>
          <w:lang w:val="es-ES_tradnl"/>
        </w:rPr>
        <w:t>2.6.3</w:t>
      </w:r>
      <w:r w:rsidRPr="003667EC">
        <w:rPr>
          <w:color w:val="000000"/>
          <w:lang w:val="es-ES_tradnl"/>
        </w:rPr>
        <w:tab/>
        <w:t xml:space="preserve">conformidad con los límites de la densidad de flujo de potencia de las estaciones espaciales producidas en la superficie de la Tierra, como se indica en el Cuadro </w:t>
      </w:r>
      <w:r w:rsidRPr="003667EC">
        <w:rPr>
          <w:b/>
          <w:bCs/>
          <w:lang w:val="es-ES_tradnl"/>
        </w:rPr>
        <w:t>21-4</w:t>
      </w:r>
      <w:r w:rsidRPr="003667EC">
        <w:rPr>
          <w:color w:val="000000"/>
          <w:lang w:val="es-ES_tradnl"/>
        </w:rPr>
        <w:t xml:space="preserve"> (número </w:t>
      </w:r>
      <w:r w:rsidRPr="003667EC">
        <w:rPr>
          <w:rStyle w:val="Artref"/>
          <w:b/>
          <w:color w:val="000000"/>
          <w:lang w:val="es-ES_tradnl"/>
        </w:rPr>
        <w:t>21.16</w:t>
      </w:r>
      <w:r w:rsidRPr="003667EC">
        <w:rPr>
          <w:color w:val="000000"/>
          <w:lang w:val="es-ES_tradnl"/>
        </w:rPr>
        <w:t>)</w:t>
      </w:r>
      <w:r w:rsidR="00151019">
        <w:rPr>
          <w:rStyle w:val="FootnoteReference"/>
          <w:color w:val="000000"/>
          <w:lang w:val="es-ES_tradnl"/>
        </w:rPr>
        <w:footnoteReference w:customMarkFollows="1" w:id="9"/>
        <w:t>9</w:t>
      </w:r>
      <w:r w:rsidRPr="003667EC">
        <w:rPr>
          <w:color w:val="000000"/>
          <w:lang w:val="es-ES_tradnl"/>
        </w:rPr>
        <w:t>, así como con los límites de densidad de flujo de potencia equivalente (dfpe</w:t>
      </w:r>
      <w:r w:rsidRPr="003667EC">
        <w:rPr>
          <w:rFonts w:ascii="Symbol" w:hAnsi="Symbol"/>
          <w:color w:val="000000"/>
          <w:position w:val="-4"/>
          <w:sz w:val="16"/>
          <w:lang w:val="es-ES_tradnl"/>
        </w:rPr>
        <w:t></w:t>
      </w:r>
      <w:r w:rsidRPr="003667EC">
        <w:rPr>
          <w:color w:val="000000"/>
          <w:lang w:val="es-ES_tradnl"/>
        </w:rPr>
        <w:t xml:space="preserve">) de los Cuadros </w:t>
      </w:r>
      <w:r w:rsidRPr="003667EC">
        <w:rPr>
          <w:b/>
          <w:bCs/>
          <w:lang w:val="es-ES_tradnl"/>
        </w:rPr>
        <w:t>22-1A</w:t>
      </w:r>
      <w:r w:rsidRPr="003667EC">
        <w:rPr>
          <w:color w:val="000000"/>
          <w:lang w:val="es-ES_tradnl"/>
        </w:rPr>
        <w:t xml:space="preserve"> a </w:t>
      </w:r>
      <w:r w:rsidRPr="003667EC">
        <w:rPr>
          <w:b/>
          <w:bCs/>
          <w:lang w:val="es-ES_tradnl"/>
        </w:rPr>
        <w:t>22-1E</w:t>
      </w:r>
      <w:r w:rsidRPr="003667EC">
        <w:rPr>
          <w:color w:val="000000"/>
          <w:lang w:val="es-ES_tradnl"/>
        </w:rPr>
        <w:t xml:space="preserve"> (número </w:t>
      </w:r>
      <w:r w:rsidRPr="003667EC">
        <w:rPr>
          <w:rStyle w:val="Artref"/>
          <w:b/>
          <w:color w:val="000000"/>
          <w:lang w:val="es-ES_tradnl"/>
        </w:rPr>
        <w:t>22.5C</w:t>
      </w:r>
      <w:r w:rsidRPr="003667EC">
        <w:rPr>
          <w:color w:val="000000"/>
          <w:lang w:val="es-ES_tradnl"/>
        </w:rPr>
        <w:t>), tomando en cuenta, según proceda, las disposiciones de los números </w:t>
      </w:r>
      <w:r w:rsidRPr="003667EC">
        <w:rPr>
          <w:rStyle w:val="Artref"/>
          <w:b/>
          <w:color w:val="000000"/>
          <w:lang w:val="es-ES_tradnl"/>
        </w:rPr>
        <w:t>21.17</w:t>
      </w:r>
      <w:r w:rsidRPr="003667EC">
        <w:rPr>
          <w:color w:val="000000"/>
          <w:lang w:val="es-ES_tradnl"/>
        </w:rPr>
        <w:t xml:space="preserve"> y </w:t>
      </w:r>
      <w:r w:rsidRPr="003667EC">
        <w:rPr>
          <w:rStyle w:val="Artref"/>
          <w:b/>
          <w:color w:val="000000"/>
          <w:lang w:val="es-ES_tradnl"/>
        </w:rPr>
        <w:t>22.5CA</w:t>
      </w:r>
      <w:r w:rsidRPr="003667EC">
        <w:rPr>
          <w:color w:val="000000"/>
          <w:lang w:val="es-ES_tradnl"/>
        </w:rPr>
        <w:t>;</w:t>
      </w:r>
    </w:p>
    <w:p w14:paraId="39C2AAD1" w14:textId="77777777" w:rsidR="00F064A9" w:rsidRPr="003667EC" w:rsidRDefault="00F064A9" w:rsidP="006B1FA3">
      <w:pPr>
        <w:spacing w:before="60"/>
        <w:rPr>
          <w:color w:val="000000"/>
          <w:lang w:val="es-ES_tradnl"/>
        </w:rPr>
      </w:pPr>
      <w:r w:rsidRPr="003667EC">
        <w:rPr>
          <w:color w:val="000000"/>
          <w:lang w:val="es-ES_tradnl"/>
        </w:rPr>
        <w:t>2.6.4</w:t>
      </w:r>
      <w:r w:rsidRPr="003667EC">
        <w:rPr>
          <w:color w:val="000000"/>
          <w:lang w:val="es-ES_tradnl"/>
        </w:rPr>
        <w:tab/>
        <w:t>conformidad con los límites de la densidad de flujo de potencia de las estaciones espaciales producidas en la OSG, como se indica en los números </w:t>
      </w:r>
      <w:r w:rsidRPr="003667EC">
        <w:rPr>
          <w:rStyle w:val="Artref"/>
          <w:b/>
          <w:color w:val="000000"/>
          <w:lang w:val="es-ES_tradnl"/>
        </w:rPr>
        <w:t>22.5</w:t>
      </w:r>
      <w:r w:rsidRPr="003667EC">
        <w:rPr>
          <w:color w:val="000000"/>
          <w:lang w:val="es-ES_tradnl"/>
        </w:rPr>
        <w:t xml:space="preserve"> y </w:t>
      </w:r>
      <w:r w:rsidRPr="003667EC">
        <w:rPr>
          <w:rStyle w:val="Artref"/>
          <w:b/>
          <w:color w:val="000000"/>
          <w:lang w:val="es-ES_tradnl"/>
        </w:rPr>
        <w:t>22.5A</w:t>
      </w:r>
      <w:r w:rsidRPr="003667EC">
        <w:rPr>
          <w:color w:val="000000"/>
          <w:lang w:val="es-ES_tradnl"/>
        </w:rPr>
        <w:t>, así como con los límites de dfpe</w:t>
      </w:r>
      <w:r w:rsidRPr="003667EC">
        <w:rPr>
          <w:vertAlign w:val="subscript"/>
          <w:lang w:val="es-ES_tradnl"/>
        </w:rPr>
        <w:t>is</w:t>
      </w:r>
      <w:r w:rsidRPr="003667EC">
        <w:rPr>
          <w:color w:val="000000"/>
          <w:lang w:val="es-ES_tradnl"/>
        </w:rPr>
        <w:t xml:space="preserve"> Cuadro </w:t>
      </w:r>
      <w:r w:rsidRPr="003667EC">
        <w:rPr>
          <w:b/>
          <w:bCs/>
          <w:lang w:val="es-ES_tradnl"/>
        </w:rPr>
        <w:t>22-3</w:t>
      </w:r>
      <w:r w:rsidRPr="003667EC">
        <w:rPr>
          <w:color w:val="000000"/>
          <w:lang w:val="es-ES_tradnl"/>
        </w:rPr>
        <w:t xml:space="preserve"> (número </w:t>
      </w:r>
      <w:r w:rsidRPr="003667EC">
        <w:rPr>
          <w:rStyle w:val="Artref"/>
          <w:b/>
          <w:color w:val="000000"/>
          <w:lang w:val="es-ES_tradnl"/>
        </w:rPr>
        <w:t>22.5F</w:t>
      </w:r>
      <w:r w:rsidRPr="003667EC">
        <w:rPr>
          <w:color w:val="000000"/>
          <w:lang w:val="es-ES_tradnl"/>
        </w:rPr>
        <w:t>);</w:t>
      </w:r>
    </w:p>
    <w:p w14:paraId="7C1FDABB" w14:textId="7D994923" w:rsidR="00F064A9" w:rsidRDefault="00F064A9" w:rsidP="006B1FA3">
      <w:pPr>
        <w:spacing w:before="60"/>
        <w:rPr>
          <w:color w:val="000000"/>
          <w:lang w:val="es-ES_tradnl"/>
        </w:rPr>
      </w:pPr>
      <w:r w:rsidRPr="003667EC">
        <w:rPr>
          <w:color w:val="000000"/>
          <w:lang w:val="es-ES_tradnl"/>
        </w:rPr>
        <w:t>2.6.5</w:t>
      </w:r>
      <w:r w:rsidRPr="003667EC">
        <w:rPr>
          <w:color w:val="000000"/>
          <w:lang w:val="es-ES_tradnl"/>
        </w:rPr>
        <w:tab/>
        <w:t>conformidad con el límite de la densidad de flujo de potencia equivalente (dfpe) de las estaciones terrenas producido en la OSG (dfpe</w:t>
      </w:r>
      <w:r w:rsidRPr="003667EC">
        <w:rPr>
          <w:rFonts w:ascii="Symbol" w:hAnsi="Symbol"/>
          <w:color w:val="000000"/>
          <w:position w:val="-4"/>
          <w:sz w:val="16"/>
          <w:lang w:val="es-ES_tradnl"/>
        </w:rPr>
        <w:t></w:t>
      </w:r>
      <w:r w:rsidRPr="003667EC">
        <w:rPr>
          <w:color w:val="000000"/>
          <w:lang w:val="es-ES_tradnl"/>
        </w:rPr>
        <w:t xml:space="preserve">) como indica el Cuadro </w:t>
      </w:r>
      <w:r w:rsidRPr="003667EC">
        <w:rPr>
          <w:b/>
          <w:bCs/>
          <w:lang w:val="es-ES_tradnl"/>
        </w:rPr>
        <w:t>22-2</w:t>
      </w:r>
      <w:r w:rsidRPr="003667EC">
        <w:rPr>
          <w:color w:val="000000"/>
          <w:lang w:val="es-ES_tradnl"/>
        </w:rPr>
        <w:t xml:space="preserve"> (número </w:t>
      </w:r>
      <w:r w:rsidRPr="003667EC">
        <w:rPr>
          <w:rStyle w:val="Artref"/>
          <w:b/>
          <w:color w:val="000000"/>
          <w:lang w:val="es-ES_tradnl"/>
        </w:rPr>
        <w:t>22.5D</w:t>
      </w:r>
      <w:r w:rsidRPr="003667EC">
        <w:rPr>
          <w:color w:val="000000"/>
          <w:lang w:val="es-ES_tradnl"/>
        </w:rPr>
        <w:t>);</w:t>
      </w:r>
    </w:p>
    <w:p w14:paraId="724DE4EE" w14:textId="3367B517" w:rsidR="0009055E" w:rsidRPr="005E5EFE" w:rsidRDefault="0009055E" w:rsidP="006B1FA3">
      <w:pPr>
        <w:spacing w:before="60" w:line="280" w:lineRule="exact"/>
        <w:rPr>
          <w:i/>
          <w:iCs/>
          <w:szCs w:val="22"/>
          <w:lang w:val="es-ES_tradnl"/>
        </w:rPr>
      </w:pPr>
      <w:r w:rsidRPr="005E5EFE">
        <w:rPr>
          <w:szCs w:val="22"/>
          <w:lang w:val="es-ES_tradnl"/>
        </w:rPr>
        <w:t>2.6.6</w:t>
      </w:r>
      <w:r w:rsidRPr="005E5EFE">
        <w:rPr>
          <w:szCs w:val="22"/>
          <w:lang w:val="es-ES_tradnl"/>
        </w:rPr>
        <w:tab/>
        <w:t xml:space="preserve">conformidad con el límite aplicable a la interferencia de una sola fuente que se especifica en el número </w:t>
      </w:r>
      <w:r w:rsidRPr="005E5EFE">
        <w:rPr>
          <w:b/>
          <w:bCs/>
          <w:szCs w:val="22"/>
          <w:lang w:val="es-ES_tradnl"/>
        </w:rPr>
        <w:t>22.5L</w:t>
      </w:r>
      <w:r w:rsidRPr="005E5EFE">
        <w:rPr>
          <w:szCs w:val="22"/>
          <w:lang w:val="es-ES_tradnl"/>
        </w:rPr>
        <w:t xml:space="preserve"> para los sistemas de satélites no geoestacionarios del servicio fijo por satélite;</w:t>
      </w:r>
    </w:p>
    <w:p w14:paraId="31546B7C" w14:textId="1474C0BF" w:rsidR="0009055E" w:rsidRPr="005E5EFE" w:rsidRDefault="0009055E" w:rsidP="006B1FA3">
      <w:pPr>
        <w:spacing w:before="60" w:line="280" w:lineRule="exact"/>
        <w:rPr>
          <w:szCs w:val="22"/>
          <w:lang w:val="es-ES_tradnl"/>
        </w:rPr>
      </w:pPr>
      <w:r w:rsidRPr="005E5EFE">
        <w:rPr>
          <w:szCs w:val="22"/>
          <w:lang w:val="es-ES_tradnl"/>
        </w:rPr>
        <w:t>2.6.7</w:t>
      </w:r>
      <w:r w:rsidRPr="005E5EFE">
        <w:rPr>
          <w:szCs w:val="22"/>
          <w:lang w:val="es-ES_tradnl"/>
        </w:rPr>
        <w:tab/>
        <w:t xml:space="preserve">conformidad con el límite de densidad de flujo de potencia (dfp) producida por las estaciones terrenas en la OSG, según se indica en el número </w:t>
      </w:r>
      <w:r w:rsidRPr="005E5EFE">
        <w:rPr>
          <w:b/>
          <w:bCs/>
          <w:szCs w:val="22"/>
          <w:lang w:val="es-ES_tradnl"/>
        </w:rPr>
        <w:t>22.40</w:t>
      </w:r>
      <w:r w:rsidRPr="005E5EFE">
        <w:rPr>
          <w:szCs w:val="22"/>
          <w:lang w:val="es-ES_tradnl"/>
        </w:rPr>
        <w:t>;</w:t>
      </w:r>
    </w:p>
    <w:p w14:paraId="0EAC329E" w14:textId="7FC8B54C" w:rsidR="0009055E" w:rsidRPr="00A160F1" w:rsidRDefault="0009055E" w:rsidP="006B1FA3">
      <w:pPr>
        <w:spacing w:before="60" w:line="280" w:lineRule="exact"/>
        <w:rPr>
          <w:rFonts w:eastAsia="SimSun"/>
          <w:szCs w:val="22"/>
          <w:lang w:val="es-ES_tradnl"/>
        </w:rPr>
      </w:pPr>
      <w:r w:rsidRPr="005E5EFE">
        <w:rPr>
          <w:szCs w:val="22"/>
          <w:lang w:val="es-ES_tradnl"/>
        </w:rPr>
        <w:t>2.6.8</w:t>
      </w:r>
      <w:r w:rsidRPr="005E5EFE">
        <w:rPr>
          <w:szCs w:val="22"/>
          <w:lang w:val="es-ES_tradnl"/>
        </w:rPr>
        <w:tab/>
        <w:t xml:space="preserve">conformidad con el límite especificado en los números </w:t>
      </w:r>
      <w:r w:rsidRPr="005E5EFE">
        <w:rPr>
          <w:b/>
          <w:bCs/>
          <w:szCs w:val="22"/>
          <w:lang w:val="es-ES_tradnl"/>
        </w:rPr>
        <w:t>22.8</w:t>
      </w:r>
      <w:r w:rsidRPr="005E5EFE">
        <w:rPr>
          <w:szCs w:val="22"/>
          <w:lang w:val="es-ES_tradnl"/>
        </w:rPr>
        <w:t xml:space="preserve">, </w:t>
      </w:r>
      <w:r w:rsidRPr="005E5EFE">
        <w:rPr>
          <w:b/>
          <w:bCs/>
          <w:szCs w:val="22"/>
          <w:lang w:val="es-ES_tradnl"/>
        </w:rPr>
        <w:t>22.13</w:t>
      </w:r>
      <w:r w:rsidRPr="005E5EFE">
        <w:rPr>
          <w:szCs w:val="22"/>
          <w:lang w:val="es-ES_tradnl"/>
        </w:rPr>
        <w:t xml:space="preserve">, </w:t>
      </w:r>
      <w:r w:rsidRPr="005E5EFE">
        <w:rPr>
          <w:b/>
          <w:bCs/>
          <w:szCs w:val="22"/>
          <w:lang w:val="es-ES_tradnl"/>
        </w:rPr>
        <w:t>22.17</w:t>
      </w:r>
      <w:r w:rsidRPr="005E5EFE">
        <w:rPr>
          <w:szCs w:val="22"/>
          <w:lang w:val="es-ES_tradnl"/>
        </w:rPr>
        <w:t xml:space="preserve"> y </w:t>
      </w:r>
      <w:r w:rsidRPr="005E5EFE">
        <w:rPr>
          <w:b/>
          <w:bCs/>
          <w:szCs w:val="22"/>
          <w:lang w:val="es-ES_tradnl"/>
        </w:rPr>
        <w:t>22.19</w:t>
      </w:r>
      <w:r w:rsidRPr="005E5EFE">
        <w:rPr>
          <w:szCs w:val="22"/>
          <w:lang w:val="es-ES_tradnl"/>
        </w:rPr>
        <w:t>.</w:t>
      </w:r>
    </w:p>
    <w:p w14:paraId="17626D01" w14:textId="77777777" w:rsidR="00F064A9" w:rsidRPr="003667EC" w:rsidRDefault="00F064A9" w:rsidP="006B1FA3">
      <w:pPr>
        <w:spacing w:before="60"/>
        <w:rPr>
          <w:color w:val="000000"/>
          <w:lang w:val="es-ES_tradnl"/>
        </w:rPr>
      </w:pPr>
      <w:r w:rsidRPr="003667EC">
        <w:rPr>
          <w:color w:val="000000"/>
          <w:lang w:val="es-ES_tradnl"/>
        </w:rPr>
        <w:t>3</w:t>
      </w:r>
      <w:r w:rsidRPr="003667EC">
        <w:rPr>
          <w:color w:val="000000"/>
          <w:lang w:val="es-ES_tradnl"/>
        </w:rPr>
        <w:tab/>
        <w:t xml:space="preserve">Otras disposiciones de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no se tomarán en cuenta en el examen reglamentario en virtud del número </w:t>
      </w:r>
      <w:r w:rsidRPr="003667EC">
        <w:rPr>
          <w:rStyle w:val="Artref"/>
          <w:b/>
          <w:color w:val="000000"/>
          <w:lang w:val="es-ES_tradnl"/>
        </w:rPr>
        <w:t>11.31</w:t>
      </w:r>
      <w:r w:rsidRPr="003667EC">
        <w:rPr>
          <w:color w:val="000000"/>
          <w:lang w:val="es-ES_tradnl"/>
        </w:rPr>
        <w:t xml:space="preserve"> y la Junta entiende que estas disposiciones deben aplicarse entre las administraciones.</w:t>
      </w:r>
    </w:p>
    <w:p w14:paraId="35FC77DC" w14:textId="77777777" w:rsidR="00F064A9" w:rsidRPr="003667EC" w:rsidRDefault="00F064A9" w:rsidP="006B1FA3">
      <w:pPr>
        <w:pStyle w:val="Heading1"/>
        <w:spacing w:before="60"/>
        <w:rPr>
          <w:sz w:val="24"/>
          <w:szCs w:val="24"/>
          <w:lang w:val="es-ES_tradnl"/>
        </w:rPr>
      </w:pPr>
      <w:r w:rsidRPr="00376B7F">
        <w:rPr>
          <w:color w:val="000000"/>
          <w:lang w:val="es-ES_tradnl"/>
        </w:rPr>
        <w:t>4</w:t>
      </w:r>
      <w:r w:rsidRPr="00376B7F">
        <w:rPr>
          <w:color w:val="000000"/>
          <w:lang w:val="es-ES_tradnl"/>
        </w:rPr>
        <w:tab/>
      </w:r>
      <w:r w:rsidRPr="003667EC">
        <w:rPr>
          <w:b w:val="0"/>
          <w:bCs/>
          <w:sz w:val="24"/>
          <w:szCs w:val="24"/>
          <w:lang w:val="es-ES_tradnl"/>
        </w:rPr>
        <w:t>(No utilizado)</w:t>
      </w:r>
    </w:p>
    <w:p w14:paraId="318F0B1D" w14:textId="77777777" w:rsidR="00F064A9" w:rsidRPr="003667EC" w:rsidRDefault="00F064A9" w:rsidP="006B1FA3">
      <w:pPr>
        <w:pStyle w:val="Heading1"/>
        <w:spacing w:before="60" w:line="280" w:lineRule="exact"/>
        <w:rPr>
          <w:color w:val="000000"/>
          <w:lang w:val="es-ES_tradnl"/>
        </w:rPr>
      </w:pPr>
      <w:r w:rsidRPr="003667EC">
        <w:rPr>
          <w:color w:val="000000"/>
          <w:lang w:val="es-ES_tradnl"/>
        </w:rPr>
        <w:t>5</w:t>
      </w:r>
      <w:r w:rsidRPr="003667EC">
        <w:rPr>
          <w:color w:val="000000"/>
          <w:lang w:val="es-ES_tradnl"/>
        </w:rPr>
        <w:tab/>
        <w:t>Conformidad con el Cuadro de atribución de bandas de frecuencias</w:t>
      </w:r>
    </w:p>
    <w:p w14:paraId="57AA295B" w14:textId="77777777" w:rsidR="00F064A9" w:rsidRPr="003667EC" w:rsidRDefault="00F064A9" w:rsidP="006B1FA3">
      <w:pPr>
        <w:spacing w:before="60"/>
        <w:rPr>
          <w:color w:val="000000"/>
          <w:lang w:val="es-ES_tradnl"/>
        </w:rPr>
      </w:pPr>
      <w:r w:rsidRPr="003667EC">
        <w:rPr>
          <w:color w:val="000000"/>
          <w:lang w:val="es-ES_tradnl"/>
        </w:rPr>
        <w:t>Este examen sobre la conformidad con el Cuadro de atribución de bandas de frecuencias consiste en determinar si la frecuencia asignada y/o la anchura de banda necesaria de la emisión se encuentran dentro de la banda de frecuencias atribuida al servicio en el que funciona la estación en cuestión. Otro elemento es la identificación de la categoría del servicio</w:t>
      </w:r>
      <w:r w:rsidR="009C3798">
        <w:rPr>
          <w:color w:val="000000"/>
          <w:lang w:val="es-ES_tradnl"/>
        </w:rPr>
        <w:t xml:space="preserve"> </w:t>
      </w:r>
      <w:r w:rsidRPr="003667EC">
        <w:rPr>
          <w:color w:val="000000"/>
          <w:lang w:val="es-ES_tradnl"/>
        </w:rPr>
        <w:t>conforme al Cuadro de atribución de bandas de frecuencias. En este sentido, se aplican las reglas siguientes:</w:t>
      </w:r>
    </w:p>
    <w:p w14:paraId="36016F63" w14:textId="77777777" w:rsidR="00997054" w:rsidRDefault="00997054" w:rsidP="00F064A9">
      <w:pPr>
        <w:rPr>
          <w:color w:val="000000"/>
          <w:lang w:val="es-ES_tradnl"/>
        </w:rPr>
        <w:sectPr w:rsidR="00997054" w:rsidSect="00E41FDD">
          <w:headerReference w:type="even" r:id="rId14"/>
          <w:footnotePr>
            <w:pos w:val="beneathText"/>
            <w:numFmt w:val="chicago"/>
          </w:footnotePr>
          <w:pgSz w:w="11907" w:h="16840" w:code="9"/>
          <w:pgMar w:top="1701" w:right="851" w:bottom="1134" w:left="1985" w:header="720" w:footer="482" w:gutter="0"/>
          <w:cols w:space="720"/>
          <w:vAlign w:val="both"/>
        </w:sectPr>
      </w:pPr>
    </w:p>
    <w:p w14:paraId="701AEEF2" w14:textId="77777777" w:rsidR="00F064A9" w:rsidRPr="003667EC" w:rsidRDefault="00F064A9" w:rsidP="00F064A9">
      <w:pPr>
        <w:rPr>
          <w:color w:val="000000"/>
          <w:lang w:val="es-ES_tradnl"/>
        </w:rPr>
      </w:pPr>
      <w:r w:rsidRPr="003667EC">
        <w:rPr>
          <w:color w:val="000000"/>
          <w:lang w:val="es-ES_tradnl"/>
        </w:rPr>
        <w:lastRenderedPageBreak/>
        <w:t>5.1</w:t>
      </w:r>
      <w:r w:rsidRPr="003667EC">
        <w:rPr>
          <w:color w:val="000000"/>
          <w:lang w:val="es-ES_tradnl"/>
        </w:rPr>
        <w:tab/>
      </w:r>
      <w:r w:rsidRPr="003667EC">
        <w:rPr>
          <w:i/>
          <w:color w:val="000000"/>
          <w:lang w:val="es-ES_tradnl"/>
        </w:rPr>
        <w:t>Emisiones fuera de banda</w:t>
      </w:r>
      <w:r w:rsidRPr="003667EC">
        <w:rPr>
          <w:color w:val="000000"/>
          <w:lang w:val="es-ES_tradnl"/>
        </w:rPr>
        <w:t>: En el caso de que la frecuencia asignada esté en una banda no atribuida al servicio en el que funciona la estación, la notificación será objeto de una conclusión reglamentaria desfavorable, Si la frecuencia asignada se encuentra en el límite de una banda no atribuida al servicio, la conclusión también es desfavorable.</w:t>
      </w:r>
    </w:p>
    <w:p w14:paraId="544DACC7" w14:textId="77777777" w:rsidR="00F064A9" w:rsidRPr="003667EC" w:rsidRDefault="00F064A9" w:rsidP="00F064A9">
      <w:pPr>
        <w:rPr>
          <w:color w:val="000000"/>
          <w:lang w:val="es-ES_tradnl"/>
        </w:rPr>
      </w:pPr>
      <w:r w:rsidRPr="003667EC">
        <w:rPr>
          <w:color w:val="000000"/>
          <w:lang w:val="es-ES_tradnl"/>
        </w:rPr>
        <w:t>5.2</w:t>
      </w:r>
      <w:r w:rsidRPr="003667EC">
        <w:rPr>
          <w:color w:val="000000"/>
          <w:lang w:val="es-ES_tradnl"/>
        </w:rPr>
        <w:tab/>
      </w:r>
      <w:r w:rsidRPr="003667EC">
        <w:rPr>
          <w:i/>
          <w:color w:val="000000"/>
          <w:lang w:val="es-ES_tradnl"/>
        </w:rPr>
        <w:t>Emisiones superpuestas</w:t>
      </w:r>
      <w:r w:rsidRPr="003667EC">
        <w:rPr>
          <w:color w:val="000000"/>
          <w:lang w:val="es-ES_tradnl"/>
        </w:rPr>
        <w:t>: En el caso de que la frecuencia asignada esté en la banda atribuida al servicio, pero la anchura de banda necesaria se solape a la banda inmediatamente adjunta, no estando ésta atribuida al servicio, la notificación es motivo de una conclusión reglamentaria desfavorable.</w:t>
      </w:r>
    </w:p>
    <w:p w14:paraId="42EA39AA" w14:textId="77777777" w:rsidR="00F064A9" w:rsidRPr="003667EC" w:rsidRDefault="00F064A9" w:rsidP="00F064A9">
      <w:pPr>
        <w:rPr>
          <w:color w:val="000000"/>
          <w:lang w:val="es-ES_tradnl"/>
        </w:rPr>
      </w:pPr>
      <w:r w:rsidRPr="003667EC">
        <w:rPr>
          <w:color w:val="000000"/>
          <w:lang w:val="es-ES_tradnl"/>
        </w:rPr>
        <w:t>5.3</w:t>
      </w:r>
      <w:r w:rsidRPr="003667EC">
        <w:rPr>
          <w:color w:val="000000"/>
          <w:lang w:val="es-ES_tradnl"/>
        </w:rPr>
        <w:tab/>
      </w:r>
      <w:r w:rsidRPr="003667EC">
        <w:rPr>
          <w:i/>
          <w:color w:val="000000"/>
          <w:lang w:val="es-ES_tradnl"/>
        </w:rPr>
        <w:t>Punto de recepción de un servicio terrenal en una región en donde no está atribuido el servicio</w:t>
      </w:r>
      <w:r w:rsidRPr="003667EC">
        <w:rPr>
          <w:color w:val="000000"/>
          <w:lang w:val="es-ES_tradnl"/>
        </w:rPr>
        <w:t>: En el caso de un circuito cuyo punto de transmisión esté situado en un país, subregión o región en que esté atribuida la frecuencia al servicio, pero en el que no está el punto de recepción, se emitirá una conclusión reglamentaria desfavorable.</w:t>
      </w:r>
    </w:p>
    <w:p w14:paraId="2EB313C3" w14:textId="77777777" w:rsidR="00F064A9" w:rsidRPr="003667EC" w:rsidRDefault="00F064A9" w:rsidP="00F064A9">
      <w:pPr>
        <w:rPr>
          <w:color w:val="000000"/>
          <w:lang w:val="es-ES_tradnl"/>
        </w:rPr>
      </w:pPr>
      <w:r w:rsidRPr="003667EC">
        <w:rPr>
          <w:color w:val="000000"/>
          <w:lang w:val="es-ES_tradnl"/>
        </w:rPr>
        <w:t>5.4</w:t>
      </w:r>
      <w:r w:rsidRPr="003667EC">
        <w:rPr>
          <w:b/>
          <w:color w:val="000000"/>
          <w:lang w:val="es-ES_tradnl"/>
        </w:rPr>
        <w:tab/>
      </w:r>
      <w:r w:rsidRPr="003667EC">
        <w:rPr>
          <w:color w:val="000000"/>
          <w:lang w:val="es-ES_tradnl"/>
        </w:rPr>
        <w:t xml:space="preserve">La relación entre la administración notificante y el territorio en el que está situada la estación se comenta en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(Rev.CMR-97)</w:t>
      </w:r>
      <w:r w:rsidRPr="003667EC">
        <w:rPr>
          <w:color w:val="000000"/>
          <w:lang w:val="es-ES_tradnl"/>
        </w:rPr>
        <w:t xml:space="preserve"> (véanse también los comentarios de las Reglas de Procedimiento referentes al número </w:t>
      </w:r>
      <w:r w:rsidRPr="003667EC">
        <w:rPr>
          <w:rStyle w:val="Artref"/>
          <w:b/>
          <w:color w:val="000000"/>
          <w:lang w:val="es-ES_tradnl"/>
        </w:rPr>
        <w:t>9.3</w:t>
      </w:r>
      <w:r w:rsidRPr="003667EC">
        <w:rPr>
          <w:color w:val="000000"/>
          <w:lang w:val="es-ES_tradnl"/>
        </w:rPr>
        <w:t xml:space="preserve"> y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w:t>
      </w:r>
      <w:r w:rsidRPr="003667EC">
        <w:rPr>
          <w:b/>
          <w:color w:val="000000"/>
          <w:lang w:val="es-ES_tradnl"/>
        </w:rPr>
        <w:noBreakHyphen/>
        <w:t>97)</w:t>
      </w:r>
      <w:r w:rsidRPr="003667EC">
        <w:rPr>
          <w:color w:val="000000"/>
          <w:lang w:val="es-ES_tradnl"/>
        </w:rPr>
        <w:t>). La notificación de las asignaciones de frecuencia a las estaciones espaciales plantea las preguntas siguientes:</w:t>
      </w:r>
    </w:p>
    <w:p w14:paraId="2709F3FC"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entre el territorio de la administración notificante y la posición orbital de una estación espacial en el caso de asignaciones mundiales?</w:t>
      </w:r>
    </w:p>
    <w:p w14:paraId="43E1E3B6"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de ese tipo en el caso de asignaciones regionales o de asigna</w:t>
      </w:r>
      <w:r w:rsidR="009A2F2C" w:rsidRPr="003667EC">
        <w:rPr>
          <w:color w:val="000000"/>
          <w:lang w:val="es-ES_tradnl"/>
        </w:rPr>
        <w:softHyphen/>
      </w:r>
      <w:r w:rsidRPr="003667EC">
        <w:rPr>
          <w:color w:val="000000"/>
          <w:lang w:val="es-ES_tradnl"/>
        </w:rPr>
        <w:t>ciones a un grupo de países o países distintos?</w:t>
      </w:r>
    </w:p>
    <w:p w14:paraId="4BE99CCD" w14:textId="77777777" w:rsidR="00F064A9" w:rsidRPr="003667EC" w:rsidRDefault="00F064A9" w:rsidP="00F064A9">
      <w:pPr>
        <w:rPr>
          <w:lang w:val="es-ES_tradnl"/>
        </w:rPr>
      </w:pPr>
      <w:r w:rsidRPr="003667EC">
        <w:rPr>
          <w:lang w:val="es-ES_tradnl"/>
        </w:rPr>
        <w:t>En respuesta a estas preguntas, la Junta llegó a las siguientes conclusiones:</w:t>
      </w:r>
    </w:p>
    <w:p w14:paraId="5C313C96" w14:textId="77777777" w:rsidR="00F064A9" w:rsidRPr="003667EC" w:rsidRDefault="00F064A9" w:rsidP="00F064A9">
      <w:pPr>
        <w:pStyle w:val="enumlev1"/>
        <w:rPr>
          <w:color w:val="000000"/>
          <w:lang w:val="es-ES_tradnl"/>
        </w:rPr>
      </w:pPr>
      <w:r w:rsidRPr="003667EC">
        <w:rPr>
          <w:i/>
          <w:color w:val="000000"/>
          <w:lang w:val="es-ES_tradnl"/>
        </w:rPr>
        <w:t>a)</w:t>
      </w:r>
      <w:r w:rsidRPr="003667EC">
        <w:rPr>
          <w:color w:val="000000"/>
          <w:lang w:val="es-ES_tradnl"/>
        </w:rPr>
        <w:tab/>
        <w:t>En el caso de las asignaciones mundiales sin restricción explícita en una disposición, toda administración puede notificar cualquier posición orbital y cualquier zona de servicio de cualquier parte de la Tierra que sea visible desde la estación espacial.</w:t>
      </w:r>
    </w:p>
    <w:p w14:paraId="67EE37B5" w14:textId="77777777" w:rsidR="00F064A9" w:rsidRPr="003667EC" w:rsidRDefault="00F064A9" w:rsidP="00F064A9">
      <w:pPr>
        <w:pStyle w:val="enumlev1"/>
        <w:rPr>
          <w:color w:val="000000"/>
          <w:lang w:val="es-ES_tradnl"/>
        </w:rPr>
      </w:pPr>
      <w:r w:rsidRPr="003667EC">
        <w:rPr>
          <w:i/>
          <w:color w:val="000000"/>
          <w:lang w:val="es-ES_tradnl"/>
        </w:rPr>
        <w:t>b)</w:t>
      </w:r>
      <w:r w:rsidRPr="003667EC">
        <w:rPr>
          <w:color w:val="000000"/>
          <w:lang w:val="es-ES_tradnl"/>
        </w:rPr>
        <w:tab/>
        <w:t>Cuando se hace una atribución con restricciones territoriales tales como la de la utili</w:t>
      </w:r>
      <w:r w:rsidR="009A2F2C" w:rsidRPr="003667EC">
        <w:rPr>
          <w:color w:val="000000"/>
          <w:lang w:val="es-ES_tradnl"/>
        </w:rPr>
        <w:softHyphen/>
      </w:r>
      <w:r w:rsidRPr="003667EC">
        <w:rPr>
          <w:color w:val="000000"/>
          <w:lang w:val="es-ES_tradnl"/>
        </w:rPr>
        <w:t>zación nacional, la zona de servicio debe limitarse a dicho territorio.</w:t>
      </w:r>
    </w:p>
    <w:p w14:paraId="38DC0634" w14:textId="77777777" w:rsidR="00F064A9" w:rsidRPr="003667EC" w:rsidRDefault="00F064A9" w:rsidP="007E3FFE">
      <w:pPr>
        <w:pStyle w:val="enumlev1"/>
        <w:rPr>
          <w:color w:val="000000"/>
          <w:lang w:val="es-ES_tradnl"/>
        </w:rPr>
      </w:pPr>
      <w:r w:rsidRPr="003667EC">
        <w:rPr>
          <w:i/>
          <w:color w:val="000000"/>
          <w:lang w:val="es-ES_tradnl"/>
        </w:rPr>
        <w:t>c)</w:t>
      </w:r>
      <w:r w:rsidRPr="003667EC">
        <w:rPr>
          <w:color w:val="000000"/>
          <w:lang w:val="es-ES_tradnl"/>
        </w:rPr>
        <w:tab/>
        <w:t>En el caso de una atribución regional en que los límites que separan las tres Regiones no se refieren a la órbita de los satélites geoestacionarios, no se toma en consideración la posición orbital al determinar si se respeta la atribución regional; sólo se utiliza la zona de servicio para formular una conclusión; y esta conclusión es favorable si la zona de servicio está situada totalmente en la Región a la que se hace la atribución, y será desfavorable en caso contrario. Cuando no figure restricción explícita alguna en una disposición, toda administración, perteneciente o no a la Región a la que se hace la atribución, puede notificar cualquier posición orbital y cualquier zona de servicio de la Región a la que se hace la atribución.</w:t>
      </w:r>
    </w:p>
    <w:p w14:paraId="6BE6BE7F" w14:textId="77777777" w:rsidR="008036F8" w:rsidRDefault="008036F8" w:rsidP="00141CA8">
      <w:pPr>
        <w:pStyle w:val="enumlev1"/>
        <w:rPr>
          <w:i/>
          <w:color w:val="000000"/>
          <w:lang w:val="es-ES_tradnl"/>
        </w:rPr>
      </w:pPr>
      <w:r>
        <w:rPr>
          <w:i/>
          <w:color w:val="000000"/>
          <w:lang w:val="es-ES_tradnl"/>
        </w:rPr>
        <w:br w:type="page"/>
      </w:r>
    </w:p>
    <w:p w14:paraId="0E270487" w14:textId="77777777" w:rsidR="00141CA8" w:rsidRPr="003667EC" w:rsidRDefault="00141CA8" w:rsidP="00141CA8">
      <w:pPr>
        <w:pStyle w:val="enumlev1"/>
        <w:rPr>
          <w:color w:val="000000"/>
          <w:lang w:val="es-ES_tradnl"/>
        </w:rPr>
      </w:pPr>
      <w:r w:rsidRPr="003667EC">
        <w:rPr>
          <w:i/>
          <w:color w:val="000000"/>
          <w:lang w:val="es-ES_tradnl"/>
        </w:rPr>
        <w:lastRenderedPageBreak/>
        <w:t>d)</w:t>
      </w:r>
      <w:r w:rsidRPr="003667EC">
        <w:rPr>
          <w:color w:val="000000"/>
          <w:lang w:val="es-ES_tradnl"/>
        </w:rPr>
        <w:tab/>
        <w:t xml:space="preserve">El </w:t>
      </w:r>
      <w:r w:rsidRPr="003667EC">
        <w:rPr>
          <w:i/>
          <w:color w:val="000000"/>
          <w:lang w:val="es-ES_tradnl"/>
        </w:rPr>
        <w:t>c)</w:t>
      </w:r>
      <w:r w:rsidRPr="003667EC">
        <w:rPr>
          <w:color w:val="000000"/>
          <w:lang w:val="es-ES_tradnl"/>
        </w:rPr>
        <w:t xml:space="preserve"> anterior se aplica igualmente a las atribuciones hechas a una subregión o a un país.</w:t>
      </w:r>
    </w:p>
    <w:p w14:paraId="09E56239" w14:textId="77777777" w:rsidR="00141CA8" w:rsidRPr="003667EC" w:rsidRDefault="00141CA8" w:rsidP="00E52D87">
      <w:pPr>
        <w:pStyle w:val="enumlev1"/>
        <w:rPr>
          <w:color w:val="000000"/>
          <w:lang w:val="es-ES_tradnl"/>
        </w:rPr>
      </w:pPr>
      <w:r w:rsidRPr="003667EC">
        <w:rPr>
          <w:i/>
          <w:color w:val="000000"/>
          <w:lang w:val="es-ES_tradnl"/>
        </w:rPr>
        <w:t>e)</w:t>
      </w:r>
      <w:r w:rsidRPr="003667EC">
        <w:rPr>
          <w:color w:val="000000"/>
          <w:lang w:val="es-ES_tradnl"/>
        </w:rPr>
        <w:tab/>
        <w:t xml:space="preserve">Como se indica en </w:t>
      </w:r>
      <w:r w:rsidRPr="003667EC">
        <w:rPr>
          <w:i/>
          <w:color w:val="000000"/>
          <w:lang w:val="es-ES_tradnl"/>
        </w:rPr>
        <w:t>c)</w:t>
      </w:r>
      <w:r w:rsidRPr="003667EC">
        <w:rPr>
          <w:color w:val="000000"/>
          <w:lang w:val="es-ES_tradnl"/>
        </w:rPr>
        <w:t xml:space="preserve"> y </w:t>
      </w:r>
      <w:r w:rsidRPr="003667EC">
        <w:rPr>
          <w:i/>
          <w:color w:val="000000"/>
          <w:lang w:val="es-ES_tradnl"/>
        </w:rPr>
        <w:t>d)</w:t>
      </w:r>
      <w:r w:rsidRPr="003667EC">
        <w:rPr>
          <w:color w:val="000000"/>
          <w:lang w:val="es-ES_tradnl"/>
        </w:rPr>
        <w:t xml:space="preserve"> anteriores, la zona de servicio notificada por una adminis</w:t>
      </w:r>
      <w:r w:rsidR="00437E8C" w:rsidRPr="003667EC">
        <w:rPr>
          <w:color w:val="000000"/>
          <w:lang w:val="es-ES_tradnl"/>
        </w:rPr>
        <w:softHyphen/>
      </w:r>
      <w:r w:rsidRPr="003667EC">
        <w:rPr>
          <w:color w:val="000000"/>
          <w:lang w:val="es-ES_tradnl"/>
        </w:rPr>
        <w:t>tración no es necesariamente el territorio de la administración notificante. Cuando la zona de servicio notificada abarca total o parcialmente el territorio de otra administración, se considera (a menos que indique lo contrario una administración que no lo acepte) que existe un acuerdo entre las administraciones interesadas. Si, a raíz de la publicación de</w:t>
      </w:r>
      <w:r w:rsidR="00E52D87">
        <w:rPr>
          <w:color w:val="000000"/>
          <w:lang w:val="es-ES_tradnl"/>
        </w:rPr>
        <w:t xml:space="preserve"> </w:t>
      </w:r>
      <w:r w:rsidRPr="003667EC">
        <w:rPr>
          <w:color w:val="000000"/>
          <w:lang w:val="es-ES_tradnl"/>
        </w:rPr>
        <w:t>una asignación en la BR IFIC, una administración reclama contra la zona de servicio notificada, la Oficina informa a la administración notificante de los comentarios recibidos y modifica la zona de servicio únicamente si la administración notificante se lo pide.</w:t>
      </w:r>
    </w:p>
    <w:p w14:paraId="3FF5DA82" w14:textId="77777777" w:rsidR="00141CA8" w:rsidRPr="003667EC" w:rsidRDefault="00141CA8" w:rsidP="00141CA8">
      <w:pPr>
        <w:pStyle w:val="enumlev1"/>
        <w:rPr>
          <w:color w:val="000000"/>
          <w:lang w:val="es-ES_tradnl"/>
        </w:rPr>
      </w:pPr>
      <w:r w:rsidRPr="003667EC">
        <w:rPr>
          <w:i/>
          <w:color w:val="000000"/>
          <w:lang w:val="es-ES_tradnl"/>
        </w:rPr>
        <w:t>f</w:t>
      </w:r>
      <w:r w:rsidRPr="003667EC">
        <w:rPr>
          <w:rFonts w:ascii="Tms Rmn" w:hAnsi="Tms Rmn"/>
          <w:iCs/>
          <w:color w:val="000000"/>
          <w:sz w:val="12"/>
          <w:lang w:val="es-ES_tradnl"/>
        </w:rPr>
        <w:t> </w:t>
      </w:r>
      <w:r w:rsidRPr="003667EC">
        <w:rPr>
          <w:i/>
          <w:color w:val="000000"/>
          <w:lang w:val="es-ES_tradnl"/>
        </w:rPr>
        <w:t>)</w:t>
      </w:r>
      <w:r w:rsidRPr="003667EC">
        <w:rPr>
          <w:color w:val="000000"/>
          <w:lang w:val="es-ES_tradnl"/>
        </w:rPr>
        <w:tab/>
        <w:t xml:space="preserve">La estación espacial tiene una </w:t>
      </w:r>
      <w:r w:rsidRPr="00402C5C">
        <w:rPr>
          <w:i/>
          <w:iCs/>
          <w:color w:val="000000"/>
          <w:lang w:val="es-ES_tradnl"/>
        </w:rPr>
        <w:t xml:space="preserve">«zona de cobertura» </w:t>
      </w:r>
      <w:r w:rsidRPr="003667EC">
        <w:rPr>
          <w:color w:val="000000"/>
          <w:lang w:val="es-ES_tradnl"/>
        </w:rPr>
        <w:t xml:space="preserve">que generalmente comprende la </w:t>
      </w:r>
      <w:r w:rsidRPr="00402C5C">
        <w:rPr>
          <w:i/>
          <w:iCs/>
          <w:color w:val="000000"/>
          <w:lang w:val="es-ES_tradnl"/>
        </w:rPr>
        <w:t>«zona de servicio»</w:t>
      </w:r>
      <w:r w:rsidRPr="003667EC">
        <w:rPr>
          <w:color w:val="000000"/>
          <w:lang w:val="es-ES_tradnl"/>
        </w:rPr>
        <w:t xml:space="preserve">. Aunque el Artículo </w:t>
      </w:r>
      <w:r w:rsidRPr="003667EC">
        <w:rPr>
          <w:rStyle w:val="Artref"/>
          <w:b/>
          <w:color w:val="000000"/>
          <w:lang w:val="es-ES_tradnl"/>
        </w:rPr>
        <w:t>1</w:t>
      </w:r>
      <w:r w:rsidRPr="003667EC">
        <w:rPr>
          <w:color w:val="000000"/>
          <w:lang w:val="es-ES_tradnl"/>
        </w:rPr>
        <w:t xml:space="preserve"> no da una definición de estos términos, se pueden utilizar las definiciones que figuran en el Anexo 5 al Apéndice </w:t>
      </w:r>
      <w:r w:rsidRPr="003667EC">
        <w:rPr>
          <w:rStyle w:val="Appref"/>
          <w:b/>
          <w:color w:val="000000"/>
          <w:lang w:val="es-ES_tradnl"/>
        </w:rPr>
        <w:t>30</w:t>
      </w:r>
      <w:r w:rsidRPr="003667EC">
        <w:rPr>
          <w:color w:val="000000"/>
          <w:lang w:val="es-ES_tradnl"/>
        </w:rPr>
        <w:t xml:space="preserve">. En general, la zona de cobertura provoca una transmisión inevitable al territorio de otros países, y los comentarios formulados en </w:t>
      </w:r>
      <w:r w:rsidRPr="003667EC">
        <w:rPr>
          <w:i/>
          <w:color w:val="000000"/>
          <w:lang w:val="es-ES_tradnl"/>
        </w:rPr>
        <w:t>e)</w:t>
      </w:r>
      <w:r w:rsidRPr="003667EC">
        <w:rPr>
          <w:color w:val="000000"/>
          <w:lang w:val="es-ES_tradnl"/>
        </w:rPr>
        <w:t xml:space="preserve"> anterior no se aplican a dicha superposición.</w:t>
      </w:r>
    </w:p>
    <w:p w14:paraId="55CC70BC" w14:textId="77777777" w:rsidR="00141CA8" w:rsidRPr="003667EC" w:rsidRDefault="00141CA8" w:rsidP="00141CA8">
      <w:pPr>
        <w:rPr>
          <w:color w:val="000000"/>
          <w:lang w:val="es-ES_tradnl"/>
        </w:rPr>
      </w:pPr>
      <w:r w:rsidRPr="003667EC">
        <w:rPr>
          <w:color w:val="000000"/>
          <w:lang w:val="es-ES_tradnl"/>
        </w:rPr>
        <w:t>5.5</w:t>
      </w:r>
      <w:r w:rsidRPr="003667EC">
        <w:rPr>
          <w:color w:val="000000"/>
          <w:lang w:val="es-ES_tradnl"/>
        </w:rPr>
        <w:tab/>
      </w:r>
      <w:r w:rsidRPr="003667EC">
        <w:rPr>
          <w:i/>
          <w:color w:val="000000"/>
          <w:lang w:val="es-ES_tradnl"/>
        </w:rPr>
        <w:t>Categorías de atribución</w:t>
      </w:r>
      <w:r w:rsidRPr="003667EC">
        <w:rPr>
          <w:color w:val="000000"/>
          <w:lang w:val="es-ES_tradnl"/>
        </w:rPr>
        <w:t>: En el caso en que la anchura de banda asignada se superponga con dos bandas de frecuencias atribuidas al servicio en cuestión, con distintas categorías de atribución, la conclusión reglamentaria favorable vendrá acompañada de una indicación sobre la categoría derivada de la más baja de las dos categorías de atribución.</w:t>
      </w:r>
    </w:p>
    <w:p w14:paraId="1F0DCF64" w14:textId="77777777" w:rsidR="00141CA8" w:rsidRPr="003667EC" w:rsidRDefault="00141CA8" w:rsidP="00437E8C">
      <w:pPr>
        <w:rPr>
          <w:color w:val="000000"/>
          <w:lang w:val="es-ES_tradnl"/>
        </w:rPr>
      </w:pPr>
      <w:r w:rsidRPr="003667EC">
        <w:rPr>
          <w:color w:val="000000"/>
          <w:lang w:val="es-ES_tradnl"/>
        </w:rPr>
        <w:t>5.6</w:t>
      </w:r>
      <w:r w:rsidRPr="003667EC">
        <w:rPr>
          <w:color w:val="000000"/>
          <w:lang w:val="es-ES_tradnl"/>
        </w:rPr>
        <w:tab/>
      </w:r>
      <w:r w:rsidRPr="003667EC">
        <w:rPr>
          <w:i/>
          <w:color w:val="000000"/>
          <w:lang w:val="es-ES_tradnl"/>
        </w:rPr>
        <w:t>Bandas de radiodifusión de la Zona Tropical</w:t>
      </w:r>
      <w:r w:rsidRPr="003667EC">
        <w:rPr>
          <w:color w:val="000000"/>
          <w:lang w:val="es-ES_tradnl"/>
        </w:rPr>
        <w:t>: Las bandas de frecuencia enume</w:t>
      </w:r>
      <w:r w:rsidRPr="003667EC">
        <w:rPr>
          <w:color w:val="000000"/>
          <w:lang w:val="es-ES_tradnl"/>
        </w:rPr>
        <w:softHyphen/>
        <w:t xml:space="preserve">radas en el número </w:t>
      </w:r>
      <w:r w:rsidRPr="003667EC">
        <w:rPr>
          <w:rStyle w:val="Artref"/>
          <w:b/>
          <w:color w:val="000000"/>
          <w:lang w:val="es-ES_tradnl"/>
        </w:rPr>
        <w:t>23.6</w:t>
      </w:r>
      <w:r w:rsidRPr="003667EC">
        <w:rPr>
          <w:color w:val="000000"/>
          <w:lang w:val="es-ES_tradnl"/>
        </w:rPr>
        <w:t xml:space="preserve"> están atribuidas con carácter compartido a la radiodifusión de la Zona Tropical y a los servicios fijo y móvil (véase también el número </w:t>
      </w:r>
      <w:r w:rsidRPr="003667EC">
        <w:rPr>
          <w:rStyle w:val="Artref"/>
          <w:b/>
          <w:color w:val="000000"/>
          <w:lang w:val="es-ES_tradnl"/>
        </w:rPr>
        <w:t>5.113</w:t>
      </w:r>
      <w:r w:rsidRPr="003667EC">
        <w:rPr>
          <w:color w:val="000000"/>
          <w:lang w:val="es-ES_tradnl"/>
        </w:rPr>
        <w:t>). En la Zona Tropical (números </w:t>
      </w:r>
      <w:r w:rsidRPr="003667EC">
        <w:rPr>
          <w:rStyle w:val="Artref"/>
          <w:b/>
          <w:color w:val="000000"/>
          <w:lang w:val="es-ES_tradnl"/>
        </w:rPr>
        <w:t xml:space="preserve">5.16 </w:t>
      </w:r>
      <w:r w:rsidRPr="003667EC">
        <w:rPr>
          <w:color w:val="000000"/>
          <w:lang w:val="es-ES_tradnl"/>
        </w:rPr>
        <w:t xml:space="preserve">a </w:t>
      </w:r>
      <w:r w:rsidRPr="003667EC">
        <w:rPr>
          <w:rStyle w:val="Artref"/>
          <w:b/>
          <w:color w:val="000000"/>
          <w:lang w:val="es-ES_tradnl"/>
        </w:rPr>
        <w:t>5.21</w:t>
      </w:r>
      <w:r w:rsidRPr="003667EC">
        <w:rPr>
          <w:color w:val="000000"/>
          <w:lang w:val="es-ES_tradnl"/>
        </w:rPr>
        <w:t>) el servicio de radiodifusión puede tener prioridad respecto a otros servicios en estas bandas de frecuencia y las asignaciones de frecuencia a servicios distintos del de radiodifusión se indican para que quede claro su situación inferior respecto a las asignaciones de frecuencia a estaciones del servicio de radiodifusión, en tanto que mantienen su condición respecto a las asignaciones distintas de la radiodifusión dentro y fuera de la Zona Tropical (símbolo V en la columna 13B2).</w:t>
      </w:r>
    </w:p>
    <w:p w14:paraId="6FD9E2CD" w14:textId="77777777" w:rsidR="00141CA8" w:rsidRPr="003667EC" w:rsidRDefault="00141CA8" w:rsidP="00141CA8">
      <w:pPr>
        <w:rPr>
          <w:color w:val="000000"/>
          <w:lang w:val="es-ES_tradnl"/>
        </w:rPr>
      </w:pPr>
      <w:r w:rsidRPr="003667EC">
        <w:rPr>
          <w:color w:val="000000"/>
          <w:lang w:val="es-ES_tradnl"/>
        </w:rPr>
        <w:t>6</w:t>
      </w:r>
      <w:r w:rsidRPr="003667EC">
        <w:rPr>
          <w:color w:val="000000"/>
          <w:lang w:val="es-ES_tradnl"/>
        </w:rPr>
        <w:tab/>
        <w:t xml:space="preserve">El examen conforme al número </w:t>
      </w:r>
      <w:r w:rsidRPr="003667EC">
        <w:rPr>
          <w:rStyle w:val="Artref"/>
          <w:b/>
          <w:color w:val="000000"/>
          <w:lang w:val="es-ES_tradnl"/>
        </w:rPr>
        <w:t>11.31</w:t>
      </w:r>
      <w:r w:rsidRPr="003667EC">
        <w:rPr>
          <w:color w:val="000000"/>
          <w:lang w:val="es-ES_tradnl"/>
        </w:rPr>
        <w:t xml:space="preserve"> relativo a la aplicación satisfactoria del número </w:t>
      </w:r>
      <w:r w:rsidRPr="003667EC">
        <w:rPr>
          <w:rStyle w:val="Artref"/>
          <w:b/>
          <w:bCs/>
          <w:color w:val="000000"/>
          <w:lang w:val="es-ES_tradnl"/>
        </w:rPr>
        <w:t>9.21</w:t>
      </w:r>
      <w:r w:rsidRPr="003667EC">
        <w:rPr>
          <w:color w:val="000000"/>
          <w:lang w:val="es-ES_tradnl"/>
        </w:rPr>
        <w:t xml:space="preserve"> se efectuará por tanto sobre la base de la información acerca del estado del acuerdo de coordinación de que disponga la Oficina en el procedimiento de notificación.</w:t>
      </w:r>
    </w:p>
    <w:p w14:paraId="14DECA83" w14:textId="20DCFFA9" w:rsidR="00141CA8" w:rsidRDefault="00141CA8" w:rsidP="00141CA8">
      <w:pPr>
        <w:rPr>
          <w:color w:val="000000"/>
          <w:lang w:val="es-ES_tradnl"/>
        </w:rPr>
      </w:pPr>
      <w:r w:rsidRPr="003667EC">
        <w:rPr>
          <w:color w:val="000000"/>
          <w:lang w:val="es-ES_tradnl"/>
        </w:rPr>
        <w:t>7</w:t>
      </w:r>
      <w:r w:rsidRPr="003667EC">
        <w:rPr>
          <w:b/>
          <w:color w:val="000000"/>
          <w:lang w:val="es-ES_tradnl"/>
        </w:rPr>
        <w:tab/>
      </w:r>
      <w:r w:rsidRPr="003667EC">
        <w:rPr>
          <w:color w:val="000000"/>
          <w:lang w:val="es-ES_tradnl"/>
        </w:rPr>
        <w:t xml:space="preserve">El examen previsto en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puede dar lugar a ciertos casos en que los límites estipulados en dichos Artículos sean sobrepasados. Cuando se prevea un acuerdo de otras administraciones, la Oficina formulará una conclusión favorable (número </w:t>
      </w:r>
      <w:r w:rsidRPr="003667EC">
        <w:rPr>
          <w:rStyle w:val="Artref"/>
          <w:b/>
          <w:color w:val="000000"/>
          <w:lang w:val="es-ES_tradnl"/>
        </w:rPr>
        <w:t>11.31</w:t>
      </w:r>
      <w:r w:rsidRPr="003667EC">
        <w:rPr>
          <w:color w:val="000000"/>
          <w:lang w:val="es-ES_tradnl"/>
        </w:rPr>
        <w:t>) solamente cuando se la informe de que existe tal acuerdo. La Oficina trata este acuerdo separadamente del acuerdo de coordinación.</w:t>
      </w:r>
    </w:p>
    <w:p w14:paraId="2DC33962" w14:textId="77777777" w:rsidR="003155E4" w:rsidRDefault="003155E4" w:rsidP="00141CA8">
      <w:pPr>
        <w:rPr>
          <w:color w:val="000000"/>
          <w:lang w:val="es-ES_tradnl"/>
        </w:rPr>
      </w:pPr>
    </w:p>
    <w:p w14:paraId="5769E075" w14:textId="77777777" w:rsidR="006E128E" w:rsidRDefault="006E128E" w:rsidP="00141CA8">
      <w:pPr>
        <w:rPr>
          <w:color w:val="000000"/>
          <w:lang w:val="es-ES_tradnl"/>
        </w:rPr>
        <w:sectPr w:rsidR="006E128E" w:rsidSect="00007AA8">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6F8FA640" w14:textId="00A3F647" w:rsidR="003155E4" w:rsidRPr="003155E4" w:rsidRDefault="003155E4" w:rsidP="003155E4">
      <w:pPr>
        <w:rPr>
          <w:lang w:val="es-ES"/>
        </w:rPr>
      </w:pPr>
      <w:r w:rsidRPr="003155E4">
        <w:rPr>
          <w:lang w:val="es-ES"/>
        </w:rPr>
        <w:lastRenderedPageBreak/>
        <w:t>8</w:t>
      </w:r>
      <w:r w:rsidRPr="003155E4">
        <w:rPr>
          <w:lang w:val="es-ES"/>
        </w:rPr>
        <w:tab/>
        <w:t>Para realizar el examen de la conformidad con los límites de potencia, incluidos los límites de densidad de flujo de potencia y los límites de p.i.r.e., la Junta observó que se utilizan las características de transmisión definidas en el nivel de emisión de la asignación de frecuencias junto con las características de ganancia de las antenas correspondientes. Los niveles de potencia transmitida se obtienen a partir de los puntos C.8.a.1/C.8.b.1 del Apéndice </w:t>
      </w:r>
      <w:r w:rsidRPr="003155E4">
        <w:rPr>
          <w:b/>
          <w:bCs/>
          <w:lang w:val="es-ES"/>
        </w:rPr>
        <w:t>4</w:t>
      </w:r>
      <w:r w:rsidRPr="003155E4">
        <w:rPr>
          <w:lang w:val="es-ES"/>
        </w:rPr>
        <w:t xml:space="preserve"> – potencia envolvente pico máxima/total y los puntos C.8.a.2/C.8.b.2 – la densidad de potencia máxima. La Junta decidió que para calcular la potencia transmitida a efectos del examen con arreglo al número </w:t>
      </w:r>
      <w:r w:rsidRPr="003155E4">
        <w:rPr>
          <w:b/>
          <w:bCs/>
          <w:lang w:val="es-ES"/>
        </w:rPr>
        <w:t>11.31</w:t>
      </w:r>
      <w:r w:rsidRPr="003155E4">
        <w:rPr>
          <w:lang w:val="es-ES"/>
        </w:rPr>
        <w:t xml:space="preserve"> no podrían utilizarse otros puntos del Apéndice </w:t>
      </w:r>
      <w:r w:rsidRPr="003155E4">
        <w:rPr>
          <w:b/>
          <w:bCs/>
          <w:lang w:val="es-ES"/>
        </w:rPr>
        <w:t>4</w:t>
      </w:r>
      <w:r w:rsidRPr="003155E4">
        <w:rPr>
          <w:lang w:val="es-ES"/>
        </w:rPr>
        <w:t xml:space="preserve"> que indican la p.i.r.e. máxima o media del haz como valor único o en función del ángulo de elevación (puntos </w:t>
      </w:r>
      <w:r w:rsidRPr="00A805B4">
        <w:rPr>
          <w:lang w:val="es-ES"/>
        </w:rPr>
        <w:t>B.4.b.4.a</w:t>
      </w:r>
      <w:r w:rsidR="004962F1">
        <w:rPr>
          <w:lang w:val="es-ES"/>
        </w:rPr>
        <w:t>,</w:t>
      </w:r>
      <w:r w:rsidRPr="00A805B4">
        <w:rPr>
          <w:lang w:val="es-ES"/>
        </w:rPr>
        <w:t xml:space="preserve"> B.4.b.4.a</w:t>
      </w:r>
      <w:r w:rsidRPr="00A805B4">
        <w:rPr>
          <w:i/>
          <w:iCs/>
          <w:lang w:val="es-ES"/>
        </w:rPr>
        <w:t>bis</w:t>
      </w:r>
      <w:r w:rsidRPr="00A805B4">
        <w:rPr>
          <w:lang w:val="es-ES"/>
        </w:rPr>
        <w:t>, B.4.b.4.a</w:t>
      </w:r>
      <w:r w:rsidRPr="00A805B4">
        <w:rPr>
          <w:i/>
          <w:iCs/>
          <w:lang w:val="es-ES"/>
        </w:rPr>
        <w:t>ter</w:t>
      </w:r>
      <w:r w:rsidRPr="00A805B4">
        <w:rPr>
          <w:lang w:val="es-ES"/>
        </w:rPr>
        <w:t>, B.4.b.4.b, B.4.b.4.c, B.4.b.4.c</w:t>
      </w:r>
      <w:r w:rsidRPr="00A805B4">
        <w:rPr>
          <w:i/>
          <w:iCs/>
          <w:lang w:val="es-ES"/>
        </w:rPr>
        <w:t>bis</w:t>
      </w:r>
      <w:r w:rsidRPr="00A805B4">
        <w:rPr>
          <w:lang w:val="es-ES"/>
        </w:rPr>
        <w:t>, B.4.b.4.c</w:t>
      </w:r>
      <w:r w:rsidRPr="00A805B4">
        <w:rPr>
          <w:i/>
          <w:iCs/>
          <w:lang w:val="es-ES"/>
        </w:rPr>
        <w:t>ter</w:t>
      </w:r>
      <w:r w:rsidRPr="00A805B4">
        <w:rPr>
          <w:lang w:val="es-ES"/>
        </w:rPr>
        <w:t>, B.4.b.4.d)</w:t>
      </w:r>
      <w:r w:rsidRPr="003155E4">
        <w:rPr>
          <w:lang w:val="es-ES"/>
        </w:rPr>
        <w:t>. Ahora bien, las administraciones podrán utilizar esos datos al realizar la coordinación bilateral.</w:t>
      </w:r>
    </w:p>
    <w:p w14:paraId="05BD91ED" w14:textId="7E4C46F7" w:rsidR="003155E4" w:rsidRPr="003155E4" w:rsidRDefault="003155E4" w:rsidP="003155E4">
      <w:pPr>
        <w:rPr>
          <w:lang w:val="es-ES"/>
        </w:rPr>
      </w:pPr>
      <w:bookmarkStart w:id="0" w:name="_Hlk168064607"/>
      <w:r w:rsidRPr="003155E4">
        <w:rPr>
          <w:lang w:val="es-ES"/>
        </w:rPr>
        <w:t>9</w:t>
      </w:r>
      <w:r w:rsidRPr="003155E4">
        <w:rPr>
          <w:lang w:val="es-ES"/>
        </w:rPr>
        <w:tab/>
        <w:t>En los casos en que la red o el sistema de satélite que contiene las asignaciones de frecuencia al enlace de servicio (véase la información presentada en el punto A.1.c del Anexo 2 al Apéndice </w:t>
      </w:r>
      <w:r w:rsidRPr="003155E4">
        <w:rPr>
          <w:b/>
          <w:bCs/>
          <w:lang w:val="es-ES"/>
        </w:rPr>
        <w:t>4</w:t>
      </w:r>
      <w:r w:rsidRPr="003155E4">
        <w:rPr>
          <w:lang w:val="es-ES"/>
        </w:rPr>
        <w:t>) no pertenezca a la misma administración notificante que las asignaciones de frecuencia al enlace de conexión y la administración notificante de la red o el sistema de satélite que contiene el enlace de servicio no esté de acuerdo con dicha utilización, la Junta decidió que esta última administración informará a la administración notificante del enlace de conexión y a la Oficina. Una vez recibida dicha información y en ausencia de información contraria, la Oficina revisará la conclusión de las asignaciones de frecuencias al enlace de conexión con arreglo al número </w:t>
      </w:r>
      <w:r w:rsidRPr="003155E4">
        <w:rPr>
          <w:b/>
          <w:bCs/>
          <w:lang w:val="es-ES"/>
        </w:rPr>
        <w:t>11.31</w:t>
      </w:r>
      <w:r w:rsidR="00D448F7">
        <w:rPr>
          <w:lang w:val="es-ES"/>
        </w:rPr>
        <w:t>.</w:t>
      </w:r>
    </w:p>
    <w:bookmarkEnd w:id="0"/>
    <w:p w14:paraId="1D77D187" w14:textId="77777777" w:rsidR="003155E4" w:rsidRDefault="003155E4" w:rsidP="00141CA8">
      <w:pPr>
        <w:rPr>
          <w:color w:val="000000"/>
          <w:lang w:val="es-ES_tradnl"/>
        </w:rPr>
      </w:pPr>
    </w:p>
    <w:p w14:paraId="10C82535" w14:textId="77777777" w:rsidR="008D3F16" w:rsidRDefault="008D3F16" w:rsidP="00141CA8">
      <w:pPr>
        <w:rPr>
          <w:color w:val="000000"/>
          <w:lang w:val="es-ES_tradnl"/>
        </w:rPr>
      </w:pPr>
    </w:p>
    <w:p w14:paraId="01098B6A" w14:textId="77777777" w:rsidR="008D3F16" w:rsidRDefault="008D3F16" w:rsidP="00141CA8">
      <w:pPr>
        <w:rPr>
          <w:color w:val="000000"/>
          <w:lang w:val="es-ES_tradnl"/>
        </w:rPr>
      </w:pPr>
    </w:p>
    <w:p w14:paraId="45FD8021" w14:textId="77777777" w:rsidR="008D3F16" w:rsidRDefault="008D3F16" w:rsidP="00141CA8">
      <w:pPr>
        <w:rPr>
          <w:color w:val="000000"/>
          <w:lang w:val="es-ES_tradnl"/>
        </w:rPr>
      </w:pPr>
    </w:p>
    <w:p w14:paraId="32E11813" w14:textId="77777777" w:rsidR="008D3F16" w:rsidRDefault="008D3F16" w:rsidP="00141CA8">
      <w:pPr>
        <w:rPr>
          <w:color w:val="000000"/>
          <w:lang w:val="es-ES_tradnl"/>
        </w:rPr>
      </w:pPr>
    </w:p>
    <w:p w14:paraId="4A39152D" w14:textId="77777777" w:rsidR="008D3F16" w:rsidRDefault="008D3F16" w:rsidP="00141CA8">
      <w:pPr>
        <w:rPr>
          <w:color w:val="000000"/>
          <w:lang w:val="es-ES_tradnl"/>
        </w:rPr>
      </w:pPr>
    </w:p>
    <w:p w14:paraId="6DD8C03B" w14:textId="77777777" w:rsidR="008D3F16" w:rsidRDefault="008D3F16" w:rsidP="00141CA8">
      <w:pPr>
        <w:rPr>
          <w:color w:val="000000"/>
          <w:lang w:val="es-ES_tradnl"/>
        </w:rPr>
      </w:pPr>
    </w:p>
    <w:p w14:paraId="308EEC58" w14:textId="77777777" w:rsidR="008D3F16" w:rsidRDefault="008D3F16" w:rsidP="00141CA8">
      <w:pPr>
        <w:rPr>
          <w:color w:val="000000"/>
          <w:lang w:val="es-ES_tradnl"/>
        </w:rPr>
      </w:pPr>
    </w:p>
    <w:p w14:paraId="0A367EB1" w14:textId="77777777" w:rsidR="008D3F16" w:rsidRDefault="008D3F16" w:rsidP="00141CA8">
      <w:pPr>
        <w:rPr>
          <w:color w:val="000000"/>
          <w:lang w:val="es-ES_tradnl"/>
        </w:rPr>
      </w:pPr>
    </w:p>
    <w:p w14:paraId="0EC5EEEA" w14:textId="77777777" w:rsidR="008D3F16" w:rsidRDefault="008D3F16" w:rsidP="00141CA8">
      <w:pPr>
        <w:rPr>
          <w:color w:val="000000"/>
          <w:lang w:val="es-ES_tradnl"/>
        </w:rPr>
      </w:pPr>
    </w:p>
    <w:p w14:paraId="353EEE6F" w14:textId="77777777" w:rsidR="006E128E" w:rsidRDefault="006E128E" w:rsidP="00141CA8">
      <w:pPr>
        <w:rPr>
          <w:color w:val="000000"/>
          <w:lang w:val="es-ES_tradnl"/>
        </w:rPr>
      </w:pPr>
    </w:p>
    <w:p w14:paraId="2AD9D705" w14:textId="77777777" w:rsidR="006E128E" w:rsidRDefault="006E128E" w:rsidP="00141CA8">
      <w:pPr>
        <w:rPr>
          <w:color w:val="000000"/>
          <w:lang w:val="es-ES_tradnl"/>
        </w:rPr>
        <w:sectPr w:rsidR="006E128E" w:rsidSect="009B7147">
          <w:headerReference w:type="even" r:id="rId17"/>
          <w:footnotePr>
            <w:pos w:val="beneathText"/>
          </w:footnotePr>
          <w:type w:val="oddPage"/>
          <w:pgSz w:w="11907" w:h="16840" w:code="9"/>
          <w:pgMar w:top="1701" w:right="851" w:bottom="1134" w:left="1985" w:header="720" w:footer="482" w:gutter="0"/>
          <w:cols w:space="720"/>
          <w:vAlign w:val="both"/>
        </w:sectPr>
      </w:pPr>
    </w:p>
    <w:p w14:paraId="566F595D" w14:textId="77777777" w:rsidR="00A60C28" w:rsidRPr="003667EC" w:rsidRDefault="00A60C28">
      <w:pPr>
        <w:pStyle w:val="Heading8"/>
        <w:rPr>
          <w:color w:val="000000"/>
          <w:lang w:val="es-ES_tradnl"/>
        </w:rPr>
      </w:pPr>
      <w:r w:rsidRPr="003667EC">
        <w:rPr>
          <w:color w:val="000000"/>
          <w:lang w:val="es-ES_tradnl"/>
        </w:rPr>
        <w:lastRenderedPageBreak/>
        <w:t>11.32</w:t>
      </w:r>
    </w:p>
    <w:p w14:paraId="08C42EAA" w14:textId="77777777" w:rsidR="00D72BCF" w:rsidRPr="003667EC" w:rsidRDefault="00D72BCF" w:rsidP="005913DD">
      <w:pPr>
        <w:pStyle w:val="Heading1"/>
        <w:spacing w:before="240"/>
        <w:rPr>
          <w:color w:val="000000"/>
          <w:lang w:val="es-ES_tradnl"/>
        </w:rPr>
      </w:pPr>
      <w:r w:rsidRPr="003667EC">
        <w:rPr>
          <w:color w:val="000000"/>
          <w:lang w:val="es-ES_tradnl"/>
        </w:rPr>
        <w:t>1</w:t>
      </w:r>
      <w:r w:rsidRPr="003667EC">
        <w:rPr>
          <w:color w:val="000000"/>
          <w:lang w:val="es-ES_tradnl"/>
        </w:rPr>
        <w:tab/>
        <w:t>Examen de una asignación de frecuencia a una estación espacial</w:t>
      </w:r>
    </w:p>
    <w:p w14:paraId="693ED61E" w14:textId="3DA8BA88" w:rsidR="00D72BCF" w:rsidRPr="003667EC" w:rsidRDefault="008D3F16" w:rsidP="00D72BCF">
      <w:pPr>
        <w:rPr>
          <w:color w:val="000000"/>
          <w:lang w:val="es-ES_tradnl"/>
        </w:rPr>
      </w:pPr>
      <w:r>
        <w:rPr>
          <w:color w:val="000000"/>
          <w:lang w:val="es-ES_tradnl"/>
        </w:rPr>
        <w:t>1.1</w:t>
      </w:r>
      <w:r>
        <w:rPr>
          <w:color w:val="000000"/>
          <w:lang w:val="es-ES_tradnl"/>
        </w:rPr>
        <w:tab/>
      </w:r>
      <w:r w:rsidR="00D72BCF" w:rsidRPr="003667EC">
        <w:rPr>
          <w:color w:val="000000"/>
          <w:lang w:val="es-ES_tradnl"/>
        </w:rPr>
        <w:t xml:space="preserve">La aplicación literal de esta disposición conduciría al examen de la asignación notificada con cualquier estación identificada en aplicación del número </w:t>
      </w:r>
      <w:r w:rsidR="00D72BCF" w:rsidRPr="003667EC">
        <w:rPr>
          <w:rStyle w:val="Artref"/>
          <w:b/>
          <w:color w:val="000000"/>
          <w:lang w:val="es-ES_tradnl"/>
        </w:rPr>
        <w:t>9.27</w:t>
      </w:r>
      <w:r w:rsidR="00D72BCF" w:rsidRPr="003667EC">
        <w:rPr>
          <w:color w:val="000000"/>
          <w:lang w:val="es-ES_tradnl"/>
        </w:rPr>
        <w:t>, examen que, en su totalidad o en su mayor parte, se habría realizado ya durante la aplicación del procedimiento de coordi</w:t>
      </w:r>
      <w:r w:rsidR="009A2F2C" w:rsidRPr="003667EC">
        <w:rPr>
          <w:color w:val="000000"/>
          <w:lang w:val="es-ES_tradnl"/>
        </w:rPr>
        <w:softHyphen/>
      </w:r>
      <w:r w:rsidR="00D72BCF" w:rsidRPr="003667EC">
        <w:rPr>
          <w:color w:val="000000"/>
          <w:lang w:val="es-ES_tradnl"/>
        </w:rPr>
        <w:t>nación. La Junta adoptó un enfoque práctico que consiste en lo siguiente:</w:t>
      </w:r>
    </w:p>
    <w:p w14:paraId="2AA93D1A" w14:textId="0D00D4BF" w:rsidR="00D70EFE" w:rsidRDefault="00D72BCF" w:rsidP="00D70EFE">
      <w:pPr>
        <w:pStyle w:val="enumlev1"/>
        <w:rPr>
          <w:color w:val="000000"/>
          <w:lang w:val="es-ES_tradnl"/>
        </w:rPr>
      </w:pPr>
      <w:r w:rsidRPr="003667EC">
        <w:rPr>
          <w:i/>
          <w:color w:val="000000"/>
          <w:lang w:val="es-ES_tradnl"/>
        </w:rPr>
        <w:t>a)</w:t>
      </w:r>
      <w:r w:rsidRPr="003667EC">
        <w:rPr>
          <w:color w:val="000000"/>
          <w:lang w:val="es-ES_tradnl"/>
        </w:rPr>
        <w:tab/>
        <w:t>Los cálculos con respecto a las redes de una administración que, según lo indicado en la notificación, ha dado su acuerdo para la coordinación (números</w:t>
      </w:r>
      <w:r w:rsidR="00243C1F">
        <w:rPr>
          <w:color w:val="000000"/>
          <w:lang w:val="es-ES_tradnl"/>
        </w:rPr>
        <w:t>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no se efectúan dando por supuesto que cualquier diferencia que pueda existir entre las carac</w:t>
      </w:r>
      <w:r w:rsidRPr="003667EC">
        <w:rPr>
          <w:color w:val="000000"/>
          <w:lang w:val="es-ES_tradnl"/>
        </w:rPr>
        <w:softHyphen/>
        <w:t>terísticas notificadas y las publicadas en la Sección especial correspondiente, de acuerdo con los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xml:space="preserve"> esté coordinada con y sea aceptada por dicha administración.</w:t>
      </w:r>
    </w:p>
    <w:p w14:paraId="3999E01E" w14:textId="77777777" w:rsidR="00D72BCF" w:rsidRPr="003667EC" w:rsidRDefault="00D72BCF" w:rsidP="00D70EFE">
      <w:pPr>
        <w:pStyle w:val="enumlev1"/>
        <w:rPr>
          <w:color w:val="000000"/>
          <w:lang w:val="es-ES_tradnl"/>
        </w:rPr>
      </w:pPr>
      <w:r w:rsidRPr="003667EC">
        <w:rPr>
          <w:i/>
          <w:lang w:val="es-ES_tradnl"/>
        </w:rPr>
        <w:t>b)</w:t>
      </w:r>
      <w:r w:rsidRPr="003667EC">
        <w:rPr>
          <w:lang w:val="es-ES_tradnl"/>
        </w:rPr>
        <w:tab/>
        <w:t>Si todas las administraciones identificadas en las Secciones especiales pertinentes antes mencionadas no están incluidas en las casillas A5/A6, sin una referencia al § 6 del Apéndice </w:t>
      </w:r>
      <w:r w:rsidRPr="003667EC">
        <w:rPr>
          <w:rStyle w:val="Appref"/>
          <w:b/>
          <w:color w:val="000000"/>
          <w:lang w:val="es-ES_tradnl"/>
        </w:rPr>
        <w:t>5</w:t>
      </w:r>
      <w:r w:rsidRPr="003667EC">
        <w:rPr>
          <w:lang w:val="es-ES_tradnl"/>
        </w:rPr>
        <w:t xml:space="preserve"> o al número </w:t>
      </w:r>
      <w:r w:rsidRPr="003667EC">
        <w:rPr>
          <w:rStyle w:val="Artref"/>
          <w:b/>
          <w:color w:val="000000"/>
          <w:lang w:val="es-ES_tradnl"/>
        </w:rPr>
        <w:t>11.32A</w:t>
      </w:r>
      <w:r w:rsidRPr="003667EC">
        <w:rPr>
          <w:lang w:val="es-ES_tradnl"/>
        </w:rPr>
        <w:t xml:space="preserve">, la notificación se devolverá a la administración con una </w:t>
      </w:r>
      <w:r w:rsidRPr="003667EC">
        <w:rPr>
          <w:color w:val="000000"/>
          <w:lang w:val="es-ES_tradnl"/>
        </w:rPr>
        <w:t xml:space="preserve">conclusión desfavorable con respecto al número </w:t>
      </w:r>
      <w:r w:rsidRPr="003667EC">
        <w:rPr>
          <w:rStyle w:val="Artref"/>
          <w:b/>
          <w:color w:val="000000"/>
          <w:lang w:val="es-ES_tradnl"/>
        </w:rPr>
        <w:t>11.32</w:t>
      </w:r>
      <w:r w:rsidRPr="003667EC">
        <w:rPr>
          <w:color w:val="000000"/>
          <w:lang w:val="es-ES_tradnl"/>
        </w:rPr>
        <w:t xml:space="preserve">. Por motivos prácticos, cuando se pronuncia una conclusión desfavorable con respecto al número </w:t>
      </w:r>
      <w:r w:rsidRPr="003667EC">
        <w:rPr>
          <w:rStyle w:val="Artref"/>
          <w:b/>
          <w:color w:val="000000"/>
          <w:lang w:val="es-ES_tradnl"/>
        </w:rPr>
        <w:t>11.32</w:t>
      </w:r>
      <w:r w:rsidRPr="003667EC">
        <w:rPr>
          <w:color w:val="000000"/>
          <w:lang w:val="es-ES_tradnl"/>
        </w:rPr>
        <w:t xml:space="preserve"> en esta etapa, el examen previsto en el número </w:t>
      </w:r>
      <w:r w:rsidRPr="003667EC">
        <w:rPr>
          <w:rStyle w:val="Artref"/>
          <w:b/>
          <w:color w:val="000000"/>
          <w:lang w:val="es-ES_tradnl"/>
        </w:rPr>
        <w:t>11.31</w:t>
      </w:r>
      <w:r w:rsidRPr="003667EC">
        <w:rPr>
          <w:color w:val="000000"/>
          <w:lang w:val="es-ES_tradnl"/>
        </w:rPr>
        <w:t xml:space="preserve"> no se lleva a cabo.</w:t>
      </w:r>
    </w:p>
    <w:p w14:paraId="5F37B849" w14:textId="77777777" w:rsidR="00D72BCF" w:rsidRPr="003667EC" w:rsidRDefault="00D72BCF" w:rsidP="00D72BCF">
      <w:pPr>
        <w:pStyle w:val="enumlev1"/>
        <w:rPr>
          <w:color w:val="000000"/>
          <w:lang w:val="es-ES_tradnl"/>
        </w:rPr>
      </w:pPr>
      <w:r w:rsidRPr="003667EC">
        <w:rPr>
          <w:color w:val="000000"/>
          <w:lang w:val="es-ES_tradnl"/>
        </w:rPr>
        <w:tab/>
        <w:t>(Véase la Carta circular N.° 104 del 10 de agosto de 1998 y las Reglas de Procedimiento en aplicación del número </w:t>
      </w:r>
      <w:r w:rsidRPr="003667EC">
        <w:rPr>
          <w:rStyle w:val="Artref"/>
          <w:b/>
          <w:color w:val="000000"/>
          <w:lang w:val="es-ES_tradnl"/>
        </w:rPr>
        <w:t>9.52C</w:t>
      </w:r>
      <w:r w:rsidRPr="003667EC">
        <w:rPr>
          <w:color w:val="000000"/>
          <w:lang w:val="es-ES_tradnl"/>
        </w:rPr>
        <w:t>.)</w:t>
      </w:r>
    </w:p>
    <w:p w14:paraId="77A5BD1B" w14:textId="77777777" w:rsidR="00D72BCF" w:rsidRPr="003667EC" w:rsidRDefault="00D72BCF" w:rsidP="00D72BCF">
      <w:pPr>
        <w:pStyle w:val="enumlev1"/>
        <w:rPr>
          <w:color w:val="000000"/>
          <w:lang w:val="es-ES_tradnl"/>
        </w:rPr>
      </w:pPr>
      <w:r w:rsidRPr="003667EC">
        <w:rPr>
          <w:i/>
          <w:color w:val="000000"/>
          <w:lang w:val="es-ES_tradnl"/>
        </w:rPr>
        <w:t>c)</w:t>
      </w:r>
      <w:r w:rsidRPr="003667EC">
        <w:rPr>
          <w:color w:val="000000"/>
          <w:lang w:val="es-ES_tradnl"/>
        </w:rPr>
        <w:tab/>
        <w:t>Con el fin de determinar las otras administraciones que pudieran resultar afectadas, se comparan las características notificadas con las publicadas en las Secciones especiales mencionadas anteriormente, y si son idénticas, o están cubiertas por las publicadas en esas Secciones especiales se utiliza el resultado de los cálculos/exámenes ya realizados para esas Secciones especiales.</w:t>
      </w:r>
    </w:p>
    <w:p w14:paraId="2C54A6ED" w14:textId="77777777" w:rsidR="00D72BCF" w:rsidRPr="003667EC" w:rsidRDefault="00D72BCF" w:rsidP="00D72BCF">
      <w:pPr>
        <w:pStyle w:val="enumlev1"/>
        <w:rPr>
          <w:color w:val="000000"/>
          <w:lang w:val="es-ES_tradnl"/>
        </w:rPr>
      </w:pPr>
      <w:r w:rsidRPr="003667EC">
        <w:rPr>
          <w:i/>
          <w:color w:val="000000"/>
          <w:lang w:val="es-ES_tradnl"/>
        </w:rPr>
        <w:t>d)</w:t>
      </w:r>
      <w:r w:rsidRPr="003667EC">
        <w:rPr>
          <w:color w:val="000000"/>
          <w:lang w:val="es-ES_tradnl"/>
        </w:rPr>
        <w:tab/>
        <w:t xml:space="preserve">Si las características notificadas son diferentes de las publicadas, los cálculos serán hechos teniendo como base los del Apéndice </w:t>
      </w:r>
      <w:r w:rsidRPr="003667EC">
        <w:rPr>
          <w:rStyle w:val="Appref"/>
          <w:b/>
          <w:color w:val="000000"/>
          <w:lang w:val="es-ES_tradnl"/>
        </w:rPr>
        <w:t>5</w:t>
      </w:r>
      <w:r w:rsidRPr="003667EC">
        <w:rPr>
          <w:color w:val="000000"/>
          <w:lang w:val="es-ES_tradnl"/>
        </w:rPr>
        <w:t xml:space="preserve"> y si se identifican administraciones adicionales (distintas de las citadas en la casilla A5/A6 de las correspondientes Secciones especiales) que debido a las características modificadas reciban o causen más inter</w:t>
      </w:r>
      <w:r w:rsidRPr="003667EC">
        <w:rPr>
          <w:color w:val="000000"/>
          <w:lang w:val="es-ES_tradnl"/>
        </w:rPr>
        <w:softHyphen/>
        <w:t>ferencia que la que recibían o causaban anteriormente, se formulará una conclusión desfavorable y la notificación será devuelta a la administración notificante. Se ruega a la administración notificante que publique una modificación a la Sección especial en cuestión y que inicie una coordinación con la administración identificada en esa Sección especial modificada. Si no se identifica ninguna administración adicional que reciba o cause más interferencia debido a las características modificadas que aquella que recibía o causaba anteriormente, se formulará una conclusión favorable. Véanse también las Reglas de Procedimiento relativas al número </w:t>
      </w:r>
      <w:r w:rsidRPr="003667EC">
        <w:rPr>
          <w:rStyle w:val="Artref"/>
          <w:b/>
          <w:color w:val="000000"/>
          <w:lang w:val="es-ES_tradnl"/>
        </w:rPr>
        <w:t>9.27</w:t>
      </w:r>
      <w:r w:rsidRPr="003667EC">
        <w:rPr>
          <w:color w:val="000000"/>
          <w:lang w:val="es-ES_tradnl"/>
        </w:rPr>
        <w:t>.</w:t>
      </w:r>
    </w:p>
    <w:p w14:paraId="6D664223" w14:textId="77777777" w:rsidR="005913DD" w:rsidRDefault="005913DD" w:rsidP="008036F8">
      <w:pPr>
        <w:rPr>
          <w:lang w:val="es-ES"/>
        </w:rPr>
      </w:pPr>
      <w:r w:rsidRPr="005913DD">
        <w:rPr>
          <w:lang w:val="es-ES"/>
        </w:rPr>
        <w:t>1.2</w:t>
      </w:r>
      <w:r w:rsidRPr="005913DD">
        <w:rPr>
          <w:lang w:val="es-ES"/>
        </w:rPr>
        <w:tab/>
        <w:t>La Junta observó que la Conferencia Mundial de Radiocomunicaciones (Dubái, 2023) (CMR</w:t>
      </w:r>
      <w:r w:rsidRPr="005913DD">
        <w:rPr>
          <w:lang w:val="es-ES"/>
        </w:rPr>
        <w:noBreakHyphen/>
        <w:t>23) suprimió los siguientes puntos de datos del Anexo 2 al Apéndice </w:t>
      </w:r>
      <w:r w:rsidRPr="005913DD">
        <w:rPr>
          <w:b/>
          <w:bCs/>
          <w:lang w:val="es-ES"/>
        </w:rPr>
        <w:t>4</w:t>
      </w:r>
      <w:r w:rsidRPr="005913DD">
        <w:rPr>
          <w:lang w:val="es-ES"/>
        </w:rPr>
        <w:t xml:space="preserve">: el punto A.4.b.4.g </w:t>
      </w:r>
      <w:r>
        <w:rPr>
          <w:i/>
          <w:iCs/>
          <w:lang w:val="es-ES"/>
        </w:rPr>
        <w:t xml:space="preserve">− </w:t>
      </w:r>
      <w:r w:rsidRPr="005913DD">
        <w:rPr>
          <w:lang w:val="es-ES"/>
        </w:rPr>
        <w:t>ascensión recta del nodo ascendente (ARNA), y los puntos A.4.b.4.k/A.4.b.4.l (RR, edición de 2020)</w:t>
      </w:r>
      <w:r>
        <w:rPr>
          <w:lang w:val="es-ES"/>
        </w:rPr>
        <w:t xml:space="preserve"> </w:t>
      </w:r>
      <w:r>
        <w:rPr>
          <w:i/>
          <w:iCs/>
          <w:lang w:val="es-ES"/>
        </w:rPr>
        <w:t>−</w:t>
      </w:r>
      <w:r w:rsidRPr="005913DD">
        <w:rPr>
          <w:lang w:val="es-ES"/>
        </w:rPr>
        <w:t xml:space="preserve"> fecha y hora en que el satélite se encuentra en la ubicación definida por la longitud del nodo ascendente. La Junta decidió que la información presentada antes del 1 de enero de 2025 sobre la ascensión recta del nodo ascendente de los</w:t>
      </w:r>
      <w:r>
        <w:rPr>
          <w:lang w:val="es-ES"/>
        </w:rPr>
        <w:br/>
      </w:r>
    </w:p>
    <w:p w14:paraId="6B2FB167" w14:textId="64083EAC" w:rsidR="005913DD" w:rsidRDefault="005913DD" w:rsidP="008036F8">
      <w:pPr>
        <w:rPr>
          <w:lang w:val="es-ES_tradnl"/>
        </w:rPr>
      </w:pPr>
      <w:r w:rsidRPr="005913DD">
        <w:rPr>
          <w:lang w:val="es-ES"/>
        </w:rPr>
        <w:lastRenderedPageBreak/>
        <w:t>planos orbitales para los sistemas de satélites no geoestacionarios (no OSG) sujetos a la Sección II del Artículo </w:t>
      </w:r>
      <w:r w:rsidRPr="005913DD">
        <w:rPr>
          <w:b/>
          <w:bCs/>
          <w:lang w:val="es-ES"/>
        </w:rPr>
        <w:t>9</w:t>
      </w:r>
      <w:r w:rsidRPr="005913DD">
        <w:rPr>
          <w:lang w:val="es-ES"/>
        </w:rPr>
        <w:t xml:space="preserve"> debería seguir utilizándose durante la coordinación (incluso durante el examen de una modificación de las asignaciones de frecuencias de los sistemas no OSG en aplicación de la Regla de Procedimiento relativa al número </w:t>
      </w:r>
      <w:r w:rsidRPr="005913DD">
        <w:rPr>
          <w:b/>
          <w:bCs/>
          <w:lang w:val="es-ES"/>
        </w:rPr>
        <w:t>9.27</w:t>
      </w:r>
      <w:r w:rsidRPr="005913DD">
        <w:rPr>
          <w:lang w:val="es-ES"/>
        </w:rPr>
        <w:t>) cuando no se disponga de información sobre la longitud del nodo ascendente (véase el punto de datos A.4.b.4.j del Anexo 2 al Apéndice </w:t>
      </w:r>
      <w:r w:rsidRPr="005913DD">
        <w:rPr>
          <w:b/>
          <w:bCs/>
          <w:lang w:val="es-ES"/>
        </w:rPr>
        <w:t>4</w:t>
      </w:r>
      <w:r w:rsidRPr="005913DD">
        <w:rPr>
          <w:lang w:val="es-ES"/>
        </w:rPr>
        <w:t>) para el mismo plano orbital o cuando sea diferente de la actual longitud del nodo ascendente.</w:t>
      </w:r>
    </w:p>
    <w:p w14:paraId="4E83FFA8" w14:textId="77777777" w:rsidR="00A60C28" w:rsidRPr="003667EC" w:rsidRDefault="00A60C28" w:rsidP="00B76760">
      <w:pPr>
        <w:pStyle w:val="Heading1"/>
        <w:spacing w:line="280" w:lineRule="exact"/>
        <w:rPr>
          <w:color w:val="000000"/>
          <w:lang w:val="es-ES_tradnl"/>
        </w:rPr>
      </w:pPr>
      <w:r w:rsidRPr="003667EC">
        <w:rPr>
          <w:color w:val="000000"/>
          <w:lang w:val="es-ES_tradnl"/>
        </w:rPr>
        <w:t>2</w:t>
      </w:r>
      <w:r w:rsidRPr="003667EC">
        <w:rPr>
          <w:color w:val="000000"/>
          <w:lang w:val="es-ES_tradnl"/>
        </w:rPr>
        <w:tab/>
        <w:t>Examen de la asignación de frecuencia a una estación terrena respecto a la aplicación de los números </w:t>
      </w:r>
      <w:r w:rsidRPr="003667EC">
        <w:rPr>
          <w:rStyle w:val="Artref"/>
          <w:color w:val="000000"/>
          <w:lang w:val="es-ES_tradnl"/>
        </w:rPr>
        <w:t>9.7</w:t>
      </w:r>
      <w:r w:rsidRPr="003667EC">
        <w:rPr>
          <w:color w:val="000000"/>
          <w:lang w:val="es-ES_tradnl"/>
        </w:rPr>
        <w:t xml:space="preserve">, </w:t>
      </w:r>
      <w:r w:rsidRPr="003667EC">
        <w:rPr>
          <w:rStyle w:val="Artref"/>
          <w:color w:val="000000"/>
          <w:lang w:val="es-ES_tradnl"/>
        </w:rPr>
        <w:t>9.12, 9.12A</w:t>
      </w:r>
      <w:r w:rsidRPr="003667EC">
        <w:rPr>
          <w:color w:val="000000"/>
          <w:lang w:val="es-ES_tradnl"/>
        </w:rPr>
        <w:t xml:space="preserve"> y </w:t>
      </w:r>
      <w:r w:rsidRPr="003667EC">
        <w:rPr>
          <w:rStyle w:val="Artref"/>
          <w:color w:val="000000"/>
          <w:lang w:val="es-ES_tradnl"/>
        </w:rPr>
        <w:t>9.13</w:t>
      </w:r>
    </w:p>
    <w:p w14:paraId="38F3A06E"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 xml:space="preserve">Este examen normalmente conllevaría la aplicación del Cuadro </w:t>
      </w:r>
      <w:r w:rsidRPr="003667EC">
        <w:rPr>
          <w:lang w:val="es-ES_tradnl"/>
        </w:rPr>
        <w:t>5-1</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con respecto a la coordinación de red espacial a red espacial a cada asignación de frecuencia de cada estación terrena, la comparación de los resultados así obtenidos con los valores correspondientes a las estaciones terrenas ya publicadas o notificadas y la identificación de las administraciones afectadas.</w:t>
      </w:r>
    </w:p>
    <w:p w14:paraId="755E71FA" w14:textId="77777777" w:rsidR="00A60C28" w:rsidRDefault="00A60C28">
      <w:pPr>
        <w:pStyle w:val="enumlev1"/>
        <w:rPr>
          <w:color w:val="000000"/>
          <w:lang w:val="es-ES_tradnl"/>
        </w:rPr>
      </w:pPr>
      <w:r w:rsidRPr="003667EC">
        <w:rPr>
          <w:i/>
          <w:color w:val="000000"/>
          <w:lang w:val="es-ES_tradnl"/>
        </w:rPr>
        <w:t>b)</w:t>
      </w:r>
      <w:r w:rsidRPr="003667EC">
        <w:rPr>
          <w:color w:val="000000"/>
          <w:lang w:val="es-ES_tradnl"/>
        </w:rPr>
        <w:tab/>
        <w:t xml:space="preserve">Se observó que, en la práctica, al coordinar sus redes de satélite, las administraciones generalmente tienen en cuenta las estaciones terrenas, con independencia de que se hayan publicado sus características o no. La CAMR Orb-88 examinó la complejidad de los procedimientos de los antiguos Artículos 11 (ahora </w:t>
      </w:r>
      <w:r w:rsidRPr="003667EC">
        <w:rPr>
          <w:rStyle w:val="Artref"/>
          <w:b/>
          <w:color w:val="000000"/>
          <w:lang w:val="es-ES_tradnl"/>
        </w:rPr>
        <w:t>9</w:t>
      </w:r>
      <w:r w:rsidRPr="003667EC">
        <w:rPr>
          <w:color w:val="000000"/>
          <w:lang w:val="es-ES_tradnl"/>
        </w:rPr>
        <w:t xml:space="preserve">) y 13 (ahora </w:t>
      </w:r>
      <w:r w:rsidRPr="003667EC">
        <w:rPr>
          <w:rStyle w:val="Artref"/>
          <w:b/>
          <w:color w:val="000000"/>
          <w:lang w:val="es-ES_tradnl"/>
        </w:rPr>
        <w:t>11</w:t>
      </w:r>
      <w:r w:rsidRPr="003667EC">
        <w:rPr>
          <w:color w:val="000000"/>
          <w:lang w:val="es-ES_tradnl"/>
        </w:rPr>
        <w:t>), sobre todo en lo que respecta a su aplicación a las estaciones terrenas y optó por un procedimiento de coordinación de la red. Ante esta situación, la Junta decidió aplicar el procedimiento simplificado siguiente.</w:t>
      </w:r>
    </w:p>
    <w:p w14:paraId="434771BE" w14:textId="62706492" w:rsidR="00A60C28" w:rsidRPr="003667EC" w:rsidRDefault="00A60C28">
      <w:pPr>
        <w:pStyle w:val="Heading2"/>
        <w:rPr>
          <w:color w:val="000000"/>
          <w:lang w:val="es-ES_tradnl"/>
        </w:rPr>
      </w:pPr>
      <w:r w:rsidRPr="003667EC">
        <w:rPr>
          <w:color w:val="000000"/>
          <w:lang w:val="es-ES_tradnl"/>
        </w:rPr>
        <w:t>2.1</w:t>
      </w:r>
      <w:r w:rsidRPr="003667EC">
        <w:rPr>
          <w:color w:val="000000"/>
          <w:lang w:val="es-ES_tradnl"/>
        </w:rPr>
        <w:tab/>
        <w:t>Examen de una asignación a una estación terrena recibida por primera</w:t>
      </w:r>
      <w:r w:rsidR="00243C1F">
        <w:rPr>
          <w:color w:val="000000"/>
          <w:lang w:val="es-ES_tradnl"/>
        </w:rPr>
        <w:t xml:space="preserve"> </w:t>
      </w:r>
      <w:r w:rsidRPr="003667EC">
        <w:rPr>
          <w:color w:val="000000"/>
          <w:lang w:val="es-ES_tradnl"/>
        </w:rPr>
        <w:t>vez</w:t>
      </w:r>
    </w:p>
    <w:p w14:paraId="26E34B7C" w14:textId="5A36D148" w:rsidR="00A60C28" w:rsidRPr="003667EC" w:rsidRDefault="00A60C28">
      <w:pPr>
        <w:rPr>
          <w:color w:val="000000"/>
          <w:lang w:val="es-ES_tradnl"/>
        </w:rPr>
      </w:pPr>
      <w:r w:rsidRPr="003667EC">
        <w:rPr>
          <w:color w:val="000000"/>
          <w:lang w:val="es-ES_tradnl"/>
        </w:rPr>
        <w:t xml:space="preserve">El examen de las asignaciones de frecuencia a estaciones terrenas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 llevará a cabo verificando el estado de las asigna</w:t>
      </w:r>
      <w:r w:rsidR="00437E8C" w:rsidRPr="003667EC">
        <w:rPr>
          <w:color w:val="000000"/>
          <w:lang w:val="es-ES_tradnl"/>
        </w:rPr>
        <w:softHyphen/>
      </w:r>
      <w:r w:rsidRPr="003667EC">
        <w:rPr>
          <w:color w:val="000000"/>
          <w:lang w:val="es-ES_tradnl"/>
        </w:rPr>
        <w:t xml:space="preserve">ciones correspondientes a la estación espacial asociada (por </w:t>
      </w:r>
      <w:r w:rsidR="001929B4" w:rsidRPr="003667EC">
        <w:rPr>
          <w:color w:val="000000"/>
          <w:lang w:val="es-ES_tradnl"/>
        </w:rPr>
        <w:t>ejemplo,</w:t>
      </w:r>
      <w:r w:rsidRPr="003667EC">
        <w:rPr>
          <w:color w:val="000000"/>
          <w:lang w:val="es-ES_tradnl"/>
        </w:rPr>
        <w:t xml:space="preserve"> la red de satélites).</w:t>
      </w:r>
    </w:p>
    <w:p w14:paraId="78D39621" w14:textId="77777777" w:rsidR="00A60C28" w:rsidRPr="003667EC" w:rsidRDefault="00A60C28">
      <w:pPr>
        <w:pStyle w:val="Heading3"/>
        <w:rPr>
          <w:color w:val="000000"/>
          <w:lang w:val="es-ES_tradnl"/>
        </w:rPr>
      </w:pPr>
      <w:r w:rsidRPr="003667EC">
        <w:rPr>
          <w:color w:val="000000"/>
          <w:lang w:val="es-ES_tradnl"/>
        </w:rPr>
        <w:t>2.1.1</w:t>
      </w:r>
      <w:r w:rsidRPr="003667EC">
        <w:rPr>
          <w:color w:val="000000"/>
          <w:lang w:val="es-ES_tradnl"/>
        </w:rPr>
        <w:tab/>
        <w:t>Caso en que las asignaciones de la estación espacial están inscritas en el Registro</w:t>
      </w:r>
    </w:p>
    <w:p w14:paraId="68337822" w14:textId="77777777" w:rsidR="00A60C28" w:rsidRPr="003667EC" w:rsidRDefault="00A60C28" w:rsidP="00285A0D">
      <w:pPr>
        <w:pStyle w:val="enumlev1"/>
        <w:rPr>
          <w:color w:val="000000"/>
          <w:lang w:val="es-ES_tradnl"/>
        </w:rPr>
      </w:pPr>
      <w:r w:rsidRPr="003667EC">
        <w:rPr>
          <w:i/>
          <w:color w:val="000000"/>
          <w:lang w:val="es-ES_tradnl"/>
        </w:rPr>
        <w:t>a)</w:t>
      </w:r>
      <w:r w:rsidRPr="003667EC">
        <w:rPr>
          <w:color w:val="000000"/>
          <w:lang w:val="es-ES_tradnl"/>
        </w:rPr>
        <w:tab/>
        <w:t>En el caso de una estación espacial inscrita con una conclusión favorable según el número </w:t>
      </w:r>
      <w:r w:rsidRPr="003667EC">
        <w:rPr>
          <w:rStyle w:val="Artref"/>
          <w:b/>
          <w:color w:val="000000"/>
          <w:lang w:val="es-ES_tradnl"/>
        </w:rPr>
        <w:t>11.32</w:t>
      </w:r>
      <w:r w:rsidRPr="003667EC">
        <w:rPr>
          <w:color w:val="000000"/>
          <w:lang w:val="es-ES_tradnl"/>
        </w:rPr>
        <w:t xml:space="preserve"> (coordinado satisfactoriamente o que no requiera coordinación), se supondrá que la asignación a la estación terrena asociada ha sido coordinada y se formu</w:t>
      </w:r>
      <w:r w:rsidRPr="003667EC">
        <w:rPr>
          <w:color w:val="000000"/>
          <w:lang w:val="es-ES_tradnl"/>
        </w:rPr>
        <w:softHyphen/>
        <w:t>lará una conclusión favorable según el número </w:t>
      </w:r>
      <w:r w:rsidRPr="003667EC">
        <w:rPr>
          <w:rStyle w:val="Artref"/>
          <w:b/>
          <w:color w:val="000000"/>
          <w:lang w:val="es-ES_tradnl"/>
        </w:rPr>
        <w:t>11.32</w:t>
      </w:r>
      <w:r w:rsidRPr="003667EC">
        <w:rPr>
          <w:color w:val="000000"/>
          <w:lang w:val="es-ES_tradnl"/>
        </w:rPr>
        <w:t>, añadiendo la indicación siguiente en la casilla A5/A6 de la Parte II-S de la BR</w:t>
      </w:r>
      <w:r w:rsidR="00437E8C" w:rsidRPr="003667EC">
        <w:rPr>
          <w:color w:val="000000"/>
          <w:lang w:val="es-ES_tradnl"/>
        </w:rPr>
        <w:t> </w:t>
      </w:r>
      <w:r w:rsidRPr="003667EC">
        <w:rPr>
          <w:color w:val="000000"/>
          <w:lang w:val="es-ES_tradnl"/>
        </w:rPr>
        <w:t>IFIC:</w:t>
      </w:r>
    </w:p>
    <w:p w14:paraId="19948BD7"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t>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(véase el Prefacio) seguida de los nombres de las administraciones que figuran en la casilla A5/A6 con el símbolo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de la estación espacial asociada (si no se cita ninguna administración a consecuencia de la aplicación del § 6 del Apéndice </w:t>
      </w:r>
      <w:r w:rsidRPr="003667EC">
        <w:rPr>
          <w:rStyle w:val="Appref"/>
          <w:b/>
          <w:color w:val="000000"/>
          <w:lang w:val="es-ES_tradnl"/>
        </w:rPr>
        <w:t>5</w:t>
      </w:r>
      <w:r w:rsidRPr="003667EC">
        <w:rPr>
          <w:color w:val="000000"/>
          <w:lang w:val="es-ES_tradnl"/>
        </w:rPr>
        <w:t>, sólo podrán indicarse 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y</w:t>
      </w:r>
    </w:p>
    <w:p w14:paraId="7CE19A7A" w14:textId="77777777" w:rsidR="00A650B3" w:rsidRDefault="00A60C28" w:rsidP="00355CA5">
      <w:pPr>
        <w:pStyle w:val="enumlev2"/>
        <w:rPr>
          <w:color w:val="000000"/>
          <w:lang w:val="es-ES_tradnl"/>
        </w:rPr>
      </w:pPr>
      <w:r w:rsidRPr="003667EC">
        <w:rPr>
          <w:color w:val="000000"/>
          <w:lang w:val="es-ES_tradnl"/>
        </w:rPr>
        <w:t>–</w:t>
      </w:r>
      <w:r w:rsidRPr="003667EC">
        <w:rPr>
          <w:color w:val="000000"/>
          <w:lang w:val="es-ES_tradnl"/>
        </w:rPr>
        <w:tab/>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seguida de los nombres de las administraciones indicadas en el formulario de notificación de la estación terrena, si procede.</w:t>
      </w:r>
    </w:p>
    <w:p w14:paraId="7FF6D1BF" w14:textId="77777777" w:rsidR="00A650B3" w:rsidRDefault="00A650B3" w:rsidP="00355CA5">
      <w:pPr>
        <w:pStyle w:val="enumlev2"/>
        <w:rPr>
          <w:color w:val="000000"/>
          <w:lang w:val="es-ES_tradnl"/>
        </w:rPr>
        <w:sectPr w:rsidR="00A650B3" w:rsidSect="00007AA8">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5CFC1B17"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 xml:space="preserve">Si, tras la publicación de dicha asignación a una estación terrena en la Parte II de la BR IFIC, cualquier administración se opone a las medidas adoptadas por la Oficina que se describen en </w:t>
      </w:r>
      <w:r w:rsidRPr="003667EC">
        <w:rPr>
          <w:i/>
          <w:color w:val="000000"/>
          <w:lang w:val="es-ES_tradnl"/>
        </w:rPr>
        <w:t>a)</w:t>
      </w:r>
      <w:r w:rsidRPr="003667EC">
        <w:rPr>
          <w:color w:val="000000"/>
          <w:lang w:val="es-ES_tradnl"/>
        </w:rPr>
        <w:t xml:space="preserve">, la Oficina examinará la asignación registrada de la estación terrena con respecto a lo indicado en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aplicando el criterio y método descritos en el Apéndice </w:t>
      </w:r>
      <w:r w:rsidRPr="003667EC">
        <w:rPr>
          <w:rStyle w:val="Appref"/>
          <w:b/>
          <w:color w:val="000000"/>
          <w:lang w:val="es-ES_tradnl"/>
        </w:rPr>
        <w:t>5</w:t>
      </w:r>
      <w:r w:rsidRPr="003667EC">
        <w:rPr>
          <w:color w:val="000000"/>
          <w:lang w:val="es-ES_tradnl"/>
        </w:rPr>
        <w:t>. Una vez efectuado este examen, la Oficina revisará o mantendrá la conclusión a la que inicialmente haya llegado sobre la asignación en cuestión y, en cualquier caso, comunicará sus conclusiones a la admi</w:t>
      </w:r>
      <w:r w:rsidRPr="003667EC">
        <w:rPr>
          <w:color w:val="000000"/>
          <w:lang w:val="es-ES_tradnl"/>
        </w:rPr>
        <w:softHyphen/>
        <w:t>nistración que se hubiera opuesto al registro.</w:t>
      </w:r>
    </w:p>
    <w:p w14:paraId="4EA839B1" w14:textId="77777777" w:rsidR="00A60C28" w:rsidRPr="003667EC" w:rsidRDefault="00A60C28" w:rsidP="00437E8C">
      <w:pPr>
        <w:pStyle w:val="enumlev1"/>
        <w:rPr>
          <w:color w:val="000000"/>
          <w:lang w:val="es-ES_tradnl"/>
        </w:rPr>
      </w:pPr>
      <w:r w:rsidRPr="003667EC">
        <w:rPr>
          <w:i/>
          <w:color w:val="000000"/>
          <w:lang w:val="es-ES_tradnl"/>
        </w:rPr>
        <w:t>c)</w:t>
      </w:r>
      <w:r w:rsidRPr="003667EC">
        <w:rPr>
          <w:color w:val="000000"/>
          <w:lang w:val="es-ES_tradnl"/>
        </w:rPr>
        <w:tab/>
        <w:t>El enfoque de</w:t>
      </w:r>
      <w:r w:rsidR="00437E8C" w:rsidRPr="003667EC">
        <w:rPr>
          <w:color w:val="000000"/>
          <w:lang w:val="es-ES_tradnl"/>
        </w:rPr>
        <w:t xml:space="preserve"> </w:t>
      </w:r>
      <w:r w:rsidRPr="003667EC">
        <w:rPr>
          <w:i/>
          <w:color w:val="000000"/>
          <w:lang w:val="es-ES_tradnl"/>
        </w:rPr>
        <w:t>a)</w:t>
      </w:r>
      <w:r w:rsidRPr="003667EC">
        <w:rPr>
          <w:color w:val="000000"/>
          <w:lang w:val="es-ES_tradnl"/>
        </w:rPr>
        <w:t xml:space="preserve"> y </w:t>
      </w:r>
      <w:r w:rsidRPr="003667EC">
        <w:rPr>
          <w:i/>
          <w:color w:val="000000"/>
          <w:lang w:val="es-ES_tradnl"/>
        </w:rPr>
        <w:t>b)</w:t>
      </w:r>
      <w:r w:rsidRPr="003667EC">
        <w:rPr>
          <w:color w:val="000000"/>
          <w:lang w:val="es-ES_tradnl"/>
        </w:rPr>
        <w:t xml:space="preserve"> anteriores se amplió al caso de una estación espacial inscrita con conclusión favorable según el número </w:t>
      </w:r>
      <w:r w:rsidRPr="003667EC">
        <w:rPr>
          <w:rStyle w:val="Artref"/>
          <w:b/>
          <w:color w:val="000000"/>
          <w:lang w:val="es-ES_tradnl"/>
        </w:rPr>
        <w:t>11.32A</w:t>
      </w:r>
      <w:r w:rsidRPr="003667EC">
        <w:rPr>
          <w:color w:val="000000"/>
          <w:lang w:val="es-ES_tradnl"/>
        </w:rPr>
        <w:t xml:space="preserve"> (examen de la probabilidad de la inter</w:t>
      </w:r>
      <w:r w:rsidRPr="003667EC">
        <w:rPr>
          <w:color w:val="000000"/>
          <w:lang w:val="es-ES_tradnl"/>
        </w:rPr>
        <w:softHyphen/>
        <w:t>ferencia perjudicial). La asignación de la estación terrena asociada obtendrá una conclusión favorable según el número</w:t>
      </w:r>
      <w:r w:rsidR="00437E8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con respecto de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con las indicaciones adecuadas en la casilla A5/A6, tal como se indicó en </w:t>
      </w:r>
      <w:r w:rsidRPr="003667EC">
        <w:rPr>
          <w:i/>
          <w:color w:val="000000"/>
          <w:lang w:val="es-ES_tradnl"/>
        </w:rPr>
        <w:t>a)</w:t>
      </w:r>
      <w:r w:rsidRPr="003667EC">
        <w:rPr>
          <w:color w:val="000000"/>
          <w:lang w:val="es-ES_tradnl"/>
        </w:rPr>
        <w:t xml:space="preserve"> anterior.</w:t>
      </w:r>
    </w:p>
    <w:p w14:paraId="26BA0A34" w14:textId="77777777" w:rsidR="00A60C28" w:rsidRDefault="00A60C28" w:rsidP="00437E8C">
      <w:pPr>
        <w:pStyle w:val="enumlev1"/>
        <w:rPr>
          <w:rFonts w:eastAsia="SimSun"/>
          <w:lang w:val="es-ES_tradnl" w:eastAsia="zh-CN"/>
        </w:rPr>
      </w:pPr>
      <w:r w:rsidRPr="003667EC">
        <w:rPr>
          <w:rFonts w:eastAsia="SimSun"/>
          <w:i/>
          <w:lang w:val="es-ES_tradnl" w:eastAsia="zh-CN"/>
        </w:rPr>
        <w:t>d)</w:t>
      </w:r>
      <w:r w:rsidRPr="003667EC">
        <w:rPr>
          <w:rFonts w:eastAsia="SimSun"/>
          <w:lang w:val="es-ES_tradnl" w:eastAsia="zh-CN"/>
        </w:rPr>
        <w:tab/>
        <w:t xml:space="preserve">El enfoque de </w:t>
      </w:r>
      <w:r w:rsidRPr="003667EC">
        <w:rPr>
          <w:rFonts w:eastAsia="SimSun"/>
          <w:i/>
          <w:lang w:val="es-ES_tradnl" w:eastAsia="zh-CN"/>
        </w:rPr>
        <w:t xml:space="preserve">a) </w:t>
      </w:r>
      <w:r w:rsidRPr="003667EC">
        <w:rPr>
          <w:rFonts w:eastAsia="SimSun"/>
          <w:lang w:val="es-ES_tradnl" w:eastAsia="zh-CN"/>
        </w:rPr>
        <w:t xml:space="preserve">y </w:t>
      </w:r>
      <w:r w:rsidRPr="003667EC">
        <w:rPr>
          <w:rFonts w:eastAsia="SimSun"/>
          <w:i/>
          <w:lang w:val="es-ES_tradnl" w:eastAsia="zh-CN"/>
        </w:rPr>
        <w:t>b)</w:t>
      </w:r>
      <w:r w:rsidRPr="003667EC">
        <w:rPr>
          <w:rFonts w:eastAsia="SimSun"/>
          <w:lang w:val="es-ES_tradnl" w:eastAsia="zh-CN"/>
        </w:rPr>
        <w:t xml:space="preserve"> anteriores también se aplicó al caso de una estación espacial inscrita con arreglo al número </w:t>
      </w:r>
      <w:r w:rsidRPr="003667EC">
        <w:rPr>
          <w:rFonts w:eastAsia="SimSun"/>
          <w:b/>
          <w:lang w:val="es-ES_tradnl" w:eastAsia="zh-CN"/>
        </w:rPr>
        <w:t>11.41</w:t>
      </w:r>
      <w:r w:rsidRPr="003667EC">
        <w:rPr>
          <w:rFonts w:eastAsia="SimSun"/>
          <w:lang w:val="es-ES_tradnl" w:eastAsia="zh-CN"/>
        </w:rPr>
        <w:t xml:space="preserve"> (conclusiones desfavorables con arreglo al número </w:t>
      </w:r>
      <w:r w:rsidRPr="003667EC">
        <w:rPr>
          <w:rFonts w:eastAsia="SimSun"/>
          <w:b/>
          <w:lang w:val="es-ES_tradnl" w:eastAsia="zh-CN"/>
        </w:rPr>
        <w:t>11.32A</w:t>
      </w:r>
      <w:r w:rsidRPr="003667EC">
        <w:rPr>
          <w:rFonts w:eastAsia="SimSun"/>
          <w:lang w:val="es-ES_tradnl" w:eastAsia="zh-CN"/>
        </w:rPr>
        <w:t xml:space="preserve">). La asignación de la estación terrena obtendrá una conclusión favorable según el número </w:t>
      </w:r>
      <w:r w:rsidRPr="003667EC">
        <w:rPr>
          <w:rFonts w:eastAsia="SimSun"/>
          <w:b/>
          <w:lang w:val="es-ES_tradnl" w:eastAsia="zh-CN"/>
        </w:rPr>
        <w:t>11.32</w:t>
      </w:r>
      <w:r w:rsidRPr="003667EC">
        <w:rPr>
          <w:rFonts w:eastAsia="SimSun"/>
          <w:lang w:val="es-ES_tradnl" w:eastAsia="zh-CN"/>
        </w:rPr>
        <w:t xml:space="preserve"> con respecto a la aplicación de los números </w:t>
      </w:r>
      <w:r w:rsidRPr="003667EC">
        <w:rPr>
          <w:rFonts w:eastAsia="SimSun"/>
          <w:b/>
          <w:lang w:val="es-ES_tradnl" w:eastAsia="zh-CN"/>
        </w:rPr>
        <w:t>9.7, 9.12, 9.12A</w:t>
      </w:r>
      <w:r w:rsidRPr="003667EC">
        <w:rPr>
          <w:rFonts w:eastAsia="SimSun"/>
          <w:lang w:val="es-ES_tradnl" w:eastAsia="zh-CN"/>
        </w:rPr>
        <w:t xml:space="preserve"> y </w:t>
      </w:r>
      <w:r w:rsidRPr="003667EC">
        <w:rPr>
          <w:rFonts w:eastAsia="SimSun"/>
          <w:b/>
          <w:lang w:val="es-ES_tradnl" w:eastAsia="zh-CN"/>
        </w:rPr>
        <w:t>9.13</w:t>
      </w:r>
      <w:r w:rsidRPr="003667EC">
        <w:rPr>
          <w:rFonts w:eastAsia="SimSun"/>
          <w:lang w:val="es-ES_tradnl" w:eastAsia="zh-CN"/>
        </w:rPr>
        <w:t xml:space="preserve"> con las indicaciones adecuadas en la Casilla A5/A6, como se indicó en </w:t>
      </w:r>
      <w:r w:rsidRPr="003667EC">
        <w:rPr>
          <w:rFonts w:eastAsia="SimSun"/>
          <w:i/>
          <w:lang w:val="es-ES_tradnl" w:eastAsia="zh-CN"/>
        </w:rPr>
        <w:t>a)</w:t>
      </w:r>
      <w:r w:rsidRPr="003667EC">
        <w:rPr>
          <w:rFonts w:eastAsia="SimSun"/>
          <w:lang w:val="es-ES_tradnl" w:eastAsia="zh-CN"/>
        </w:rPr>
        <w:t xml:space="preserve"> anterior, y Z/</w:t>
      </w:r>
      <w:r w:rsidRPr="003667EC">
        <w:rPr>
          <w:rFonts w:eastAsia="SimSun"/>
          <w:b/>
          <w:bCs/>
          <w:lang w:val="es-ES_tradnl" w:eastAsia="zh-CN"/>
        </w:rPr>
        <w:t>11.41</w:t>
      </w:r>
      <w:r w:rsidRPr="003667EC">
        <w:rPr>
          <w:rFonts w:eastAsia="SimSun"/>
          <w:lang w:val="es-ES_tradnl" w:eastAsia="zh-CN"/>
        </w:rPr>
        <w:t xml:space="preserve"> seguida de los nombres de las administraciones pertinentes que aparecen en la Casilla A5/A6 de la estación espacial asociada bajo el símbolo </w:t>
      </w:r>
      <w:r w:rsidRPr="003667EC">
        <w:rPr>
          <w:rFonts w:eastAsia="SimSun"/>
          <w:b/>
          <w:bCs/>
          <w:lang w:val="es-ES_tradnl" w:eastAsia="zh-CN"/>
        </w:rPr>
        <w:t>11.41</w:t>
      </w:r>
      <w:r w:rsidRPr="003667EC">
        <w:rPr>
          <w:rFonts w:eastAsia="SimSun"/>
          <w:lang w:val="es-ES_tradnl" w:eastAsia="zh-CN"/>
        </w:rPr>
        <w:t>.</w:t>
      </w:r>
    </w:p>
    <w:p w14:paraId="4A262AA2" w14:textId="77777777" w:rsidR="00A60C28" w:rsidRPr="003667EC" w:rsidRDefault="00A60C28" w:rsidP="003667EC">
      <w:pPr>
        <w:pStyle w:val="enumlev1"/>
        <w:rPr>
          <w:color w:val="000000"/>
          <w:lang w:val="es-ES_tradnl"/>
        </w:rPr>
      </w:pPr>
      <w:r w:rsidRPr="003667EC">
        <w:rPr>
          <w:i/>
          <w:color w:val="000000"/>
          <w:lang w:val="es-ES_tradnl"/>
        </w:rPr>
        <w:t>e)</w:t>
      </w:r>
      <w:r w:rsidRPr="003667EC">
        <w:rPr>
          <w:color w:val="000000"/>
          <w:lang w:val="es-ES_tradnl"/>
        </w:rPr>
        <w:tab/>
        <w:t xml:space="preserve">En el caso de una estación espacial asociada inscrita con una conclusión desfavorable según el número </w:t>
      </w:r>
      <w:r w:rsidRPr="003667EC">
        <w:rPr>
          <w:rStyle w:val="Artref"/>
          <w:b/>
          <w:color w:val="000000"/>
          <w:lang w:val="es-ES_tradnl"/>
        </w:rPr>
        <w:t>11.36</w:t>
      </w:r>
      <w:r w:rsidRPr="003667EC">
        <w:rPr>
          <w:color w:val="000000"/>
          <w:lang w:val="es-ES_tradnl"/>
        </w:rPr>
        <w:t xml:space="preserve"> (funcionamiento conforme al número </w:t>
      </w:r>
      <w:r w:rsidRPr="003667EC">
        <w:rPr>
          <w:rStyle w:val="Artref"/>
          <w:b/>
          <w:color w:val="000000"/>
          <w:lang w:val="es-ES_tradnl"/>
        </w:rPr>
        <w:t>4.4</w:t>
      </w:r>
      <w:r w:rsidRPr="003667EC">
        <w:rPr>
          <w:color w:val="000000"/>
          <w:lang w:val="es-ES_tradnl"/>
        </w:rPr>
        <w:t xml:space="preserve">), se formulará para la estación terrena una conclusión reglamentaria (número </w:t>
      </w:r>
      <w:r w:rsidRPr="003667EC">
        <w:rPr>
          <w:rStyle w:val="Artref"/>
          <w:b/>
          <w:color w:val="000000"/>
          <w:lang w:val="es-ES_tradnl"/>
        </w:rPr>
        <w:t>11.31</w:t>
      </w:r>
      <w:r w:rsidRPr="003667EC">
        <w:rPr>
          <w:color w:val="000000"/>
          <w:lang w:val="es-ES_tradnl"/>
        </w:rPr>
        <w:t>) y, si procede, una conclusión de conformidad de coordinación con independencia de la conclusión regla</w:t>
      </w:r>
      <w:r w:rsidRPr="003667EC">
        <w:rPr>
          <w:color w:val="000000"/>
          <w:lang w:val="es-ES_tradnl"/>
        </w:rPr>
        <w:softHyphen/>
        <w:t>mentaria desfavorable de la estación espacial. No obstante, la conclusión de conformidad de coordinación afectará únicamente a su conformidad con el procedimiento de coordi</w:t>
      </w:r>
      <w:r w:rsidRPr="003667EC">
        <w:rPr>
          <w:color w:val="000000"/>
          <w:lang w:val="es-ES_tradnl"/>
        </w:rPr>
        <w:softHyphen/>
        <w:t xml:space="preserve">nación de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w:t>
      </w:r>
      <w:r w:rsidRPr="003667EC">
        <w:rPr>
          <w:rStyle w:val="Artref"/>
          <w:b/>
          <w:color w:val="000000"/>
          <w:lang w:val="es-ES_tradnl"/>
        </w:rPr>
        <w:t>9.17A</w:t>
      </w:r>
      <w:r w:rsidRPr="003667EC">
        <w:rPr>
          <w:color w:val="000000"/>
          <w:lang w:val="es-ES_tradnl"/>
        </w:rPr>
        <w:t xml:space="preserve"> y </w:t>
      </w:r>
      <w:r w:rsidRPr="003667EC">
        <w:rPr>
          <w:rStyle w:val="Artref"/>
          <w:b/>
          <w:color w:val="000000"/>
          <w:lang w:val="es-ES_tradnl"/>
        </w:rPr>
        <w:t>9.19</w:t>
      </w:r>
      <w:r w:rsidRPr="003667EC">
        <w:rPr>
          <w:color w:val="000000"/>
          <w:lang w:val="es-ES_tradnl"/>
        </w:rPr>
        <w:t>. En el momento de la inscripción, se añadirá a la asignación un símbolo descriptivo de la situación a fin de indicar que la estación terrena tiene un estatuto únicamente respecto a la coordinación con los servicios terrenales y respecto a las estaciones terrenas que funcionan en el sentido opuesto de la transmisión; y que no tiene reconocimiento en el contexto de la coordinación de red espacial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w:t>
      </w:r>
    </w:p>
    <w:p w14:paraId="353E561B" w14:textId="77777777" w:rsidR="00A60C28" w:rsidRPr="003667EC" w:rsidRDefault="00A60C28">
      <w:pPr>
        <w:pStyle w:val="Heading3"/>
        <w:rPr>
          <w:color w:val="000000"/>
          <w:lang w:val="es-ES_tradnl"/>
        </w:rPr>
      </w:pPr>
      <w:r w:rsidRPr="003667EC">
        <w:rPr>
          <w:color w:val="000000"/>
          <w:lang w:val="es-ES_tradnl"/>
        </w:rPr>
        <w:t>2.1.2</w:t>
      </w:r>
      <w:r w:rsidRPr="003667EC">
        <w:rPr>
          <w:color w:val="000000"/>
          <w:lang w:val="es-ES_tradnl"/>
        </w:rPr>
        <w:tab/>
        <w:t>Caso en que las asignaciones de la estación espacial no están inscritas en el Registro</w:t>
      </w:r>
    </w:p>
    <w:p w14:paraId="337A07B3" w14:textId="77777777" w:rsidR="00A60C28" w:rsidRPr="003667EC" w:rsidRDefault="00A60C28">
      <w:pPr>
        <w:rPr>
          <w:color w:val="000000"/>
          <w:lang w:val="es-ES_tradnl"/>
        </w:rPr>
      </w:pPr>
      <w:r w:rsidRPr="003667EC">
        <w:rPr>
          <w:color w:val="000000"/>
          <w:lang w:val="es-ES_tradnl"/>
        </w:rPr>
        <w:t>Esta categoría puede incluir los casos siguientes:</w:t>
      </w:r>
    </w:p>
    <w:p w14:paraId="6B863936"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estación espacial para la que es aplicable el procedimiento de la Sección II del Artículo </w:t>
      </w:r>
      <w:r w:rsidRPr="003667EC">
        <w:rPr>
          <w:rStyle w:val="Artref"/>
          <w:b/>
          <w:color w:val="000000"/>
          <w:lang w:val="es-ES_tradnl"/>
        </w:rPr>
        <w:t>9</w:t>
      </w:r>
      <w:r w:rsidRPr="003667EC">
        <w:rPr>
          <w:color w:val="000000"/>
          <w:lang w:val="es-ES_tradnl"/>
        </w:rPr>
        <w:t xml:space="preserve"> y no se ha comunicado aún a la Oficina según los números </w:t>
      </w:r>
      <w:r w:rsidRPr="003667EC">
        <w:rPr>
          <w:rStyle w:val="Artref"/>
          <w:b/>
          <w:color w:val="000000"/>
          <w:lang w:val="es-ES_tradnl"/>
        </w:rPr>
        <w:t>9.30</w:t>
      </w:r>
      <w:r w:rsidRPr="003667EC">
        <w:rPr>
          <w:color w:val="000000"/>
          <w:lang w:val="es-ES_tradnl"/>
        </w:rPr>
        <w:t xml:space="preserve"> y </w:t>
      </w:r>
      <w:r w:rsidRPr="003667EC">
        <w:rPr>
          <w:rStyle w:val="Artref"/>
          <w:b/>
          <w:color w:val="000000"/>
          <w:lang w:val="es-ES_tradnl"/>
        </w:rPr>
        <w:t>9.32</w:t>
      </w:r>
      <w:r w:rsidRPr="003667EC">
        <w:rPr>
          <w:color w:val="000000"/>
          <w:lang w:val="es-ES_tradnl"/>
        </w:rPr>
        <w:t>;</w:t>
      </w:r>
    </w:p>
    <w:p w14:paraId="174DCEFF" w14:textId="77777777" w:rsidR="00F01943" w:rsidRDefault="00F01943">
      <w:pPr>
        <w:pStyle w:val="enumlev1"/>
        <w:rPr>
          <w:i/>
          <w:color w:val="000000"/>
          <w:lang w:val="es-ES_tradnl"/>
        </w:rPr>
      </w:pPr>
      <w:r>
        <w:rPr>
          <w:i/>
          <w:color w:val="000000"/>
          <w:lang w:val="es-ES_tradnl"/>
        </w:rPr>
        <w:br w:type="page"/>
      </w:r>
    </w:p>
    <w:p w14:paraId="1F0AC236"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estación espacial que está en proceso de coordinación (no se ha completado aún el proce</w:t>
      </w:r>
      <w:r w:rsidRPr="003667EC">
        <w:rPr>
          <w:color w:val="000000"/>
          <w:lang w:val="es-ES_tradnl"/>
        </w:rPr>
        <w:softHyphen/>
        <w:t>dimiento de coordinación y la estación espacial no está todavía identificada según el número </w:t>
      </w:r>
      <w:r w:rsidRPr="003667EC">
        <w:rPr>
          <w:rStyle w:val="Artref"/>
          <w:b/>
          <w:color w:val="000000"/>
          <w:lang w:val="es-ES_tradnl"/>
        </w:rPr>
        <w:t>11.15</w:t>
      </w:r>
      <w:r w:rsidRPr="003667EC">
        <w:rPr>
          <w:color w:val="000000"/>
          <w:lang w:val="es-ES_tradnl"/>
        </w:rPr>
        <w:t>);</w:t>
      </w:r>
    </w:p>
    <w:p w14:paraId="7AC96695" w14:textId="77777777" w:rsidR="00A60C28" w:rsidRPr="003667EC" w:rsidRDefault="00A60C28">
      <w:pPr>
        <w:pStyle w:val="enumlev1"/>
        <w:rPr>
          <w:color w:val="000000"/>
          <w:lang w:val="es-ES_tradnl"/>
        </w:rPr>
      </w:pPr>
      <w:r w:rsidRPr="003667EC">
        <w:rPr>
          <w:i/>
          <w:color w:val="000000"/>
          <w:lang w:val="es-ES_tradnl"/>
        </w:rPr>
        <w:t>c)</w:t>
      </w:r>
      <w:r w:rsidRPr="003667EC">
        <w:rPr>
          <w:color w:val="000000"/>
          <w:lang w:val="es-ES_tradnl"/>
        </w:rPr>
        <w:tab/>
        <w:t>estación espacial que ha completado satisfactoriamente el procedimiento del Artículo </w:t>
      </w:r>
      <w:r w:rsidRPr="003667EC">
        <w:rPr>
          <w:rStyle w:val="Artref"/>
          <w:b/>
          <w:color w:val="000000"/>
          <w:lang w:val="es-ES_tradnl"/>
        </w:rPr>
        <w:t>9</w:t>
      </w:r>
      <w:r w:rsidRPr="003667EC">
        <w:rPr>
          <w:color w:val="000000"/>
          <w:lang w:val="es-ES_tradnl"/>
        </w:rPr>
        <w:t>, pero que no ha sido aún notificada a la Oficina según el número </w:t>
      </w:r>
      <w:r w:rsidRPr="003667EC">
        <w:rPr>
          <w:rStyle w:val="Artref"/>
          <w:b/>
          <w:color w:val="000000"/>
          <w:lang w:val="es-ES_tradnl"/>
        </w:rPr>
        <w:t>11.15</w:t>
      </w:r>
      <w:r w:rsidRPr="003667EC">
        <w:rPr>
          <w:color w:val="000000"/>
          <w:lang w:val="es-ES_tradnl"/>
        </w:rPr>
        <w:t>;</w:t>
      </w:r>
    </w:p>
    <w:p w14:paraId="1B716196" w14:textId="77777777" w:rsidR="00A60C28" w:rsidRPr="003667EC" w:rsidRDefault="00A60C28" w:rsidP="00285A0D">
      <w:pPr>
        <w:pStyle w:val="enumlev1"/>
        <w:rPr>
          <w:color w:val="000000"/>
          <w:lang w:val="es-ES_tradnl"/>
        </w:rPr>
      </w:pPr>
      <w:r w:rsidRPr="003667EC">
        <w:rPr>
          <w:i/>
          <w:color w:val="000000"/>
          <w:lang w:val="es-ES_tradnl"/>
        </w:rPr>
        <w:t>d)</w:t>
      </w:r>
      <w:r w:rsidRPr="003667EC">
        <w:rPr>
          <w:color w:val="000000"/>
          <w:lang w:val="es-ES_tradnl"/>
        </w:rPr>
        <w:tab/>
        <w:t xml:space="preserve">notificación de estación espacial enviada (número </w:t>
      </w:r>
      <w:r w:rsidRPr="003667EC">
        <w:rPr>
          <w:rStyle w:val="Artref"/>
          <w:b/>
          <w:color w:val="000000"/>
          <w:lang w:val="es-ES_tradnl"/>
        </w:rPr>
        <w:t>11.15</w:t>
      </w:r>
      <w:r w:rsidRPr="003667EC">
        <w:rPr>
          <w:color w:val="000000"/>
          <w:lang w:val="es-ES_tradnl"/>
        </w:rPr>
        <w:t>) pero que se ha devuelto a la</w:t>
      </w:r>
      <w:r w:rsidR="003667EC" w:rsidRPr="003667EC">
        <w:rPr>
          <w:color w:val="000000"/>
          <w:lang w:val="es-ES_tradnl"/>
        </w:rPr>
        <w:t> </w:t>
      </w:r>
      <w:r w:rsidRPr="003667EC">
        <w:rPr>
          <w:color w:val="000000"/>
          <w:lang w:val="es-ES_tradnl"/>
        </w:rPr>
        <w:t xml:space="preserve">administración con una conclusión desfavorable según los números </w:t>
      </w:r>
      <w:r w:rsidRPr="003667EC">
        <w:rPr>
          <w:rStyle w:val="Artref"/>
          <w:b/>
          <w:color w:val="000000"/>
          <w:lang w:val="es-ES_tradnl"/>
        </w:rPr>
        <w:t>11.31</w:t>
      </w:r>
      <w:r w:rsidRPr="003667EC">
        <w:rPr>
          <w:color w:val="000000"/>
          <w:lang w:val="es-ES_tradnl"/>
        </w:rPr>
        <w:t xml:space="preserve"> u </w:t>
      </w:r>
      <w:r w:rsidRPr="003667EC">
        <w:rPr>
          <w:rStyle w:val="Artref"/>
          <w:b/>
          <w:color w:val="000000"/>
          <w:lang w:val="es-ES_tradnl"/>
        </w:rPr>
        <w:t>11.32</w:t>
      </w:r>
      <w:r w:rsidRPr="003667EC">
        <w:rPr>
          <w:color w:val="000000"/>
          <w:lang w:val="es-ES_tradnl"/>
        </w:rPr>
        <w:t xml:space="preserve"> y </w:t>
      </w:r>
      <w:r w:rsidRPr="003667EC">
        <w:rPr>
          <w:rStyle w:val="Artref"/>
          <w:b/>
          <w:color w:val="000000"/>
          <w:lang w:val="es-ES_tradnl"/>
        </w:rPr>
        <w:t>11.32A</w:t>
      </w:r>
      <w:r w:rsidRPr="003667EC">
        <w:rPr>
          <w:color w:val="000000"/>
          <w:lang w:val="es-ES_tradnl"/>
        </w:rPr>
        <w:t>; y</w:t>
      </w:r>
    </w:p>
    <w:p w14:paraId="67B969EB" w14:textId="77777777" w:rsidR="00A60C28" w:rsidRPr="003667EC" w:rsidRDefault="00A60C28">
      <w:pPr>
        <w:pStyle w:val="enumlev1"/>
        <w:rPr>
          <w:color w:val="000000"/>
          <w:lang w:val="es-ES_tradnl"/>
        </w:rPr>
      </w:pPr>
      <w:r w:rsidRPr="003667EC">
        <w:rPr>
          <w:i/>
          <w:color w:val="000000"/>
          <w:lang w:val="es-ES_tradnl"/>
        </w:rPr>
        <w:t>e)</w:t>
      </w:r>
      <w:r w:rsidRPr="003667EC">
        <w:rPr>
          <w:color w:val="000000"/>
          <w:lang w:val="es-ES_tradnl"/>
        </w:rPr>
        <w:tab/>
        <w:t xml:space="preserve">estación espacial ya notificada (número </w:t>
      </w:r>
      <w:r w:rsidRPr="003667EC">
        <w:rPr>
          <w:rStyle w:val="Artref"/>
          <w:b/>
          <w:color w:val="000000"/>
          <w:lang w:val="es-ES_tradnl"/>
        </w:rPr>
        <w:t>11.15</w:t>
      </w:r>
      <w:r w:rsidRPr="003667EC">
        <w:rPr>
          <w:color w:val="000000"/>
          <w:lang w:val="es-ES_tradnl"/>
        </w:rPr>
        <w:t>) pero no inscrita aún (en curso de procesa</w:t>
      </w:r>
      <w:r w:rsidR="009A2F2C" w:rsidRPr="003667EC">
        <w:rPr>
          <w:color w:val="000000"/>
          <w:lang w:val="es-ES_tradnl"/>
        </w:rPr>
        <w:softHyphen/>
      </w:r>
      <w:r w:rsidRPr="003667EC">
        <w:rPr>
          <w:color w:val="000000"/>
          <w:lang w:val="es-ES_tradnl"/>
        </w:rPr>
        <w:t>miento por la Oficina).</w:t>
      </w:r>
    </w:p>
    <w:p w14:paraId="4F213F93" w14:textId="77777777" w:rsidR="00A60C28" w:rsidRPr="003667EC" w:rsidRDefault="00A60C28" w:rsidP="007E3FFE">
      <w:pPr>
        <w:rPr>
          <w:color w:val="000000"/>
          <w:lang w:val="es-ES_tradnl"/>
        </w:rPr>
      </w:pPr>
      <w:r w:rsidRPr="003667EC">
        <w:rPr>
          <w:color w:val="000000"/>
          <w:lang w:val="es-ES_tradnl"/>
        </w:rPr>
        <w:t>2.1.2.1</w:t>
      </w:r>
      <w:r w:rsidRPr="003667EC">
        <w:rPr>
          <w:color w:val="000000"/>
          <w:lang w:val="es-ES_tradnl"/>
        </w:rPr>
        <w:tab/>
        <w:t xml:space="preserve">Partiendo del principio de que el elemento principal de una red espacial es la estación espacial y de que sería erróneo inscribir en el Registro estaciones terrenas para las que no se ha inscrito una estación espacial (red), la Junta decidió que no se podrá inscribir una estación terrena en el Registro antes de su estación espacial asociada. En consecuencia, las estaciones terrenas de las categorías de los § 2.1.2 </w:t>
      </w:r>
      <w:r w:rsidRPr="003667EC">
        <w:rPr>
          <w:i/>
          <w:color w:val="000000"/>
          <w:lang w:val="es-ES_tradnl"/>
        </w:rPr>
        <w:t>a)</w:t>
      </w:r>
      <w:r w:rsidRPr="003667EC">
        <w:rPr>
          <w:color w:val="000000"/>
          <w:lang w:val="es-ES_tradnl"/>
        </w:rPr>
        <w:t xml:space="preserve"> a </w:t>
      </w:r>
      <w:r w:rsidRPr="003667EC">
        <w:rPr>
          <w:i/>
          <w:color w:val="000000"/>
          <w:lang w:val="es-ES_tradnl"/>
        </w:rPr>
        <w:t>d)</w:t>
      </w:r>
      <w:r w:rsidRPr="003667EC">
        <w:rPr>
          <w:color w:val="000000"/>
          <w:lang w:val="es-ES_tradnl"/>
        </w:rPr>
        <w:t xml:space="preserve"> anteriores obtendrán una conclusión desfavorable según el número </w:t>
      </w:r>
      <w:r w:rsidRPr="003667EC">
        <w:rPr>
          <w:rStyle w:val="Artref"/>
          <w:b/>
          <w:color w:val="000000"/>
          <w:lang w:val="es-ES_tradnl"/>
        </w:rPr>
        <w:t>11.32</w:t>
      </w:r>
      <w:r w:rsidRPr="003667EC">
        <w:rPr>
          <w:color w:val="000000"/>
          <w:lang w:val="es-ES_tradnl"/>
        </w:rPr>
        <w:t>.</w:t>
      </w:r>
    </w:p>
    <w:p w14:paraId="4990D71F" w14:textId="77777777" w:rsidR="00A60C28" w:rsidRDefault="00A60C28">
      <w:pPr>
        <w:rPr>
          <w:color w:val="000000"/>
          <w:lang w:val="es-ES_tradnl"/>
        </w:rPr>
      </w:pPr>
      <w:r w:rsidRPr="003667EC">
        <w:rPr>
          <w:color w:val="000000"/>
          <w:lang w:val="es-ES_tradnl"/>
        </w:rPr>
        <w:t>2.1.2.2</w:t>
      </w:r>
      <w:r w:rsidRPr="003667EC">
        <w:rPr>
          <w:b/>
          <w:color w:val="000000"/>
          <w:lang w:val="es-ES_tradnl"/>
        </w:rPr>
        <w:tab/>
      </w:r>
      <w:r w:rsidRPr="003667EC">
        <w:rPr>
          <w:color w:val="000000"/>
          <w:lang w:val="es-ES_tradnl"/>
        </w:rPr>
        <w:t xml:space="preserve">La Oficina procesará las notificaciones de estación terrena de la categoría del § 2.1.2 </w:t>
      </w:r>
      <w:r w:rsidRPr="003667EC">
        <w:rPr>
          <w:i/>
          <w:color w:val="000000"/>
          <w:lang w:val="es-ES_tradnl"/>
        </w:rPr>
        <w:t>e)</w:t>
      </w:r>
      <w:r w:rsidRPr="003667EC">
        <w:rPr>
          <w:color w:val="000000"/>
          <w:lang w:val="es-ES_tradnl"/>
        </w:rPr>
        <w:t xml:space="preserve"> anterior junto con las de la estación espacial asociada y la conclusión según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 otorgará conforme a la conclusión de la estación espacial o en aplicación de los § 2.1.1 </w:t>
      </w:r>
      <w:r w:rsidRPr="003667EC">
        <w:rPr>
          <w:i/>
          <w:color w:val="000000"/>
          <w:lang w:val="es-ES_tradnl"/>
        </w:rPr>
        <w:t>a)</w:t>
      </w:r>
      <w:r w:rsidRPr="003667EC">
        <w:rPr>
          <w:color w:val="000000"/>
          <w:lang w:val="es-ES_tradnl"/>
        </w:rPr>
        <w:t xml:space="preserve"> (conclusión favorable) o 2.1.2.1 (conclusión desfavorable).</w:t>
      </w:r>
    </w:p>
    <w:p w14:paraId="5499AF9B" w14:textId="77777777" w:rsidR="00A60C28" w:rsidRPr="003667EC" w:rsidRDefault="00A60C28" w:rsidP="007E3FFE">
      <w:pPr>
        <w:pStyle w:val="Heading3"/>
        <w:rPr>
          <w:color w:val="000000"/>
          <w:lang w:val="es-ES_tradnl"/>
        </w:rPr>
      </w:pPr>
      <w:r w:rsidRPr="003667EC">
        <w:rPr>
          <w:color w:val="000000"/>
          <w:lang w:val="es-ES_tradnl"/>
        </w:rPr>
        <w:t>2.1.3</w:t>
      </w:r>
      <w:r w:rsidRPr="003667EC">
        <w:rPr>
          <w:color w:val="000000"/>
          <w:lang w:val="es-ES_tradnl"/>
        </w:rPr>
        <w:tab/>
        <w:t>Estación terrena fuera de la zona de servicio de la estación espacial asociada</w:t>
      </w:r>
    </w:p>
    <w:p w14:paraId="26F2A401" w14:textId="77777777" w:rsidR="00A60C28" w:rsidRPr="003667EC" w:rsidRDefault="00A60C28">
      <w:pPr>
        <w:rPr>
          <w:color w:val="000000"/>
          <w:lang w:val="es-ES_tradnl"/>
        </w:rPr>
      </w:pPr>
      <w:r w:rsidRPr="003667EC">
        <w:rPr>
          <w:color w:val="000000"/>
          <w:lang w:val="es-ES_tradnl"/>
        </w:rPr>
        <w:t xml:space="preserve">Las estaciones terrenas que están fuera de la zona de servicio de la estación espacial asociada, serán motivo de una conclusión desfavorable de acuerdo con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convenga, considerando que en la coordinación de la estación espacial asociada no se había podido tomar en cuenta la estación terrena fuera de la zona de servicio.</w:t>
      </w:r>
    </w:p>
    <w:p w14:paraId="458A73E8" w14:textId="77777777" w:rsidR="00A60C28" w:rsidRPr="003667EC" w:rsidRDefault="00A60C28">
      <w:pPr>
        <w:pStyle w:val="Heading2"/>
        <w:rPr>
          <w:color w:val="000000"/>
          <w:lang w:val="es-ES_tradnl"/>
        </w:rPr>
      </w:pPr>
      <w:r w:rsidRPr="003667EC">
        <w:rPr>
          <w:color w:val="000000"/>
          <w:lang w:val="es-ES_tradnl"/>
        </w:rPr>
        <w:t>2.2</w:t>
      </w:r>
      <w:r w:rsidRPr="003667EC">
        <w:rPr>
          <w:color w:val="000000"/>
          <w:lang w:val="es-ES_tradnl"/>
        </w:rPr>
        <w:tab/>
        <w:t>Examen de una modificación de la asignación a una estación terrena inscrita en el Registro</w:t>
      </w:r>
    </w:p>
    <w:p w14:paraId="6B8D784D" w14:textId="77777777" w:rsidR="00A60C28" w:rsidRPr="003667EC" w:rsidRDefault="00A60C28">
      <w:pPr>
        <w:rPr>
          <w:color w:val="000000"/>
          <w:lang w:val="es-ES_tradnl"/>
        </w:rPr>
      </w:pPr>
      <w:r w:rsidRPr="003667EC">
        <w:rPr>
          <w:color w:val="000000"/>
          <w:lang w:val="es-ES_tradnl"/>
        </w:rPr>
        <w:t>La modificación de una asignación a una estación terrena puede afectar a:</w:t>
      </w:r>
    </w:p>
    <w:p w14:paraId="2D4D06D4"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la posición orbital de la estación espacial asociada, o</w:t>
      </w:r>
    </w:p>
    <w:p w14:paraId="7F0BB95F"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sustitución de la estación espacial asociada por otra, o</w:t>
      </w:r>
    </w:p>
    <w:p w14:paraId="7FD360DA" w14:textId="338D8A42"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otra u otras característica(s) cualesquiera.</w:t>
      </w:r>
    </w:p>
    <w:p w14:paraId="6B378866" w14:textId="77777777" w:rsidR="00F01943" w:rsidRDefault="00F01943" w:rsidP="00F01943">
      <w:pPr>
        <w:rPr>
          <w:lang w:val="es-ES_tradnl"/>
        </w:rPr>
      </w:pPr>
      <w:r>
        <w:rPr>
          <w:lang w:val="es-ES_tradnl"/>
        </w:rPr>
        <w:br w:type="page"/>
      </w:r>
    </w:p>
    <w:p w14:paraId="4C789EF9" w14:textId="77777777" w:rsidR="00A60C28" w:rsidRPr="003667EC" w:rsidRDefault="00A60C28">
      <w:pPr>
        <w:pStyle w:val="Heading3"/>
        <w:rPr>
          <w:color w:val="000000"/>
          <w:lang w:val="es-ES_tradnl"/>
        </w:rPr>
      </w:pPr>
      <w:r w:rsidRPr="003667EC">
        <w:rPr>
          <w:color w:val="000000"/>
          <w:lang w:val="es-ES_tradnl"/>
        </w:rPr>
        <w:lastRenderedPageBreak/>
        <w:t>2.2.1</w:t>
      </w:r>
      <w:r w:rsidRPr="003667EC">
        <w:rPr>
          <w:color w:val="000000"/>
          <w:lang w:val="es-ES_tradnl"/>
        </w:rPr>
        <w:tab/>
        <w:t>Modificación de la posición orbital de la estación espacial asociada</w:t>
      </w:r>
    </w:p>
    <w:p w14:paraId="4A77A247" w14:textId="77777777" w:rsidR="00A60C28" w:rsidRPr="003667EC" w:rsidRDefault="00A60C28">
      <w:pPr>
        <w:rPr>
          <w:color w:val="000000"/>
          <w:lang w:val="es-ES_tradnl"/>
        </w:rPr>
      </w:pPr>
      <w:r w:rsidRPr="003667EC">
        <w:rPr>
          <w:color w:val="000000"/>
          <w:lang w:val="es-ES_tradnl"/>
        </w:rPr>
        <w:t>La modificación de la posición orbital de la estación espacial asociada puede afectar a otras redes de satélite y puede hacer que la administración responsable de la estación espacial reaplique el procedimiento de coordinación. La Oficina considera que las estaciones terrenas interesadas se tuvieron en cuenta en la coordinación de la modificación de la estación espacial asociada y, en consecuencia, aplicará las reglas indicadas en el § 2.1 anterior.</w:t>
      </w:r>
    </w:p>
    <w:p w14:paraId="6A99663E" w14:textId="77777777" w:rsidR="00A60C28" w:rsidRPr="003667EC" w:rsidRDefault="00A60C28">
      <w:pPr>
        <w:pStyle w:val="Heading3"/>
        <w:rPr>
          <w:color w:val="000000"/>
          <w:lang w:val="es-ES_tradnl"/>
        </w:rPr>
      </w:pPr>
      <w:r w:rsidRPr="003667EC">
        <w:rPr>
          <w:color w:val="000000"/>
          <w:lang w:val="es-ES_tradnl"/>
        </w:rPr>
        <w:t>2.2.2</w:t>
      </w:r>
      <w:r w:rsidRPr="003667EC">
        <w:rPr>
          <w:color w:val="000000"/>
          <w:lang w:val="es-ES_tradnl"/>
        </w:rPr>
        <w:tab/>
        <w:t>Sustitución de la estación espacial asociada</w:t>
      </w:r>
    </w:p>
    <w:p w14:paraId="19F43A4F" w14:textId="77777777" w:rsidR="00A60C28" w:rsidRPr="003667EC" w:rsidRDefault="00A60C28">
      <w:pPr>
        <w:rPr>
          <w:color w:val="000000"/>
          <w:lang w:val="es-ES_tradnl"/>
        </w:rPr>
      </w:pPr>
      <w:r w:rsidRPr="003667EC">
        <w:rPr>
          <w:color w:val="000000"/>
          <w:lang w:val="es-ES_tradnl"/>
        </w:rPr>
        <w:t>La Junta estima que, como resultado de la sustitución de la estación espacial asociada, la estación terrena participa en una red diferente. En consecuencia, la notificación de la modifi</w:t>
      </w:r>
      <w:r w:rsidRPr="003667EC">
        <w:rPr>
          <w:color w:val="000000"/>
          <w:lang w:val="es-ES_tradnl"/>
        </w:rPr>
        <w:softHyphen/>
        <w:t>cación se considerará como una primera notificación, se modificará la notificación y se infor</w:t>
      </w:r>
      <w:r w:rsidRPr="003667EC">
        <w:rPr>
          <w:color w:val="000000"/>
          <w:lang w:val="es-ES_tradnl"/>
        </w:rPr>
        <w:softHyphen/>
        <w:t xml:space="preserve">mará a la administración de acuerdo con ello. El examen previsto en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según corresponda, se realizará como se indica en el § 2.1 anterior.</w:t>
      </w:r>
    </w:p>
    <w:p w14:paraId="496D9DC0" w14:textId="77777777" w:rsidR="00A60C28" w:rsidRPr="003667EC" w:rsidRDefault="00A60C28">
      <w:pPr>
        <w:pStyle w:val="Heading3"/>
        <w:rPr>
          <w:color w:val="000000"/>
          <w:lang w:val="es-ES_tradnl"/>
        </w:rPr>
      </w:pPr>
      <w:r w:rsidRPr="003667EC">
        <w:rPr>
          <w:color w:val="000000"/>
          <w:lang w:val="es-ES_tradnl"/>
        </w:rPr>
        <w:t>2.2.3</w:t>
      </w:r>
      <w:r w:rsidRPr="003667EC">
        <w:rPr>
          <w:color w:val="000000"/>
          <w:lang w:val="es-ES_tradnl"/>
        </w:rPr>
        <w:tab/>
        <w:t>Modificación de otras características</w:t>
      </w:r>
    </w:p>
    <w:p w14:paraId="0D49994F" w14:textId="77777777" w:rsidR="00A60C28" w:rsidRPr="003667EC" w:rsidRDefault="00A60C28">
      <w:pPr>
        <w:rPr>
          <w:color w:val="000000"/>
          <w:lang w:val="es-ES_tradnl"/>
        </w:rPr>
      </w:pPr>
      <w:r w:rsidRPr="003667EC">
        <w:rPr>
          <w:color w:val="000000"/>
          <w:lang w:val="es-ES_tradnl"/>
        </w:rPr>
        <w:t>La Junta considera que las características modificadas de las estaciones terrenas interesadas se tuvieron en cuenta en la coordinación de la estación espacial asociada y, en consecuencia, aplicará las Reglas indicadas en el § 2.1 anterior.</w:t>
      </w:r>
    </w:p>
    <w:p w14:paraId="5B8B14E9" w14:textId="77777777" w:rsidR="00A60C28" w:rsidRPr="003667EC" w:rsidRDefault="00A60C28">
      <w:pPr>
        <w:pStyle w:val="Heading2"/>
        <w:rPr>
          <w:color w:val="000000"/>
          <w:lang w:val="es-ES_tradnl"/>
        </w:rPr>
      </w:pPr>
      <w:r w:rsidRPr="003667EC">
        <w:rPr>
          <w:color w:val="000000"/>
          <w:lang w:val="es-ES_tradnl"/>
        </w:rPr>
        <w:t>2.3</w:t>
      </w:r>
      <w:r w:rsidRPr="003667EC">
        <w:rPr>
          <w:color w:val="000000"/>
          <w:lang w:val="es-ES_tradnl"/>
        </w:rPr>
        <w:tab/>
        <w:t>Anulación de la asignación de una estación espacial</w:t>
      </w:r>
    </w:p>
    <w:p w14:paraId="01AE04BE" w14:textId="77777777" w:rsidR="00A60C28" w:rsidRDefault="00A60C28">
      <w:pPr>
        <w:rPr>
          <w:color w:val="000000"/>
          <w:lang w:val="es-ES_tradnl"/>
        </w:rPr>
      </w:pPr>
      <w:r w:rsidRPr="003667EC">
        <w:rPr>
          <w:color w:val="000000"/>
          <w:lang w:val="es-ES_tradnl"/>
        </w:rPr>
        <w:t>Si la administración notificante anula la asignación a una estación espacial, la Oficina exami</w:t>
      </w:r>
      <w:r w:rsidRPr="003667EC">
        <w:rPr>
          <w:color w:val="000000"/>
          <w:lang w:val="es-ES_tradnl"/>
        </w:rPr>
        <w:softHyphen/>
        <w:t>nará la estación o estaciones terrenas asociadas a dicha estación espacial y, conforme al número </w:t>
      </w:r>
      <w:r w:rsidRPr="003667EC">
        <w:rPr>
          <w:rStyle w:val="Artref"/>
          <w:b/>
          <w:color w:val="000000"/>
          <w:lang w:val="es-ES_tradnl"/>
        </w:rPr>
        <w:t>13.13</w:t>
      </w:r>
      <w:r w:rsidRPr="003667EC">
        <w:rPr>
          <w:color w:val="000000"/>
          <w:lang w:val="es-ES_tradnl"/>
        </w:rPr>
        <w:t>, propondrá a la administración notificante anular o modificar convenientemente las características fundamentales de la anotación.</w:t>
      </w:r>
    </w:p>
    <w:p w14:paraId="0BF89530" w14:textId="77777777" w:rsidR="00F01943" w:rsidRPr="003667EC" w:rsidRDefault="00F01943" w:rsidP="00F01943">
      <w:pPr>
        <w:pStyle w:val="Heading1"/>
        <w:keepNext w:val="0"/>
        <w:keepLines w:val="0"/>
        <w:spacing w:line="280" w:lineRule="exact"/>
        <w:rPr>
          <w:lang w:val="es-ES_tradnl"/>
        </w:rPr>
      </w:pPr>
      <w:r w:rsidRPr="003667EC">
        <w:rPr>
          <w:lang w:val="es-ES_tradnl"/>
        </w:rPr>
        <w:t>3</w:t>
      </w:r>
      <w:r w:rsidRPr="003667EC">
        <w:rPr>
          <w:lang w:val="es-ES_tradnl"/>
        </w:rPr>
        <w:tab/>
        <w:t>Examen de una asignación de frecuencia a una estación terrena con respecto a la aplicación de los números </w:t>
      </w:r>
      <w:r w:rsidRPr="003667EC">
        <w:rPr>
          <w:rStyle w:val="Artref"/>
          <w:color w:val="000000"/>
          <w:lang w:val="es-ES_tradnl"/>
        </w:rPr>
        <w:t>9.15</w:t>
      </w:r>
      <w:r w:rsidRPr="003667EC">
        <w:rPr>
          <w:lang w:val="es-ES_tradnl"/>
        </w:rPr>
        <w:t xml:space="preserve">, </w:t>
      </w:r>
      <w:r w:rsidRPr="003667EC">
        <w:rPr>
          <w:rStyle w:val="Artref"/>
          <w:color w:val="000000"/>
          <w:lang w:val="es-ES_tradnl"/>
        </w:rPr>
        <w:t>9.17</w:t>
      </w:r>
      <w:r w:rsidRPr="003667EC">
        <w:rPr>
          <w:lang w:val="es-ES_tradnl"/>
        </w:rPr>
        <w:t xml:space="preserve">, </w:t>
      </w:r>
      <w:r w:rsidRPr="003667EC">
        <w:rPr>
          <w:rStyle w:val="Artref"/>
          <w:color w:val="000000"/>
          <w:lang w:val="es-ES_tradnl"/>
        </w:rPr>
        <w:t xml:space="preserve">9.17A </w:t>
      </w:r>
      <w:r w:rsidRPr="003667EC">
        <w:rPr>
          <w:lang w:val="es-ES_tradnl"/>
        </w:rPr>
        <w:t>y </w:t>
      </w:r>
      <w:r w:rsidRPr="003667EC">
        <w:rPr>
          <w:rStyle w:val="Artref"/>
          <w:color w:val="000000"/>
          <w:lang w:val="es-ES_tradnl"/>
        </w:rPr>
        <w:t>9.19</w:t>
      </w:r>
    </w:p>
    <w:p w14:paraId="5A8013B3" w14:textId="77777777" w:rsidR="00F01943" w:rsidRPr="003667EC" w:rsidRDefault="00F01943" w:rsidP="00F01943">
      <w:pPr>
        <w:rPr>
          <w:color w:val="000000"/>
          <w:lang w:val="es-ES_tradnl"/>
        </w:rPr>
      </w:pPr>
      <w:r w:rsidRPr="003667EC">
        <w:rPr>
          <w:color w:val="000000"/>
          <w:lang w:val="es-ES_tradnl"/>
        </w:rPr>
        <w:t>Véanse los comentarios de las Reglas de Procedimiento correspondientes al número </w:t>
      </w:r>
      <w:r w:rsidRPr="003667EC">
        <w:rPr>
          <w:rStyle w:val="Artref"/>
          <w:b/>
          <w:color w:val="000000"/>
          <w:lang w:val="es-ES_tradnl"/>
        </w:rPr>
        <w:t>9.27</w:t>
      </w:r>
      <w:r w:rsidRPr="003667EC">
        <w:rPr>
          <w:color w:val="000000"/>
          <w:lang w:val="es-ES_tradnl"/>
        </w:rPr>
        <w:t xml:space="preserve"> (§ 3.1 y 3.2).</w:t>
      </w:r>
    </w:p>
    <w:p w14:paraId="7E80B2E0" w14:textId="77777777" w:rsidR="00F01943" w:rsidRPr="003667EC" w:rsidRDefault="004C44AE" w:rsidP="00F60ECF">
      <w:pPr>
        <w:rPr>
          <w:color w:val="000000"/>
          <w:u w:val="single"/>
          <w:lang w:val="es-ES_tradnl"/>
        </w:rPr>
      </w:pPr>
      <w:r w:rsidRPr="003667EC">
        <w:rPr>
          <w:lang w:val="es-ES_tradnl"/>
        </w:rPr>
        <w:br w:type="page"/>
      </w:r>
    </w:p>
    <w:p w14:paraId="2A5B2BC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lastRenderedPageBreak/>
        <w:t>4</w:t>
      </w:r>
      <w:r w:rsidRPr="003667EC">
        <w:rPr>
          <w:color w:val="000000"/>
          <w:lang w:val="es-ES_tradnl"/>
        </w:rPr>
        <w:tab/>
        <w:t>Examen de las notificaciones de asignación de frecuencia a estaciones en los servicios terrenales en las bandas compartidas con igualdad de derechos con el servicio espacial</w:t>
      </w:r>
    </w:p>
    <w:p w14:paraId="06AAE9BB" w14:textId="77777777" w:rsidR="00A60C28" w:rsidRPr="003667EC" w:rsidRDefault="00A60C28">
      <w:pPr>
        <w:rPr>
          <w:color w:val="000000"/>
          <w:lang w:val="es-ES_tradnl"/>
        </w:rPr>
      </w:pPr>
      <w:r w:rsidRPr="003667EC">
        <w:rPr>
          <w:color w:val="000000"/>
          <w:lang w:val="es-ES_tradnl"/>
        </w:rPr>
        <w:t>4.1</w:t>
      </w:r>
      <w:r w:rsidRPr="003667EC">
        <w:rPr>
          <w:color w:val="000000"/>
          <w:lang w:val="es-ES_tradnl"/>
        </w:rPr>
        <w:tab/>
        <w:t>En su examen de una notificación de asignación de frecuencia para una estación de un servicio terrenal, en las bandas compartidas con igualdad de derechos con servicios espaciales, desde el punto de vista de su conformidad con los procedimientos relativos a la coordinación respecto de las estaciones terrenas de otras administraciones, la Oficina toma en cuenta a las estaciones terrenas que están inscritas en el Registro. A estos efectos, la Oficina utiliza la zona de coordinación asociada a la correspondiente estación terrena y calculada según el método de cálculo y los parámetros que estén en vigor en el momento de la notifi</w:t>
      </w:r>
      <w:r w:rsidR="009A2F2C" w:rsidRPr="003667EC">
        <w:rPr>
          <w:color w:val="000000"/>
          <w:lang w:val="es-ES_tradnl"/>
        </w:rPr>
        <w:softHyphen/>
      </w:r>
      <w:r w:rsidRPr="003667EC">
        <w:rPr>
          <w:color w:val="000000"/>
          <w:lang w:val="es-ES_tradnl"/>
        </w:rPr>
        <w:t>cación de la estación terrena.</w:t>
      </w:r>
    </w:p>
    <w:p w14:paraId="65D55125" w14:textId="6D881881" w:rsidR="00A60C28" w:rsidRPr="003667EC" w:rsidRDefault="00A60C28" w:rsidP="00BF0573">
      <w:pPr>
        <w:spacing w:before="120"/>
        <w:rPr>
          <w:color w:val="000000"/>
          <w:lang w:val="es-ES_tradnl"/>
        </w:rPr>
      </w:pPr>
      <w:r w:rsidRPr="003667EC">
        <w:rPr>
          <w:color w:val="000000"/>
          <w:lang w:val="es-ES_tradnl"/>
        </w:rPr>
        <w:t>Si, dentro del periodo de tres años siguientes a la fecha de notificación</w:t>
      </w:r>
      <w:r w:rsidR="003421C9">
        <w:rPr>
          <w:rStyle w:val="FootnoteReference"/>
          <w:color w:val="000000"/>
          <w:lang w:val="es-ES_tradnl"/>
        </w:rPr>
        <w:footnoteReference w:customMarkFollows="1" w:id="10"/>
        <w:t>10</w:t>
      </w:r>
      <w:r w:rsidRPr="003667EC">
        <w:rPr>
          <w:color w:val="000000"/>
          <w:lang w:val="es-ES_tradnl"/>
        </w:rPr>
        <w:t xml:space="preserve"> de la estación terrenal,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estación(es)</w:t>
      </w:r>
      <w:r w:rsidR="005164F3" w:rsidRPr="003667EC">
        <w:rPr>
          <w:color w:val="000000"/>
          <w:lang w:val="es-ES_tradnl"/>
        </w:rPr>
        <w:t xml:space="preserve"> </w:t>
      </w:r>
      <w:r w:rsidRPr="003667EC">
        <w:rPr>
          <w:color w:val="000000"/>
          <w:lang w:val="es-ES_tradnl"/>
        </w:rPr>
        <w:t xml:space="preserve">terrena(s) en virtud de los números </w:t>
      </w:r>
      <w:r w:rsidRPr="003667EC">
        <w:rPr>
          <w:rStyle w:val="Artref"/>
          <w:b/>
          <w:color w:val="000000"/>
          <w:lang w:val="es-ES_tradnl"/>
        </w:rPr>
        <w:t>9.15</w:t>
      </w:r>
      <w:r w:rsidRPr="003667EC">
        <w:rPr>
          <w:color w:val="000000"/>
          <w:lang w:val="es-ES_tradnl"/>
        </w:rPr>
        <w:t xml:space="preserve"> ó </w:t>
      </w:r>
      <w:r w:rsidRPr="003667EC">
        <w:rPr>
          <w:rStyle w:val="Artref"/>
          <w:b/>
          <w:color w:val="000000"/>
          <w:lang w:val="es-ES_tradnl"/>
        </w:rPr>
        <w:t>9.17</w:t>
      </w:r>
      <w:r w:rsidRPr="003667EC">
        <w:rPr>
          <w:color w:val="000000"/>
          <w:lang w:val="es-ES_tradnl"/>
        </w:rPr>
        <w:t>, y no se la aceptó, o se la aceptó con características técnicas diferentes, la Oficina examinará la situación de confor</w:t>
      </w:r>
      <w:r w:rsidR="00515A02" w:rsidRPr="003667EC">
        <w:rPr>
          <w:color w:val="000000"/>
          <w:lang w:val="es-ES_tradnl"/>
        </w:rPr>
        <w:softHyphen/>
      </w:r>
      <w:r w:rsidRPr="003667EC">
        <w:rPr>
          <w:color w:val="000000"/>
          <w:lang w:val="es-ES_tradnl"/>
        </w:rPr>
        <w:t xml:space="preserve">midad con las disposiciones pertinentes del Artículo </w:t>
      </w:r>
      <w:r w:rsidRPr="003667EC">
        <w:rPr>
          <w:rStyle w:val="Artref"/>
          <w:b/>
          <w:color w:val="000000"/>
          <w:lang w:val="es-ES_tradnl"/>
        </w:rPr>
        <w:t>14</w:t>
      </w:r>
      <w:r w:rsidRPr="003667EC">
        <w:rPr>
          <w:b/>
          <w:color w:val="000000"/>
          <w:lang w:val="es-ES_tradnl"/>
        </w:rPr>
        <w:t xml:space="preserve"> </w:t>
      </w:r>
      <w:r w:rsidRPr="003667EC">
        <w:rPr>
          <w:color w:val="000000"/>
          <w:lang w:val="es-ES_tradnl"/>
        </w:rPr>
        <w:t>y procederá en consecuencia.</w:t>
      </w:r>
    </w:p>
    <w:p w14:paraId="4396EAB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t>5</w:t>
      </w:r>
      <w:r w:rsidRPr="003667EC">
        <w:rPr>
          <w:color w:val="000000"/>
          <w:lang w:val="es-ES_tradnl"/>
        </w:rPr>
        <w:tab/>
        <w:t>Examen de las notificaciones de asignación de frecuencia a esta</w:t>
      </w:r>
      <w:r w:rsidRPr="003667EC">
        <w:rPr>
          <w:color w:val="000000"/>
          <w:lang w:val="es-ES_tradnl"/>
        </w:rPr>
        <w:softHyphen/>
        <w:t>ciones terrenas que funcionan en sentido opuesto de transmisión</w:t>
      </w:r>
    </w:p>
    <w:p w14:paraId="0FB6FBAC" w14:textId="77777777" w:rsidR="00A60C28" w:rsidRPr="003667EC" w:rsidRDefault="00A60C28">
      <w:pPr>
        <w:rPr>
          <w:color w:val="000000"/>
          <w:lang w:val="es-ES_tradnl"/>
        </w:rPr>
      </w:pPr>
      <w:r w:rsidRPr="003667EC">
        <w:rPr>
          <w:color w:val="000000"/>
          <w:lang w:val="es-ES_tradnl"/>
        </w:rPr>
        <w:t>5.1</w:t>
      </w:r>
      <w:r w:rsidRPr="003667EC">
        <w:rPr>
          <w:color w:val="000000"/>
          <w:lang w:val="es-ES_tradnl"/>
        </w:rPr>
        <w:tab/>
        <w:t>En su examen de una notificación de asignación de frecuencia para una estación terrena que funciona en sentido opuesto de transmisión, desde el punto de vista de su conformidad con los procedimientos relativos a la coordinación respecto de las estaciones terrenas y otras administraciones, la Oficina toma en cuenta a las estaciones terrenas que están inscritas en el Registro.</w:t>
      </w:r>
    </w:p>
    <w:p w14:paraId="79E1A7C2" w14:textId="77777777" w:rsidR="009C3798" w:rsidRDefault="00A60C28" w:rsidP="00F01943">
      <w:pPr>
        <w:spacing w:before="120"/>
        <w:rPr>
          <w:color w:val="000000"/>
          <w:lang w:val="es-ES_tradnl"/>
        </w:rPr>
      </w:pPr>
      <w:r w:rsidRPr="003667EC">
        <w:rPr>
          <w:color w:val="000000"/>
          <w:lang w:val="es-ES_tradnl"/>
        </w:rPr>
        <w:t>Si dentro del periodo de tres años siguientes a la fecha de notificación</w:t>
      </w:r>
      <w:r w:rsidRPr="003667EC">
        <w:rPr>
          <w:color w:val="000000"/>
          <w:position w:val="6"/>
          <w:sz w:val="20"/>
          <w:lang w:val="es-ES_tradnl"/>
        </w:rPr>
        <w:t>9</w:t>
      </w:r>
      <w:r w:rsidRPr="003667EC">
        <w:rPr>
          <w:color w:val="000000"/>
          <w:lang w:val="es-ES_tradnl"/>
        </w:rPr>
        <w:t xml:space="preserve"> de la estación terrena que funciona en el sentido opuesto de transmisión,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 terrena en virtud del número </w:t>
      </w:r>
      <w:r w:rsidRPr="003667EC">
        <w:rPr>
          <w:rStyle w:val="Artref"/>
          <w:b/>
          <w:color w:val="000000"/>
          <w:lang w:val="es-ES_tradnl"/>
        </w:rPr>
        <w:t>9.17A</w:t>
      </w:r>
      <w:r w:rsidRPr="003667EC">
        <w:rPr>
          <w:color w:val="000000"/>
          <w:lang w:val="es-ES_tradnl"/>
        </w:rPr>
        <w:t>, y no se la aceptó, o se la aceptó con diferentes características técnicas, la Oficina examinará la situación de conformidad con las disposiciones pertinentes del Artículo </w:t>
      </w:r>
      <w:r w:rsidRPr="003667EC">
        <w:rPr>
          <w:rStyle w:val="Artref"/>
          <w:b/>
          <w:color w:val="000000"/>
          <w:lang w:val="es-ES_tradnl"/>
        </w:rPr>
        <w:t>14</w:t>
      </w:r>
      <w:r w:rsidRPr="003667EC">
        <w:rPr>
          <w:color w:val="000000"/>
          <w:lang w:val="es-ES_tradnl"/>
        </w:rPr>
        <w:t xml:space="preserve"> y procederá en consecuencia.</w:t>
      </w:r>
    </w:p>
    <w:p w14:paraId="60EDB91B" w14:textId="77777777" w:rsidR="00F01943" w:rsidRDefault="00F01943" w:rsidP="00F01943">
      <w:pPr>
        <w:rPr>
          <w:lang w:val="es-ES_tradnl"/>
        </w:rPr>
      </w:pPr>
      <w:r>
        <w:rPr>
          <w:lang w:val="es-ES_tradnl"/>
        </w:rPr>
        <w:br w:type="page"/>
      </w:r>
    </w:p>
    <w:p w14:paraId="1AE335ED" w14:textId="77777777" w:rsidR="00A60C28" w:rsidRPr="002E7999" w:rsidRDefault="00A60C28" w:rsidP="009243FB">
      <w:pPr>
        <w:pStyle w:val="Heading1"/>
        <w:spacing w:before="120" w:line="280" w:lineRule="exact"/>
        <w:rPr>
          <w:color w:val="000000"/>
          <w:lang w:val="es-ES_tradnl"/>
        </w:rPr>
      </w:pPr>
      <w:r w:rsidRPr="003667EC">
        <w:rPr>
          <w:color w:val="000000"/>
          <w:lang w:val="es-ES_tradnl"/>
        </w:rPr>
        <w:lastRenderedPageBreak/>
        <w:t>6</w:t>
      </w:r>
      <w:r w:rsidRPr="003667EC">
        <w:rPr>
          <w:color w:val="000000"/>
          <w:lang w:val="es-ES_tradnl"/>
        </w:rPr>
        <w:tab/>
        <w:t>Examen de las asignaciones de frecuencia a un enlace entre satélites de una estación espacial geoestacionaria que se comunica con una estación espacial no geoestacionaria</w:t>
      </w:r>
    </w:p>
    <w:p w14:paraId="199874E8" w14:textId="77777777" w:rsidR="00A60C28" w:rsidRPr="003667EC" w:rsidRDefault="00A60C28" w:rsidP="009A2F2C">
      <w:pPr>
        <w:rPr>
          <w:lang w:val="es-ES_tradnl"/>
        </w:rPr>
      </w:pPr>
      <w:r w:rsidRPr="003667EC">
        <w:rPr>
          <w:lang w:val="es-ES_tradnl"/>
        </w:rPr>
        <w:t>6.1</w:t>
      </w:r>
      <w:r w:rsidRPr="003667EC">
        <w:rPr>
          <w:lang w:val="es-ES_tradnl"/>
        </w:rPr>
        <w:tab/>
        <w:t xml:space="preserve">La Junta tomó nota del carácter específico de los enlaces entre satélites, en los que un extremo del enlace se encuentra en una estación espacial OSG y el otro en una estación espacial no OSG. Conforme al Artículo </w:t>
      </w:r>
      <w:r w:rsidRPr="003667EC">
        <w:rPr>
          <w:rStyle w:val="Artref"/>
          <w:b/>
          <w:bCs/>
          <w:color w:val="000000"/>
          <w:lang w:val="es-ES_tradnl"/>
        </w:rPr>
        <w:t>9</w:t>
      </w:r>
      <w:r w:rsidRPr="003667EC">
        <w:rPr>
          <w:lang w:val="es-ES_tradnl"/>
        </w:rPr>
        <w:t xml:space="preserve"> (número </w:t>
      </w:r>
      <w:r w:rsidRPr="003667EC">
        <w:rPr>
          <w:rStyle w:val="Artref"/>
          <w:b/>
          <w:bCs/>
          <w:color w:val="000000"/>
          <w:lang w:val="es-ES_tradnl"/>
        </w:rPr>
        <w:t>9.7</w:t>
      </w:r>
      <w:r w:rsidRPr="003667EC">
        <w:rPr>
          <w:lang w:val="es-ES_tradnl"/>
        </w:rPr>
        <w:t>), existe el requisito de efectuar la coordinación para las asignaciones de frecuencia de las redes OSG, aunque no haya requisito equiparable para las asignaciones de las redes no OSG. No queda pues claro si la coordi</w:t>
      </w:r>
      <w:r w:rsidR="009A2F2C" w:rsidRPr="003667EC">
        <w:rPr>
          <w:lang w:val="es-ES_tradnl"/>
        </w:rPr>
        <w:softHyphen/>
      </w:r>
      <w:r w:rsidRPr="003667EC">
        <w:rPr>
          <w:lang w:val="es-ES_tradnl"/>
        </w:rPr>
        <w:t>nación según la Sección II del Artículo </w:t>
      </w:r>
      <w:r w:rsidRPr="003667EC">
        <w:rPr>
          <w:rStyle w:val="Artref"/>
          <w:b/>
          <w:bCs/>
          <w:color w:val="000000"/>
          <w:lang w:val="es-ES_tradnl"/>
        </w:rPr>
        <w:t>9</w:t>
      </w:r>
      <w:r w:rsidRPr="003667EC">
        <w:rPr>
          <w:b/>
          <w:bCs/>
          <w:lang w:val="es-ES_tradnl"/>
        </w:rPr>
        <w:t xml:space="preserve"> </w:t>
      </w:r>
      <w:r w:rsidRPr="003667EC">
        <w:rPr>
          <w:lang w:val="es-ES_tradnl"/>
        </w:rPr>
        <w:t>se aplica a:</w:t>
      </w:r>
    </w:p>
    <w:p w14:paraId="08C9976A" w14:textId="77777777" w:rsidR="00A60C28" w:rsidRPr="003667EC" w:rsidRDefault="00A60C28" w:rsidP="008254E1">
      <w:pPr>
        <w:pStyle w:val="enumlev1"/>
        <w:spacing w:before="60"/>
        <w:rPr>
          <w:color w:val="000000"/>
          <w:lang w:val="es-ES_tradnl"/>
        </w:rPr>
      </w:pPr>
      <w:r w:rsidRPr="003667EC">
        <w:rPr>
          <w:i/>
          <w:iCs/>
          <w:color w:val="000000"/>
          <w:lang w:val="es-ES_tradnl"/>
        </w:rPr>
        <w:t>a)</w:t>
      </w:r>
      <w:r w:rsidRPr="003667EC">
        <w:rPr>
          <w:color w:val="000000"/>
          <w:lang w:val="es-ES_tradnl"/>
        </w:rPr>
        <w:tab/>
        <w:t>ambos extremos del enlace entre satélites, es decir a la estación OSG del enlace así como a la no OSG, coordinando de este modo todo el enlace (como ocurre en otras formas de coordinación); o</w:t>
      </w:r>
    </w:p>
    <w:p w14:paraId="38C27AA6" w14:textId="77777777" w:rsidR="00A60C28" w:rsidRPr="003667EC" w:rsidRDefault="00A60C28" w:rsidP="008254E1">
      <w:pPr>
        <w:pStyle w:val="enumlev1"/>
        <w:spacing w:before="60"/>
        <w:rPr>
          <w:color w:val="000000"/>
          <w:lang w:val="es-ES_tradnl"/>
        </w:rPr>
      </w:pPr>
      <w:r w:rsidRPr="003667EC">
        <w:rPr>
          <w:i/>
          <w:iCs/>
          <w:color w:val="000000"/>
          <w:lang w:val="es-ES_tradnl"/>
        </w:rPr>
        <w:t>b)</w:t>
      </w:r>
      <w:r w:rsidRPr="003667EC">
        <w:rPr>
          <w:color w:val="000000"/>
          <w:lang w:val="es-ES_tradnl"/>
        </w:rPr>
        <w:tab/>
        <w:t>sólo a la estación OSG del enlace entre satélites, dejando el otro extremo sin coordinar; o</w:t>
      </w:r>
    </w:p>
    <w:p w14:paraId="17E8148A" w14:textId="77777777" w:rsidR="00A60C28" w:rsidRPr="003667EC" w:rsidRDefault="00A60C28" w:rsidP="008254E1">
      <w:pPr>
        <w:pStyle w:val="enumlev1"/>
        <w:spacing w:before="60"/>
        <w:rPr>
          <w:color w:val="000000"/>
          <w:lang w:val="es-ES_tradnl"/>
        </w:rPr>
      </w:pPr>
      <w:r w:rsidRPr="003667EC">
        <w:rPr>
          <w:i/>
          <w:iCs/>
          <w:color w:val="000000"/>
          <w:lang w:val="es-ES_tradnl"/>
        </w:rPr>
        <w:t>c)</w:t>
      </w:r>
      <w:r w:rsidRPr="003667EC">
        <w:rPr>
          <w:color w:val="000000"/>
          <w:lang w:val="es-ES_tradnl"/>
        </w:rPr>
        <w:tab/>
        <w:t>a ninguna de las estaciones del enlace entre satélites, dejando todo el enlace entre satélites sin coordinar (como ocurre cuando no procede la coordinación, por ejemplo en las redes no OSG).</w:t>
      </w:r>
    </w:p>
    <w:p w14:paraId="3D68AAA1" w14:textId="77777777" w:rsidR="00A60C28" w:rsidRPr="003667EC" w:rsidRDefault="00A60C28" w:rsidP="008254E1">
      <w:pPr>
        <w:spacing w:before="60"/>
        <w:rPr>
          <w:color w:val="000000"/>
          <w:lang w:val="es-ES_tradnl"/>
        </w:rPr>
      </w:pPr>
      <w:r w:rsidRPr="003667EC">
        <w:rPr>
          <w:color w:val="000000"/>
          <w:lang w:val="es-ES_tradnl"/>
        </w:rPr>
        <w:t>6.2</w:t>
      </w:r>
      <w:r w:rsidRPr="003667EC">
        <w:rPr>
          <w:color w:val="000000"/>
          <w:lang w:val="es-ES_tradnl"/>
        </w:rPr>
        <w:tab/>
        <w:t>A la vista de lo anterior, la Junta decidió que, hasta que la CMR aclare este aspecto, las asignaciones de los enlaces entre satélites entre estaciones espaciales OSG y no OSG se tratarán de la siguiente manera:</w:t>
      </w:r>
    </w:p>
    <w:p w14:paraId="7366BAAD" w14:textId="77777777" w:rsidR="00A60C28" w:rsidRPr="003667EC" w:rsidRDefault="00A60C28" w:rsidP="008254E1">
      <w:pPr>
        <w:spacing w:before="60"/>
        <w:rPr>
          <w:color w:val="000000"/>
          <w:lang w:val="es-ES_tradnl"/>
        </w:rPr>
      </w:pPr>
      <w:r w:rsidRPr="003667EC">
        <w:rPr>
          <w:color w:val="000000"/>
          <w:lang w:val="es-ES_tradnl"/>
        </w:rPr>
        <w:t>6.2.1</w:t>
      </w:r>
      <w:r w:rsidRPr="003667EC">
        <w:rPr>
          <w:color w:val="000000"/>
          <w:lang w:val="es-ES_tradnl"/>
        </w:rPr>
        <w:tab/>
        <w:t>Se enviará a la Oficina la descripción general del enlace entre satélites para su publicación anticipada conforme a la Sub-sección IA del Artículo </w:t>
      </w:r>
      <w:r w:rsidRPr="003667EC">
        <w:rPr>
          <w:rStyle w:val="Artref"/>
          <w:b/>
          <w:bCs/>
          <w:color w:val="000000"/>
          <w:lang w:val="es-ES_tradnl"/>
        </w:rPr>
        <w:t>9</w:t>
      </w:r>
      <w:r w:rsidRPr="003667EC">
        <w:rPr>
          <w:color w:val="000000"/>
          <w:lang w:val="es-ES_tradnl"/>
        </w:rPr>
        <w:t>.</w:t>
      </w:r>
    </w:p>
    <w:p w14:paraId="47147708" w14:textId="77777777" w:rsidR="00A60C28" w:rsidRPr="003667EC" w:rsidRDefault="00A60C28" w:rsidP="008254E1">
      <w:pPr>
        <w:spacing w:before="60"/>
        <w:rPr>
          <w:color w:val="000000"/>
          <w:lang w:val="es-ES_tradnl"/>
        </w:rPr>
      </w:pPr>
      <w:r w:rsidRPr="003667EC">
        <w:rPr>
          <w:color w:val="000000"/>
          <w:lang w:val="es-ES_tradnl"/>
        </w:rPr>
        <w:t>6.2.2</w:t>
      </w:r>
      <w:r w:rsidRPr="003667EC">
        <w:rPr>
          <w:color w:val="000000"/>
          <w:lang w:val="es-ES_tradnl"/>
        </w:rPr>
        <w:tab/>
        <w:t>Provisionalmente, estas asignaciones no se consideran sujetas al procedimiento de coordinación con arreglo a la Sección II del Artículo </w:t>
      </w:r>
      <w:r w:rsidRPr="003667EC">
        <w:rPr>
          <w:rStyle w:val="Artref"/>
          <w:b/>
          <w:bCs/>
          <w:color w:val="000000"/>
          <w:lang w:val="es-ES_tradnl"/>
        </w:rPr>
        <w:t>9</w:t>
      </w:r>
      <w:r w:rsidRPr="003667EC">
        <w:rPr>
          <w:color w:val="000000"/>
          <w:lang w:val="es-ES_tradnl"/>
        </w:rPr>
        <w:t>.</w:t>
      </w:r>
    </w:p>
    <w:p w14:paraId="7727553B" w14:textId="77777777" w:rsidR="00A60C28" w:rsidRPr="008254E1" w:rsidRDefault="00A60C28" w:rsidP="008254E1">
      <w:pPr>
        <w:spacing w:before="60"/>
        <w:rPr>
          <w:color w:val="000000"/>
          <w:spacing w:val="-6"/>
          <w:lang w:val="es-ES_tradnl"/>
        </w:rPr>
      </w:pPr>
      <w:r w:rsidRPr="008254E1">
        <w:rPr>
          <w:color w:val="000000"/>
          <w:spacing w:val="-6"/>
          <w:lang w:val="es-ES_tradnl"/>
        </w:rPr>
        <w:t>6.2.3</w:t>
      </w:r>
      <w:r w:rsidRPr="008254E1">
        <w:rPr>
          <w:color w:val="000000"/>
          <w:spacing w:val="-6"/>
          <w:lang w:val="es-ES_tradnl"/>
        </w:rPr>
        <w:tab/>
        <w:t xml:space="preserve">En la fase de notificación, no se formulará ninguna conclusión según el </w:t>
      </w:r>
      <w:r w:rsidRPr="008254E1">
        <w:rPr>
          <w:rStyle w:val="Artref"/>
          <w:b/>
          <w:bCs/>
          <w:color w:val="000000"/>
          <w:spacing w:val="-6"/>
          <w:lang w:val="es-ES_tradnl"/>
        </w:rPr>
        <w:t>11.32</w:t>
      </w:r>
      <w:r w:rsidRPr="008254E1">
        <w:rPr>
          <w:color w:val="000000"/>
          <w:spacing w:val="-6"/>
          <w:lang w:val="es-ES_tradnl"/>
        </w:rPr>
        <w:t xml:space="preserve"> (Columna 13A2) y se insertará el símbolo «K» en la Columna 13B2 con el significado siguiente:</w:t>
      </w:r>
    </w:p>
    <w:p w14:paraId="3AFDA4C8" w14:textId="77777777" w:rsidR="00A60C28" w:rsidRPr="003667EC" w:rsidRDefault="00A60C28" w:rsidP="008254E1">
      <w:pPr>
        <w:spacing w:before="60"/>
        <w:rPr>
          <w:color w:val="000000"/>
          <w:lang w:val="es-ES_tradnl"/>
        </w:rPr>
      </w:pPr>
      <w:r w:rsidRPr="003667EC">
        <w:rPr>
          <w:color w:val="000000"/>
          <w:lang w:val="es-ES_tradnl"/>
        </w:rPr>
        <w:t>«K»:</w:t>
      </w:r>
      <w:r w:rsidRPr="003667EC">
        <w:rPr>
          <w:color w:val="000000"/>
          <w:lang w:val="es-ES_tradnl"/>
        </w:rPr>
        <w:tab/>
        <w:t>esta asignación de frecuencia a un enlace entre satélites de una estación espacial geoestacionaria que comunica con una estación espacial no geoestacionaria no se tiene en cuenta por la Oficina en su examen con arreglo al número </w:t>
      </w:r>
      <w:r w:rsidRPr="003667EC">
        <w:rPr>
          <w:rStyle w:val="Artref"/>
          <w:b/>
          <w:bCs/>
          <w:color w:val="000000"/>
          <w:lang w:val="es-ES_tradnl"/>
        </w:rPr>
        <w:t>11.32</w:t>
      </w:r>
      <w:r w:rsidRPr="003667EC">
        <w:rPr>
          <w:color w:val="000000"/>
          <w:lang w:val="es-ES_tradnl"/>
        </w:rPr>
        <w:t>.</w:t>
      </w:r>
    </w:p>
    <w:p w14:paraId="2FA7594F" w14:textId="77777777" w:rsidR="00A60C28" w:rsidRPr="003667EC" w:rsidRDefault="00A60C28" w:rsidP="008254E1">
      <w:pPr>
        <w:spacing w:before="60"/>
        <w:rPr>
          <w:color w:val="000000"/>
          <w:lang w:val="es-ES_tradnl"/>
        </w:rPr>
      </w:pPr>
      <w:r w:rsidRPr="003667EC">
        <w:rPr>
          <w:color w:val="000000"/>
          <w:lang w:val="es-ES_tradnl"/>
        </w:rPr>
        <w:t>6.</w:t>
      </w:r>
      <w:r w:rsidR="002E7999">
        <w:rPr>
          <w:color w:val="000000"/>
          <w:lang w:val="es-ES_tradnl"/>
        </w:rPr>
        <w:t>3</w:t>
      </w:r>
      <w:r w:rsidRPr="003667EC">
        <w:rPr>
          <w:color w:val="000000"/>
          <w:lang w:val="es-ES_tradnl"/>
        </w:rPr>
        <w:tab/>
        <w:t>Los casos ya inscritos en el Registro por la Oficina no se revisarán conforme a esta Regla.</w:t>
      </w:r>
    </w:p>
    <w:p w14:paraId="4219FE92" w14:textId="77777777" w:rsidR="00A60C28" w:rsidRDefault="002E7999" w:rsidP="00363FC4">
      <w:pPr>
        <w:spacing w:before="40"/>
        <w:rPr>
          <w:color w:val="000000"/>
          <w:lang w:val="es-ES_tradnl"/>
        </w:rPr>
      </w:pPr>
      <w:r>
        <w:rPr>
          <w:color w:val="000000"/>
          <w:lang w:val="es-ES_tradnl"/>
        </w:rPr>
        <w:t>6.4</w:t>
      </w:r>
      <w:r w:rsidR="00A60C28" w:rsidRPr="003667EC">
        <w:rPr>
          <w:color w:val="000000"/>
          <w:lang w:val="es-ES_tradnl"/>
        </w:rPr>
        <w:tab/>
        <w:t>Esta Regla se aplica a los enlaces entre satélites OSG y no OSG en todas las bandas de frecuencias atribuidas al servicio entre satélites, así como a otros servicios espaciales en sentido espacio</w:t>
      </w:r>
      <w:r w:rsidR="00A60C28" w:rsidRPr="003667EC">
        <w:rPr>
          <w:color w:val="000000"/>
          <w:lang w:val="es-ES_tradnl"/>
        </w:rPr>
        <w:noBreakHyphen/>
        <w:t xml:space="preserve">espacio, con excepción de los casos en que la necesidad de coordinación viene explícitamente estipulada en el Reglamento de Radiocomunicaciones. En particular, esta Regla no se aplica a los casos en que la necesidad de coordinación con arreglo a los números </w:t>
      </w:r>
      <w:r w:rsidR="00A60C28" w:rsidRPr="003667EC">
        <w:rPr>
          <w:rStyle w:val="Artref"/>
          <w:b/>
          <w:bCs/>
          <w:color w:val="000000"/>
          <w:lang w:val="es-ES_tradnl"/>
        </w:rPr>
        <w:t>9.11A</w:t>
      </w:r>
      <w:r w:rsidR="00A60C28" w:rsidRPr="003667EC">
        <w:rPr>
          <w:color w:val="000000"/>
          <w:lang w:val="es-ES_tradnl"/>
        </w:rPr>
        <w:t xml:space="preserve">, </w:t>
      </w:r>
      <w:r w:rsidR="00A60C28" w:rsidRPr="003667EC">
        <w:rPr>
          <w:rStyle w:val="Artref"/>
          <w:b/>
          <w:bCs/>
          <w:color w:val="000000"/>
          <w:lang w:val="es-ES_tradnl"/>
        </w:rPr>
        <w:t>9.12A</w:t>
      </w:r>
      <w:r w:rsidR="00A60C28" w:rsidRPr="003667EC">
        <w:rPr>
          <w:color w:val="000000"/>
          <w:lang w:val="es-ES_tradnl"/>
        </w:rPr>
        <w:t xml:space="preserve"> o </w:t>
      </w:r>
      <w:r w:rsidR="00A60C28" w:rsidRPr="003667EC">
        <w:rPr>
          <w:rStyle w:val="Artref"/>
          <w:b/>
          <w:bCs/>
          <w:color w:val="000000"/>
          <w:lang w:val="es-ES_tradnl"/>
        </w:rPr>
        <w:t>9.13</w:t>
      </w:r>
      <w:r w:rsidR="00A60C28" w:rsidRPr="003667EC">
        <w:rPr>
          <w:color w:val="000000"/>
          <w:lang w:val="es-ES_tradnl"/>
        </w:rPr>
        <w:t>, según corresponda, se menciona en una nota del Cuadro de atribución de bandas de frecuencias (véase también la Regla de Procedimiento relativa al número </w:t>
      </w:r>
      <w:r w:rsidR="00A60C28" w:rsidRPr="003667EC">
        <w:rPr>
          <w:rStyle w:val="Artref"/>
          <w:b/>
          <w:bCs/>
          <w:color w:val="000000"/>
          <w:lang w:val="es-ES_tradnl"/>
        </w:rPr>
        <w:t>9.11A</w:t>
      </w:r>
      <w:r w:rsidR="00A60C28" w:rsidRPr="003667EC">
        <w:rPr>
          <w:color w:val="000000"/>
          <w:lang w:val="es-ES_tradnl"/>
        </w:rPr>
        <w:t>).</w:t>
      </w:r>
    </w:p>
    <w:p w14:paraId="7A47FCD4" w14:textId="77777777" w:rsidR="00F01943" w:rsidRDefault="00F01943" w:rsidP="00363FC4">
      <w:pPr>
        <w:spacing w:before="40"/>
        <w:rPr>
          <w:b/>
          <w:bCs/>
          <w:lang w:val="es-ES_tradnl" w:eastAsia="zh-CN"/>
        </w:rPr>
      </w:pPr>
      <w:r>
        <w:rPr>
          <w:b/>
          <w:bCs/>
          <w:lang w:val="es-ES_tradnl" w:eastAsia="zh-CN"/>
        </w:rPr>
        <w:br w:type="page"/>
      </w:r>
    </w:p>
    <w:p w14:paraId="36BB5065" w14:textId="4CA996AF" w:rsidR="008254E1" w:rsidRPr="008254E1" w:rsidRDefault="008254E1" w:rsidP="00363FC4">
      <w:pPr>
        <w:spacing w:before="40"/>
        <w:rPr>
          <w:lang w:val="es-ES_tradnl" w:eastAsia="zh-CN"/>
        </w:rPr>
      </w:pPr>
      <w:r w:rsidRPr="008254E1">
        <w:rPr>
          <w:b/>
          <w:bCs/>
          <w:lang w:val="es-ES_tradnl" w:eastAsia="zh-CN"/>
        </w:rPr>
        <w:lastRenderedPageBreak/>
        <w:t>Nota</w:t>
      </w:r>
      <w:r w:rsidR="00290328">
        <w:rPr>
          <w:lang w:val="es-ES_tradnl"/>
        </w:rPr>
        <w:t> </w:t>
      </w:r>
      <w:r w:rsidRPr="008254E1">
        <w:rPr>
          <w:lang w:val="es-ES_tradnl"/>
        </w:rPr>
        <w:t>–</w:t>
      </w:r>
      <w:r w:rsidR="00290328">
        <w:rPr>
          <w:lang w:val="es-ES_tradnl"/>
        </w:rPr>
        <w:t> </w:t>
      </w:r>
      <w:r w:rsidRPr="008254E1">
        <w:rPr>
          <w:lang w:val="es-ES_tradnl" w:eastAsia="zh-CN"/>
        </w:rPr>
        <w:t xml:space="preserve">La CMR-15 tomó una decisión relacionada con la Regla de Procedimiento relativa al número </w:t>
      </w:r>
      <w:r w:rsidRPr="008254E1">
        <w:rPr>
          <w:b/>
          <w:bCs/>
          <w:lang w:val="es-ES_tradnl" w:eastAsia="zh-CN"/>
        </w:rPr>
        <w:t>11.32</w:t>
      </w:r>
      <w:r w:rsidRPr="008254E1">
        <w:rPr>
          <w:lang w:val="es-ES_tradnl" w:eastAsia="zh-CN"/>
        </w:rPr>
        <w:t xml:space="preserve"> durante la 8ª Sesión Plenaria (véanse los pár</w:t>
      </w:r>
      <w:r w:rsidR="00624015">
        <w:rPr>
          <w:lang w:val="es-ES_tradnl" w:eastAsia="zh-CN"/>
        </w:rPr>
        <w:t>rafos 1.39 a 1.42 del Documento </w:t>
      </w:r>
      <w:r w:rsidRPr="008254E1">
        <w:rPr>
          <w:lang w:val="es-ES_tradnl" w:eastAsia="zh-CN"/>
        </w:rPr>
        <w:t xml:space="preserve">505 de la CMR-15) con la aprobación de Documento 416 de la CMR-15 en relación con el apartado 3.2.3.2 del Documento 4 (Add.2)(Rev.1), </w:t>
      </w:r>
      <w:r w:rsidRPr="008254E1">
        <w:rPr>
          <w:lang w:val="es-ES_tradnl"/>
        </w:rPr>
        <w:t>y estipuló lo siguiente</w:t>
      </w:r>
      <w:r w:rsidRPr="008254E1">
        <w:rPr>
          <w:rFonts w:eastAsia="SimSun"/>
          <w:lang w:val="es-ES_tradnl" w:eastAsia="zh-CN"/>
        </w:rPr>
        <w:t>:</w:t>
      </w:r>
    </w:p>
    <w:p w14:paraId="4B080470" w14:textId="77777777" w:rsidR="009C3798" w:rsidRDefault="008254E1" w:rsidP="009C3798">
      <w:pPr>
        <w:rPr>
          <w:i/>
          <w:iCs/>
          <w:lang w:val="es-ES_tradnl"/>
        </w:rPr>
      </w:pPr>
      <w:r w:rsidRPr="008254E1">
        <w:rPr>
          <w:i/>
          <w:iCs/>
          <w:lang w:val="es-ES_tradnl"/>
        </w:rPr>
        <w:t xml:space="preserve">«Habida </w:t>
      </w:r>
      <w:r w:rsidRPr="008254E1">
        <w:rPr>
          <w:i/>
          <w:iCs/>
          <w:szCs w:val="24"/>
          <w:lang w:val="es-ES_tradnl"/>
        </w:rPr>
        <w:t>cuenta</w:t>
      </w:r>
      <w:r w:rsidRPr="008254E1">
        <w:rPr>
          <w:i/>
          <w:iCs/>
          <w:lang w:val="es-ES_tradnl"/>
        </w:rPr>
        <w:t xml:space="preserve"> de que las administraciones afectadas pueden presentar información sobre las distintas situaciones de coordinación en cualquier momento antes o después de la publicación de la Parte II-S, y a fin de no retrasar la tramitación de las notificaciones, la Oficina examina la notificación en virtud del número </w:t>
      </w:r>
      <w:r w:rsidRPr="008254E1">
        <w:rPr>
          <w:b/>
          <w:bCs/>
          <w:i/>
          <w:iCs/>
          <w:lang w:val="es-ES_tradnl"/>
        </w:rPr>
        <w:t>11.32</w:t>
      </w:r>
      <w:r w:rsidRPr="008254E1">
        <w:rPr>
          <w:i/>
          <w:iCs/>
          <w:lang w:val="es-ES_tradnl"/>
        </w:rPr>
        <w:t xml:space="preserve"> de la siguiente manera:</w:t>
      </w:r>
    </w:p>
    <w:p w14:paraId="0D9F1D0C" w14:textId="77777777" w:rsidR="008254E1" w:rsidRPr="00580ACB" w:rsidRDefault="008254E1" w:rsidP="009C3798">
      <w:pPr>
        <w:pStyle w:val="enumlev1"/>
        <w:spacing w:before="60"/>
        <w:ind w:left="851"/>
        <w:rPr>
          <w:i/>
          <w:iCs/>
          <w:lang w:val="es-ES_tradnl"/>
        </w:rPr>
      </w:pPr>
      <w:r w:rsidRPr="00580ACB">
        <w:rPr>
          <w:i/>
          <w:iCs/>
          <w:lang w:val="es-ES_tradnl"/>
        </w:rPr>
        <w:t>i)</w:t>
      </w:r>
      <w:r w:rsidRPr="00580ACB">
        <w:rPr>
          <w:i/>
          <w:iCs/>
          <w:lang w:val="es-ES_tradnl"/>
        </w:rPr>
        <w:tab/>
        <w:t>si el proceso de petición de información se completa antes de la Reunión de aprobación semanal de la Oficina, se tendrá en cuenta la situación de coordinación en función de los resultados del proceso de petición de información a la hora de formular las conclusiones;</w:t>
      </w:r>
    </w:p>
    <w:p w14:paraId="2C2A1F77" w14:textId="77777777" w:rsidR="00E14361" w:rsidRPr="008475FA" w:rsidRDefault="008254E1" w:rsidP="006D45DA">
      <w:pPr>
        <w:pStyle w:val="enumlev1"/>
        <w:spacing w:before="60"/>
        <w:ind w:left="851"/>
        <w:rPr>
          <w:color w:val="000000"/>
          <w:lang w:val="es-ES_tradnl"/>
        </w:rPr>
      </w:pPr>
      <w:r w:rsidRPr="00580ACB">
        <w:rPr>
          <w:i/>
          <w:iCs/>
          <w:lang w:val="es-ES_tradnl"/>
        </w:rPr>
        <w:t>ii)</w:t>
      </w:r>
      <w:r w:rsidRPr="00580ACB">
        <w:rPr>
          <w:i/>
          <w:iCs/>
          <w:lang w:val="es-ES_tradnl"/>
        </w:rPr>
        <w:tab/>
        <w:t xml:space="preserve">si el proceso de petición de información no se completa antes de la Reunión de aprobación semanal de la Oficina, las conclusiones con respecto a la administración afectada se basarán en la situación de coordinación facilitada por la </w:t>
      </w:r>
      <w:r w:rsidRPr="008254E1">
        <w:rPr>
          <w:i/>
          <w:iCs/>
          <w:lang w:val="es-ES_tradnl"/>
        </w:rPr>
        <w:t xml:space="preserve">Administración </w:t>
      </w:r>
      <w:r w:rsidRPr="00580ACB">
        <w:rPr>
          <w:i/>
          <w:iCs/>
          <w:lang w:val="es-ES_tradnl"/>
        </w:rPr>
        <w:t>notificante en su notificación. La Oficina adoptará entonces las medidas pertinentes, es decir, revisar o no las conclusiones, una vez finalizado el proceso de petición de información.</w:t>
      </w:r>
      <w:r w:rsidRPr="008254E1">
        <w:rPr>
          <w:i/>
          <w:iCs/>
          <w:lang w:val="es-ES_tradnl"/>
        </w:rPr>
        <w:t>»</w:t>
      </w:r>
      <w:r w:rsidR="008475FA">
        <w:rPr>
          <w:i/>
          <w:iCs/>
          <w:lang w:val="es-ES_tradnl"/>
        </w:rPr>
        <w:t xml:space="preserve">    </w:t>
      </w:r>
    </w:p>
    <w:p w14:paraId="6705E45B" w14:textId="77777777" w:rsidR="00A60C28" w:rsidRPr="003667EC" w:rsidRDefault="00A60C28" w:rsidP="00DA47A4">
      <w:pPr>
        <w:pStyle w:val="Heading8"/>
        <w:spacing w:before="240"/>
        <w:rPr>
          <w:color w:val="000000"/>
          <w:lang w:val="es-ES_tradnl"/>
        </w:rPr>
      </w:pPr>
      <w:r w:rsidRPr="003667EC">
        <w:rPr>
          <w:color w:val="000000"/>
          <w:lang w:val="es-ES_tradnl"/>
        </w:rPr>
        <w:t>11.32A</w:t>
      </w:r>
    </w:p>
    <w:p w14:paraId="681665E0" w14:textId="77777777" w:rsidR="00A60C28" w:rsidRPr="00BB5039" w:rsidRDefault="00BB5039" w:rsidP="009243FB">
      <w:pPr>
        <w:spacing w:before="120"/>
        <w:rPr>
          <w:color w:val="000000"/>
          <w:lang w:val="es-ES_tradnl"/>
        </w:rPr>
      </w:pPr>
      <w:r w:rsidRPr="00BB5039">
        <w:rPr>
          <w:lang w:val="es-ES_tradnl"/>
        </w:rPr>
        <w:t>El método de cálculo para evaluar la probabilidad de interferencia perjudicial y los criterios para la formulación de las conclusiones de la Oficina para la coordinación en virtud del número </w:t>
      </w:r>
      <w:r w:rsidRPr="00BB5039">
        <w:rPr>
          <w:rStyle w:val="Artref"/>
          <w:b/>
          <w:color w:val="000000"/>
          <w:lang w:val="es-ES_tradnl"/>
        </w:rPr>
        <w:t>9.7</w:t>
      </w:r>
      <w:r w:rsidRPr="00BB5039">
        <w:rPr>
          <w:lang w:val="es-ES_tradnl"/>
        </w:rPr>
        <w:t xml:space="preserve"> están contenidos en las Reglas de Procedimiento B3, salvo los casos mencionados en el número </w:t>
      </w:r>
      <w:r w:rsidRPr="00BB5039">
        <w:rPr>
          <w:b/>
          <w:bCs/>
          <w:szCs w:val="24"/>
          <w:lang w:val="es-ES_tradnl"/>
        </w:rPr>
        <w:t>11.32A.2</w:t>
      </w:r>
      <w:r w:rsidRPr="00BB5039">
        <w:rPr>
          <w:szCs w:val="24"/>
          <w:lang w:val="es-ES_tradnl"/>
        </w:rPr>
        <w:t xml:space="preserve"> y la Resolución </w:t>
      </w:r>
      <w:r w:rsidRPr="00BB5039">
        <w:rPr>
          <w:b/>
          <w:bCs/>
          <w:szCs w:val="24"/>
          <w:lang w:val="es-ES_tradnl"/>
        </w:rPr>
        <w:t>762 (CMR-15)</w:t>
      </w:r>
      <w:r w:rsidRPr="00BB5039">
        <w:rPr>
          <w:lang w:val="es-ES_tradnl"/>
        </w:rPr>
        <w:t>.</w:t>
      </w:r>
      <w:r>
        <w:rPr>
          <w:lang w:val="es-ES_tradnl"/>
        </w:rPr>
        <w:t xml:space="preserve">    </w:t>
      </w:r>
    </w:p>
    <w:p w14:paraId="3E4F3504" w14:textId="77777777" w:rsidR="00A60C28" w:rsidRPr="003667EC" w:rsidRDefault="00A60C28" w:rsidP="00DA47A4">
      <w:pPr>
        <w:pStyle w:val="Heading8"/>
        <w:spacing w:before="240"/>
        <w:rPr>
          <w:color w:val="000000"/>
          <w:lang w:val="es-ES_tradnl"/>
        </w:rPr>
      </w:pPr>
      <w:r w:rsidRPr="003667EC">
        <w:rPr>
          <w:color w:val="000000"/>
          <w:lang w:val="es-ES_tradnl"/>
        </w:rPr>
        <w:t>11.34</w:t>
      </w:r>
    </w:p>
    <w:p w14:paraId="7FB1B0D8" w14:textId="77777777" w:rsidR="00A60C28" w:rsidRPr="003667EC" w:rsidRDefault="00A60C28" w:rsidP="00DA47A4">
      <w:pPr>
        <w:pStyle w:val="Heading1"/>
        <w:spacing w:before="360"/>
        <w:rPr>
          <w:color w:val="000000"/>
          <w:lang w:val="es-ES_tradnl"/>
        </w:rPr>
      </w:pPr>
      <w:r w:rsidRPr="003667EC">
        <w:rPr>
          <w:color w:val="000000"/>
          <w:lang w:val="es-ES_tradnl"/>
        </w:rPr>
        <w:t>1</w:t>
      </w:r>
      <w:r w:rsidRPr="003667EC">
        <w:rPr>
          <w:color w:val="000000"/>
          <w:lang w:val="es-ES_tradnl"/>
        </w:rPr>
        <w:tab/>
        <w:t>Bandas regidas por el Apéndice </w:t>
      </w:r>
      <w:r w:rsidRPr="003667EC">
        <w:rPr>
          <w:rStyle w:val="Appref"/>
          <w:color w:val="000000"/>
          <w:lang w:val="es-ES_tradnl"/>
        </w:rPr>
        <w:t>25</w:t>
      </w:r>
    </w:p>
    <w:p w14:paraId="5EDA38DE" w14:textId="77777777" w:rsidR="00A60C28" w:rsidRPr="003667EC" w:rsidRDefault="00A60C28">
      <w:pPr>
        <w:rPr>
          <w:color w:val="000000"/>
          <w:lang w:val="es-ES_tradnl"/>
        </w:rPr>
      </w:pPr>
      <w:r w:rsidRPr="003667EC">
        <w:rPr>
          <w:color w:val="000000"/>
          <w:lang w:val="es-ES_tradnl"/>
        </w:rPr>
        <w:t>1.1</w:t>
      </w:r>
      <w:r w:rsidRPr="003667EC">
        <w:rPr>
          <w:color w:val="000000"/>
          <w:lang w:val="es-ES_tradnl"/>
        </w:rPr>
        <w:tab/>
        <w:t>Con respecto a estos exámenes de conformidad con el Plan de adjudicación del Apéndice </w:t>
      </w:r>
      <w:r w:rsidRPr="003667EC">
        <w:rPr>
          <w:rStyle w:val="Appref"/>
          <w:b/>
          <w:color w:val="000000"/>
          <w:lang w:val="es-ES_tradnl"/>
        </w:rPr>
        <w:t>25</w:t>
      </w:r>
      <w:r w:rsidRPr="003667EC">
        <w:rPr>
          <w:color w:val="000000"/>
          <w:lang w:val="es-ES_tradnl"/>
        </w:rPr>
        <w:t>, la Junta tomó en cuenta los siguientes elementos:</w:t>
      </w:r>
    </w:p>
    <w:p w14:paraId="74C473CA" w14:textId="77777777" w:rsidR="00A60C28" w:rsidRPr="003667EC" w:rsidRDefault="00A60C28" w:rsidP="00DA47A4">
      <w:pPr>
        <w:spacing w:before="120"/>
        <w:rPr>
          <w:color w:val="000000"/>
          <w:lang w:val="es-ES_tradnl"/>
        </w:rPr>
      </w:pPr>
      <w:r w:rsidRPr="003667EC">
        <w:rPr>
          <w:color w:val="000000"/>
          <w:lang w:val="es-ES_tradnl"/>
        </w:rPr>
        <w:t>1.1.1</w:t>
      </w:r>
      <w:r w:rsidRPr="003667EC">
        <w:rPr>
          <w:color w:val="000000"/>
          <w:lang w:val="es-ES_tradnl"/>
        </w:rPr>
        <w:tab/>
        <w:t>El Plan «original» establecido en la CAMRM-74, contiene sólo una indicación de las zonas de adjudicación sobre un canal determinado. Se verificó la conformidad de las asignaciones pertinentes con las atribuciones, utilizando esa información y otras disposiciones generales de carácter obligatorios del Reglamento de Radiocomunicaciones relativas al acuerdo de disposición de canales, la clase de emisión y la potencia de transmisión.</w:t>
      </w:r>
    </w:p>
    <w:p w14:paraId="2F9AEFBD" w14:textId="77777777" w:rsidR="00D70EFE" w:rsidRDefault="00D70EFE" w:rsidP="00D70EFE">
      <w:pPr>
        <w:spacing w:before="120"/>
        <w:rPr>
          <w:color w:val="000000"/>
          <w:lang w:val="es-ES_tradnl"/>
        </w:rPr>
      </w:pPr>
      <w:r>
        <w:rPr>
          <w:color w:val="000000"/>
          <w:lang w:val="es-ES_tradnl"/>
        </w:rPr>
        <w:br w:type="page"/>
      </w:r>
    </w:p>
    <w:p w14:paraId="65EBFA1A" w14:textId="7B9CD5EE" w:rsidR="00F01943" w:rsidRDefault="00F01943" w:rsidP="00D70EFE">
      <w:pPr>
        <w:spacing w:before="120"/>
        <w:rPr>
          <w:color w:val="000000"/>
          <w:lang w:val="es-ES_tradnl"/>
        </w:rPr>
      </w:pPr>
      <w:r w:rsidRPr="003667EC">
        <w:rPr>
          <w:color w:val="000000"/>
          <w:lang w:val="es-ES_tradnl"/>
        </w:rPr>
        <w:lastRenderedPageBreak/>
        <w:t>1.1.2</w:t>
      </w:r>
      <w:r w:rsidRPr="003667EC">
        <w:rPr>
          <w:color w:val="000000"/>
          <w:lang w:val="es-ES_tradnl"/>
        </w:rPr>
        <w:tab/>
        <w:t>Las actualizaciones del Plan, a través de la aplicación del procedimiento del antiguo Artículo 16 del Reglamento de Radiocomunicaciones (edición de 1990, revisada en</w:t>
      </w:r>
      <w:r w:rsidR="00290328">
        <w:rPr>
          <w:color w:val="000000"/>
          <w:lang w:val="es-ES_tradnl"/>
        </w:rPr>
        <w:t> </w:t>
      </w:r>
      <w:r w:rsidRPr="003667EC">
        <w:rPr>
          <w:color w:val="000000"/>
          <w:lang w:val="es-ES_tradnl"/>
        </w:rPr>
        <w:t xml:space="preserve">1994) y la Sección I del Apéndice </w:t>
      </w:r>
      <w:r w:rsidRPr="003667EC">
        <w:rPr>
          <w:rStyle w:val="Appref"/>
          <w:b/>
          <w:color w:val="000000"/>
          <w:lang w:val="es-ES_tradnl"/>
        </w:rPr>
        <w:t>25</w:t>
      </w:r>
      <w:r w:rsidRPr="003667EC">
        <w:rPr>
          <w:color w:val="000000"/>
          <w:lang w:val="es-ES_tradnl"/>
        </w:rPr>
        <w:t>, contienen más datos, en particular, información sobre la potencia de transmisión, características de la antena, horario de utilización y zona de servicio como resultado de la coordinación con las administraciones de que se trata. Por consiguiente, las características de las asignaciones notificadas deben corresponder a las características resultantes de la coordinación.</w:t>
      </w:r>
    </w:p>
    <w:p w14:paraId="28E6AC7C" w14:textId="77777777" w:rsidR="00D70EFE" w:rsidRDefault="00A60C28" w:rsidP="00D70EFE">
      <w:pPr>
        <w:spacing w:before="120"/>
        <w:rPr>
          <w:color w:val="000000"/>
          <w:lang w:val="es-ES_tradnl"/>
        </w:rPr>
      </w:pPr>
      <w:r w:rsidRPr="003667EC">
        <w:rPr>
          <w:color w:val="000000"/>
          <w:lang w:val="es-ES_tradnl"/>
        </w:rPr>
        <w:t>1.1.3</w:t>
      </w:r>
      <w:r w:rsidRPr="003667EC">
        <w:rPr>
          <w:color w:val="000000"/>
          <w:lang w:val="es-ES_tradnl"/>
        </w:rPr>
        <w:tab/>
        <w:t xml:space="preserve">A los fines de la aplicación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C124BB">
        <w:rPr>
          <w:rStyle w:val="FootnoteReference"/>
          <w:b/>
          <w:color w:val="000000"/>
          <w:lang w:val="es-ES_tradnl"/>
        </w:rPr>
        <w:footnoteReference w:customMarkFollows="1" w:id="11"/>
        <w:t>*</w:t>
      </w:r>
      <w:r w:rsidRPr="003667EC">
        <w:rPr>
          <w:color w:val="000000"/>
          <w:lang w:val="es-ES_tradnl"/>
        </w:rPr>
        <w:t>, la ex IFRB pidió (y obtuvo) datos más precisos en relación con la utilización proyectada de los nuevos canales, que fueron puestos a disposición por la CAMR Mob-87. Sin embargo, muchas adminis</w:t>
      </w:r>
      <w:r w:rsidRPr="003667EC">
        <w:rPr>
          <w:color w:val="000000"/>
          <w:lang w:val="es-ES_tradnl"/>
        </w:rPr>
        <w:softHyphen/>
        <w:t>traciones indicaron que la información de que se trata debía considerarse una hipótesis de trabajo, ya que las características definitivas dependerían del acuerdo de adjudicación esta</w:t>
      </w:r>
      <w:r w:rsidR="009A2F2C" w:rsidRPr="003667EC">
        <w:rPr>
          <w:color w:val="000000"/>
          <w:lang w:val="es-ES_tradnl"/>
        </w:rPr>
        <w:softHyphen/>
      </w:r>
      <w:r w:rsidRPr="003667EC">
        <w:rPr>
          <w:color w:val="000000"/>
          <w:lang w:val="es-ES_tradnl"/>
        </w:rPr>
        <w:t>blecido (número de adjudicaciones por canal, características de las otras adjudicaciones y utilización real de las adjudicaciones por otras administraciones). Por consiguiente, las carac</w:t>
      </w:r>
      <w:r w:rsidRPr="003667EC">
        <w:rPr>
          <w:color w:val="000000"/>
          <w:lang w:val="es-ES_tradnl"/>
        </w:rPr>
        <w:softHyphen/>
        <w:t>terísticas de las atribuciones inscritas en los nuevos canales del Plan del Apéndice</w:t>
      </w:r>
      <w:r w:rsidR="003667EC" w:rsidRPr="003667EC">
        <w:rPr>
          <w:color w:val="000000"/>
          <w:lang w:val="es-ES_tradnl"/>
        </w:rPr>
        <w:t xml:space="preserve"> </w:t>
      </w:r>
      <w:r w:rsidRPr="003667EC">
        <w:rPr>
          <w:rStyle w:val="Appref"/>
          <w:b/>
          <w:color w:val="000000"/>
          <w:lang w:val="es-ES_tradnl"/>
        </w:rPr>
        <w:t>25</w:t>
      </w:r>
      <w:r w:rsidRPr="003667EC">
        <w:rPr>
          <w:color w:val="000000"/>
          <w:lang w:val="es-ES_tradnl"/>
        </w:rPr>
        <w:t>, como se indica en la Carta circular N.° 860 de la ex IFRB, del 22 de marzo de 1991, se consideran únicamente hipótesis de trabajo y no condiciones obligatorias.</w:t>
      </w:r>
      <w:r w:rsidR="0092491E">
        <w:rPr>
          <w:color w:val="000000"/>
          <w:lang w:val="es-ES_tradnl"/>
        </w:rPr>
        <w:t xml:space="preserve"> </w:t>
      </w:r>
    </w:p>
    <w:p w14:paraId="3473E03F" w14:textId="77777777" w:rsidR="00A60C28" w:rsidRPr="003667EC" w:rsidRDefault="00A60C28" w:rsidP="00D70EFE">
      <w:pPr>
        <w:spacing w:before="120"/>
        <w:rPr>
          <w:color w:val="000000"/>
          <w:lang w:val="es-ES_tradnl"/>
        </w:rPr>
      </w:pPr>
      <w:r w:rsidRPr="003667EC">
        <w:rPr>
          <w:color w:val="000000"/>
          <w:lang w:val="es-ES_tradnl"/>
        </w:rPr>
        <w:t>1.1.4</w:t>
      </w:r>
      <w:r w:rsidRPr="003667EC">
        <w:rPr>
          <w:color w:val="000000"/>
          <w:lang w:val="es-ES_tradnl"/>
        </w:rPr>
        <w:tab/>
        <w:t>Sin embargo, las nuevas adjudicaciones en los antiguos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se han incluido por insistir en ello la administración interesada, y la búsqueda del canal menos afectado se ha basado en las características muy definitivas de la correspondiente necesidad (potencia, horario de utilización, horas de mayor funcionamiento, zona de servicio, información sobre tráfico); si las características hubieran sido diferentes, el canal menos afectado habría sido diferente.</w:t>
      </w:r>
    </w:p>
    <w:p w14:paraId="5C6EAA80" w14:textId="77777777" w:rsidR="00A60C28" w:rsidRPr="003667EC" w:rsidRDefault="00A60C28" w:rsidP="00782C00">
      <w:pPr>
        <w:spacing w:before="120"/>
        <w:rPr>
          <w:color w:val="000000"/>
          <w:lang w:val="es-ES_tradnl"/>
        </w:rPr>
      </w:pPr>
      <w:r w:rsidRPr="003667EC">
        <w:rPr>
          <w:color w:val="000000"/>
          <w:lang w:val="es-ES_tradnl"/>
        </w:rPr>
        <w:t>1.2</w:t>
      </w:r>
      <w:r w:rsidRPr="003667EC">
        <w:rPr>
          <w:color w:val="000000"/>
          <w:lang w:val="es-ES_tradnl"/>
        </w:rPr>
        <w:tab/>
        <w:t>Habida cuenta de lo indicado, la Junta decidió adoptar las siguientes reglas para el examen de las notificaciones de asignaciones de frecuencia, en virtud del número </w:t>
      </w:r>
      <w:r w:rsidRPr="003667EC">
        <w:rPr>
          <w:rStyle w:val="Artref"/>
          <w:b/>
          <w:color w:val="000000"/>
          <w:lang w:val="es-ES_tradnl"/>
        </w:rPr>
        <w:t>11.34</w:t>
      </w:r>
      <w:r w:rsidRPr="003667EC">
        <w:rPr>
          <w:color w:val="000000"/>
          <w:lang w:val="es-ES_tradnl"/>
        </w:rPr>
        <w:t>, desde el punto de vista de su conformidad con las correspondientes adjudicaciones del Plan del Apéndice </w:t>
      </w:r>
      <w:r w:rsidRPr="003667EC">
        <w:rPr>
          <w:rStyle w:val="Appref"/>
          <w:b/>
          <w:color w:val="000000"/>
          <w:lang w:val="es-ES_tradnl"/>
        </w:rPr>
        <w:t>25</w:t>
      </w:r>
      <w:r w:rsidRPr="003667EC">
        <w:rPr>
          <w:color w:val="000000"/>
          <w:lang w:val="es-ES_tradnl"/>
        </w:rPr>
        <w:t>:</w:t>
      </w:r>
    </w:p>
    <w:p w14:paraId="1C8FD3A2" w14:textId="7E853F0F" w:rsidR="00A60C28" w:rsidRPr="003667EC" w:rsidRDefault="00A60C28" w:rsidP="00782C00">
      <w:pPr>
        <w:spacing w:before="120"/>
        <w:rPr>
          <w:color w:val="000000"/>
          <w:lang w:val="es-ES_tradnl"/>
        </w:rPr>
      </w:pPr>
      <w:r w:rsidRPr="003667EC">
        <w:rPr>
          <w:color w:val="000000"/>
          <w:lang w:val="es-ES_tradnl"/>
        </w:rPr>
        <w:t>1.2.1</w:t>
      </w:r>
      <w:r w:rsidRPr="003667EC">
        <w:rPr>
          <w:color w:val="000000"/>
          <w:lang w:val="es-ES_tradnl"/>
        </w:rPr>
        <w:tab/>
        <w:t>Las características de las notificaciones de asignación de frecuencia, que corresponden a las adjudicaciones del Plan «original» del Apéndice</w:t>
      </w:r>
      <w:r w:rsidR="00290328">
        <w:rPr>
          <w:color w:val="000000"/>
          <w:lang w:val="es-ES_tradnl"/>
        </w:rPr>
        <w:t> </w:t>
      </w:r>
      <w:r w:rsidRPr="003667EC">
        <w:rPr>
          <w:rStyle w:val="Appref"/>
          <w:b/>
          <w:color w:val="000000"/>
          <w:lang w:val="es-ES_tradnl"/>
        </w:rPr>
        <w:t>25</w:t>
      </w:r>
      <w:r w:rsidRPr="003667EC">
        <w:rPr>
          <w:color w:val="000000"/>
          <w:lang w:val="es-ES_tradnl"/>
        </w:rPr>
        <w:t xml:space="preserve"> (aprobado por la CAMRM</w:t>
      </w:r>
      <w:r w:rsidRPr="003667EC">
        <w:rPr>
          <w:color w:val="000000"/>
          <w:lang w:val="es-ES_tradnl"/>
        </w:rPr>
        <w:noBreakHyphen/>
        <w:t>74) o las adjudicaciones inscritas en los nuevos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que fueron puestas a disposición por la CAMR Mob-87, se examinaron sólo con respecto a las condiciones generales aplicables a la utilización de los canales para la radiotelefonía dúplex (de conformidad con el acuerdo de disposición de canales de la Sección I, Sub-sección A, de la Parte B del Apéndice </w:t>
      </w:r>
      <w:r w:rsidRPr="003667EC">
        <w:rPr>
          <w:rStyle w:val="Appref"/>
          <w:b/>
          <w:color w:val="000000"/>
          <w:lang w:val="es-ES_tradnl"/>
        </w:rPr>
        <w:t>17</w:t>
      </w:r>
      <w:r w:rsidRPr="003667EC">
        <w:rPr>
          <w:color w:val="000000"/>
          <w:lang w:val="es-ES_tradnl"/>
        </w:rPr>
        <w:t>: de conformidad con los números</w:t>
      </w:r>
      <w:r w:rsidR="00290328">
        <w:rPr>
          <w:color w:val="000000"/>
          <w:lang w:val="es-ES_tradnl"/>
        </w:rPr>
        <w:t> </w:t>
      </w:r>
      <w:r w:rsidRPr="003667EC">
        <w:rPr>
          <w:rStyle w:val="Artref"/>
          <w:b/>
          <w:color w:val="000000"/>
          <w:lang w:val="es-ES_tradnl"/>
        </w:rPr>
        <w:t>52.177</w:t>
      </w:r>
      <w:r w:rsidRPr="003667EC">
        <w:rPr>
          <w:color w:val="000000"/>
          <w:lang w:val="es-ES_tradnl"/>
        </w:rPr>
        <w:t xml:space="preserve">, </w:t>
      </w:r>
      <w:r w:rsidRPr="003667EC">
        <w:rPr>
          <w:rStyle w:val="Artref"/>
          <w:b/>
          <w:color w:val="000000"/>
          <w:lang w:val="es-ES_tradnl"/>
        </w:rPr>
        <w:t>52.217</w:t>
      </w:r>
      <w:r w:rsidRPr="003667EC">
        <w:rPr>
          <w:color w:val="000000"/>
          <w:lang w:val="es-ES_tradnl"/>
        </w:rPr>
        <w:t xml:space="preserve">, </w:t>
      </w:r>
      <w:r w:rsidRPr="003667EC">
        <w:rPr>
          <w:rStyle w:val="Artref"/>
          <w:b/>
          <w:color w:val="000000"/>
          <w:lang w:val="es-ES_tradnl"/>
        </w:rPr>
        <w:t>52.219</w:t>
      </w:r>
      <w:r w:rsidRPr="003667EC">
        <w:rPr>
          <w:color w:val="000000"/>
          <w:lang w:val="es-ES_tradnl"/>
        </w:rPr>
        <w:t xml:space="preserve"> y </w:t>
      </w:r>
      <w:r w:rsidRPr="003667EC">
        <w:rPr>
          <w:rStyle w:val="Artref"/>
          <w:b/>
          <w:color w:val="000000"/>
          <w:lang w:val="es-ES_tradnl"/>
        </w:rPr>
        <w:t>52.220</w:t>
      </w:r>
      <w:r w:rsidRPr="003667EC">
        <w:rPr>
          <w:color w:val="000000"/>
          <w:lang w:val="es-ES_tradnl"/>
        </w:rPr>
        <w:t xml:space="preserve">) y, cuando proceda, con respecto a las condiciones definidas en el Plan del Apéndice </w:t>
      </w:r>
      <w:r w:rsidRPr="003667EC">
        <w:rPr>
          <w:rStyle w:val="Appref"/>
          <w:b/>
          <w:color w:val="000000"/>
          <w:lang w:val="es-ES_tradnl"/>
        </w:rPr>
        <w:t>25</w:t>
      </w:r>
      <w:r w:rsidRPr="003667EC">
        <w:rPr>
          <w:color w:val="000000"/>
          <w:lang w:val="es-ES_tradnl"/>
        </w:rPr>
        <w:t xml:space="preserve"> relativas al emplazamiento de la estación costera transmisora.</w:t>
      </w:r>
    </w:p>
    <w:p w14:paraId="54B6AD3D" w14:textId="77777777" w:rsidR="00D01428" w:rsidRDefault="00D01428" w:rsidP="00BF0573">
      <w:pPr>
        <w:spacing w:before="120"/>
        <w:rPr>
          <w:color w:val="000000"/>
          <w:lang w:val="es-ES_tradnl"/>
        </w:rPr>
      </w:pPr>
      <w:r>
        <w:rPr>
          <w:color w:val="000000"/>
          <w:lang w:val="es-ES_tradnl"/>
        </w:rPr>
        <w:br w:type="page"/>
      </w:r>
    </w:p>
    <w:p w14:paraId="7F20F09F" w14:textId="77777777" w:rsidR="00A60C28" w:rsidRPr="003667EC" w:rsidRDefault="00A60C28" w:rsidP="00BF0573">
      <w:pPr>
        <w:spacing w:before="120"/>
        <w:rPr>
          <w:color w:val="000000"/>
          <w:lang w:val="es-ES_tradnl"/>
        </w:rPr>
      </w:pPr>
      <w:r w:rsidRPr="003667EC">
        <w:rPr>
          <w:color w:val="000000"/>
          <w:lang w:val="es-ES_tradnl"/>
        </w:rPr>
        <w:lastRenderedPageBreak/>
        <w:t>1.2.2</w:t>
      </w:r>
      <w:r w:rsidRPr="003667EC">
        <w:rPr>
          <w:color w:val="000000"/>
          <w:lang w:val="es-ES_tradnl"/>
        </w:rPr>
        <w:tab/>
        <w:t>Las características de la notificación de asignación de frecuencia, que corres</w:t>
      </w:r>
      <w:r w:rsidRPr="003667EC">
        <w:rPr>
          <w:color w:val="000000"/>
          <w:lang w:val="es-ES_tradnl"/>
        </w:rPr>
        <w:softHyphen/>
        <w:t xml:space="preserve">pondan a las adjudicaciones inscritas en el Plan del Apéndice </w:t>
      </w:r>
      <w:r w:rsidRPr="003667EC">
        <w:rPr>
          <w:rStyle w:val="Appref"/>
          <w:b/>
          <w:color w:val="000000"/>
          <w:lang w:val="es-ES_tradnl"/>
        </w:rPr>
        <w:t>25</w:t>
      </w:r>
      <w:r w:rsidRPr="003667EC">
        <w:rPr>
          <w:color w:val="000000"/>
          <w:lang w:val="es-ES_tradnl"/>
        </w:rPr>
        <w:t>, en aplicación de los procedi</w:t>
      </w:r>
      <w:r w:rsidRPr="003667EC">
        <w:rPr>
          <w:color w:val="000000"/>
          <w:lang w:val="es-ES_tradnl"/>
        </w:rPr>
        <w:softHyphen/>
        <w:t xml:space="preserve">mientos del antiguo Artículo 16 del Reglamento de Radiocomunicaciones, o el procedimiento de la Sección I del Apéndice </w:t>
      </w:r>
      <w:r w:rsidRPr="003667EC">
        <w:rPr>
          <w:rStyle w:val="Appref"/>
          <w:b/>
          <w:color w:val="000000"/>
          <w:lang w:val="es-ES_tradnl"/>
        </w:rPr>
        <w:t>25</w:t>
      </w:r>
      <w:r w:rsidRPr="003667EC">
        <w:rPr>
          <w:color w:val="000000"/>
          <w:lang w:val="es-ES_tradnl"/>
        </w:rPr>
        <w:t>, así como las inscritas en los antiguos canales del Plan del Apéndice </w:t>
      </w:r>
      <w:r w:rsidRPr="003667EC">
        <w:rPr>
          <w:rStyle w:val="Appref"/>
          <w:b/>
          <w:color w:val="000000"/>
          <w:lang w:val="es-ES_tradnl"/>
        </w:rPr>
        <w:t>25</w:t>
      </w:r>
      <w:r w:rsidRPr="003667EC">
        <w:rPr>
          <w:bCs/>
          <w:color w:val="000000"/>
          <w:lang w:val="es-ES_tradnl"/>
        </w:rPr>
        <w:t>,</w:t>
      </w:r>
      <w:r w:rsidRPr="003667EC">
        <w:rPr>
          <w:color w:val="000000"/>
          <w:lang w:val="es-ES_tradnl"/>
        </w:rPr>
        <w:t xml:space="preserve"> de conformidad con el § 5 del Anexo a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BF0573" w:rsidRPr="005A408A">
        <w:rPr>
          <w:rStyle w:val="FootnoteReference"/>
          <w:lang w:val="es-ES_tradnl"/>
        </w:rPr>
        <w:t>*</w:t>
      </w:r>
      <w:r w:rsidRPr="00BF0573">
        <w:rPr>
          <w:color w:val="FFFFFF" w:themeColor="background1"/>
          <w:lang w:val="es-ES_tradnl"/>
        </w:rPr>
        <w:t xml:space="preserve"> </w:t>
      </w:r>
      <w:r w:rsidRPr="003667EC">
        <w:rPr>
          <w:color w:val="000000"/>
          <w:lang w:val="es-ES_tradnl"/>
        </w:rPr>
        <w:t>(determi</w:t>
      </w:r>
      <w:r w:rsidRPr="003667EC">
        <w:rPr>
          <w:color w:val="000000"/>
          <w:lang w:val="es-ES_tradnl"/>
        </w:rPr>
        <w:softHyphen/>
        <w:t>nación del canal menos afectado por insistir en ello la administración), se examinarán, con respecto a su conformidad con todas las condiciones estipuladas para la adjudicación en cuestión en el Plan del Apéndice </w:t>
      </w:r>
      <w:r w:rsidRPr="003667EC">
        <w:rPr>
          <w:rStyle w:val="Appref"/>
          <w:b/>
          <w:color w:val="000000"/>
          <w:lang w:val="es-ES_tradnl"/>
        </w:rPr>
        <w:t>25</w:t>
      </w:r>
      <w:r w:rsidRPr="003667EC">
        <w:rPr>
          <w:color w:val="000000"/>
          <w:lang w:val="es-ES_tradnl"/>
        </w:rPr>
        <w:t xml:space="preserve"> (es decir, emplazamiento de la estación costera trans</w:t>
      </w:r>
      <w:r w:rsidRPr="003667EC">
        <w:rPr>
          <w:color w:val="000000"/>
          <w:lang w:val="es-ES_tradnl"/>
        </w:rPr>
        <w:softHyphen/>
        <w:t>misora en relación con la zona de adjudicación, límite de potencia, horario de utilización).</w:t>
      </w:r>
    </w:p>
    <w:p w14:paraId="2DBC0072" w14:textId="77777777" w:rsidR="00A60C28" w:rsidRPr="003667EC" w:rsidRDefault="00A60C28" w:rsidP="00782C00">
      <w:pPr>
        <w:spacing w:before="120"/>
        <w:rPr>
          <w:color w:val="000000"/>
          <w:lang w:val="es-ES_tradnl"/>
        </w:rPr>
      </w:pPr>
      <w:r w:rsidRPr="003667EC">
        <w:rPr>
          <w:color w:val="000000"/>
          <w:lang w:val="es-ES_tradnl"/>
        </w:rPr>
        <w:t>1.2.3</w:t>
      </w:r>
      <w:r w:rsidRPr="003667EC">
        <w:rPr>
          <w:color w:val="000000"/>
          <w:lang w:val="es-ES_tradnl"/>
        </w:rPr>
        <w:tab/>
        <w:t>La no conformidad con las características pertinentes del Plan del Apéndice </w:t>
      </w:r>
      <w:r w:rsidRPr="003667EC">
        <w:rPr>
          <w:rStyle w:val="Appref"/>
          <w:b/>
          <w:color w:val="000000"/>
          <w:lang w:val="es-ES_tradnl"/>
        </w:rPr>
        <w:t>25</w:t>
      </w:r>
      <w:r w:rsidRPr="003667EC">
        <w:rPr>
          <w:color w:val="000000"/>
          <w:lang w:val="es-ES_tradnl"/>
        </w:rPr>
        <w:t xml:space="preserve"> dará lugar a una conclusión desfavorable en virtud del número </w:t>
      </w:r>
      <w:r w:rsidRPr="003667EC">
        <w:rPr>
          <w:rStyle w:val="Artref"/>
          <w:b/>
          <w:color w:val="000000"/>
          <w:lang w:val="es-ES_tradnl"/>
        </w:rPr>
        <w:t>11.34</w:t>
      </w:r>
      <w:r w:rsidRPr="003667EC">
        <w:rPr>
          <w:bCs/>
          <w:color w:val="000000"/>
          <w:lang w:val="es-ES_tradnl"/>
        </w:rPr>
        <w:t>,</w:t>
      </w:r>
      <w:r w:rsidRPr="003667EC">
        <w:rPr>
          <w:color w:val="000000"/>
          <w:lang w:val="es-ES_tradnl"/>
        </w:rPr>
        <w:t xml:space="preserve"> y la modificación de estas características estará sujeta a la aplicación del procedimiento de la Sección I del Apéndice </w:t>
      </w:r>
      <w:r w:rsidRPr="003667EC">
        <w:rPr>
          <w:rStyle w:val="Appref"/>
          <w:b/>
          <w:color w:val="000000"/>
          <w:lang w:val="es-ES_tradnl"/>
        </w:rPr>
        <w:t>25</w:t>
      </w:r>
      <w:r w:rsidRPr="003667EC">
        <w:rPr>
          <w:color w:val="000000"/>
          <w:lang w:val="es-ES_tradnl"/>
        </w:rPr>
        <w:t xml:space="preserve"> al Reglamento de Radiocomunicaciones.</w:t>
      </w:r>
      <w:r w:rsidR="00BF0573" w:rsidRPr="00BF0573">
        <w:rPr>
          <w:rStyle w:val="FootnoteReference"/>
          <w:b/>
          <w:color w:val="FFFFFF" w:themeColor="background1"/>
          <w:lang w:val="es-ES_tradnl"/>
        </w:rPr>
        <w:t xml:space="preserve"> </w:t>
      </w:r>
      <w:r w:rsidR="00BF0573" w:rsidRPr="00BF0573">
        <w:rPr>
          <w:rStyle w:val="FootnoteReference"/>
          <w:b/>
          <w:color w:val="FFFFFF" w:themeColor="background1"/>
          <w:lang w:val="es-ES_tradnl"/>
        </w:rPr>
        <w:footnoteReference w:id="12"/>
      </w:r>
    </w:p>
    <w:p w14:paraId="2069D27C" w14:textId="77777777" w:rsidR="00A60C28" w:rsidRPr="003667EC" w:rsidRDefault="00A60C28" w:rsidP="00782C00">
      <w:pPr>
        <w:pStyle w:val="Heading1"/>
        <w:spacing w:before="480" w:line="280" w:lineRule="exact"/>
        <w:rPr>
          <w:color w:val="000000"/>
          <w:lang w:val="es-ES_tradnl"/>
        </w:rPr>
      </w:pPr>
      <w:r w:rsidRPr="003667EC">
        <w:rPr>
          <w:color w:val="000000"/>
          <w:lang w:val="es-ES_tradnl"/>
        </w:rPr>
        <w:t>2</w:t>
      </w:r>
      <w:r w:rsidRPr="003667EC">
        <w:rPr>
          <w:color w:val="000000"/>
          <w:lang w:val="es-ES_tradnl"/>
        </w:rPr>
        <w:tab/>
        <w:t>Bandas regidas por los Planes regionales de asignación o adjudicación</w:t>
      </w:r>
    </w:p>
    <w:p w14:paraId="16BC93F3" w14:textId="77777777" w:rsidR="00A60C28" w:rsidRPr="003667EC" w:rsidRDefault="00A60C28">
      <w:pPr>
        <w:rPr>
          <w:color w:val="000000"/>
          <w:lang w:val="es-ES_tradnl"/>
        </w:rPr>
      </w:pPr>
      <w:r w:rsidRPr="003667EC">
        <w:rPr>
          <w:color w:val="000000"/>
          <w:lang w:val="es-ES_tradnl"/>
        </w:rPr>
        <w:t>2.1</w:t>
      </w:r>
      <w:r w:rsidRPr="003667EC">
        <w:rPr>
          <w:color w:val="000000"/>
          <w:lang w:val="es-ES_tradnl"/>
        </w:rPr>
        <w:tab/>
        <w:t>Cuando del examen de una notificación se desprenda que no está en conformidad con el Plan anexo a un acuerdo regional la Oficina adoptará las siguientes medidas:</w:t>
      </w:r>
    </w:p>
    <w:p w14:paraId="5B848DE5" w14:textId="77777777" w:rsidR="00A60C28" w:rsidRPr="003667EC" w:rsidRDefault="00A60C28" w:rsidP="00782C00">
      <w:pPr>
        <w:spacing w:before="120"/>
        <w:rPr>
          <w:color w:val="000000"/>
          <w:lang w:val="es-ES_tradnl"/>
        </w:rPr>
      </w:pPr>
      <w:r w:rsidRPr="003667EC">
        <w:rPr>
          <w:color w:val="000000"/>
          <w:lang w:val="es-ES_tradnl"/>
        </w:rPr>
        <w:t>2.1.1</w:t>
      </w:r>
      <w:r w:rsidRPr="003667EC">
        <w:rPr>
          <w:color w:val="000000"/>
          <w:lang w:val="es-ES_tradnl"/>
        </w:rPr>
        <w:tab/>
        <w:t>Las asignaciones de frecuencia en las bandas regidas por los Acuerdos Regionales a los que se hace referencia explícitamente en el Cuadro de atribución de bandas de frecuencias se tramitarán de la siguiente manera:</w:t>
      </w:r>
    </w:p>
    <w:p w14:paraId="07446203" w14:textId="77777777" w:rsidR="00A60C28" w:rsidRDefault="00A60C28">
      <w:pPr>
        <w:rPr>
          <w:color w:val="000000"/>
          <w:lang w:val="es-ES_tradnl"/>
        </w:rPr>
      </w:pPr>
      <w:r w:rsidRPr="003667EC">
        <w:rPr>
          <w:color w:val="000000"/>
          <w:lang w:val="es-ES_tradnl"/>
        </w:rPr>
        <w:t>2.1.1.1</w:t>
      </w:r>
      <w:r w:rsidRPr="003667EC">
        <w:rPr>
          <w:color w:val="000000"/>
          <w:lang w:val="es-ES_tradnl"/>
        </w:rPr>
        <w:tab/>
        <w:t>las notificaciones de asignaciones de frecuencia sometidas sin referencia al número </w:t>
      </w:r>
      <w:r w:rsidRPr="003667EC">
        <w:rPr>
          <w:rStyle w:val="Artref"/>
          <w:b/>
          <w:color w:val="000000"/>
          <w:lang w:val="es-ES_tradnl"/>
        </w:rPr>
        <w:t>4.4</w:t>
      </w:r>
      <w:r w:rsidRPr="003667EC">
        <w:rPr>
          <w:color w:val="000000"/>
          <w:lang w:val="es-ES_tradnl"/>
        </w:rPr>
        <w:t xml:space="preserve"> se devolverán a la administración notificante;</w:t>
      </w:r>
    </w:p>
    <w:p w14:paraId="6570BC11" w14:textId="77777777" w:rsidR="00A60C28" w:rsidRPr="003667EC" w:rsidRDefault="00A60C28" w:rsidP="007E3FFE">
      <w:pPr>
        <w:rPr>
          <w:color w:val="000000"/>
          <w:lang w:val="es-ES_tradnl"/>
        </w:rPr>
      </w:pPr>
      <w:r w:rsidRPr="003667EC">
        <w:rPr>
          <w:color w:val="000000"/>
          <w:lang w:val="es-ES_tradnl"/>
        </w:rPr>
        <w:t>2.1.1.2</w:t>
      </w:r>
      <w:r w:rsidRPr="003667EC">
        <w:rPr>
          <w:color w:val="000000"/>
          <w:lang w:val="es-ES_tradnl"/>
        </w:rPr>
        <w:tab/>
        <w:t>las notificaciones de asignaciones de frecuencia sometidas en virtud de las dispo</w:t>
      </w:r>
      <w:r w:rsidR="009A2F2C" w:rsidRPr="003667EC">
        <w:rPr>
          <w:color w:val="000000"/>
          <w:lang w:val="es-ES_tradnl"/>
        </w:rPr>
        <w:softHyphen/>
      </w:r>
      <w:r w:rsidRPr="003667EC">
        <w:rPr>
          <w:color w:val="000000"/>
          <w:lang w:val="es-ES_tradnl"/>
        </w:rPr>
        <w:t xml:space="preserve">siciones del número </w:t>
      </w:r>
      <w:r w:rsidRPr="003667EC">
        <w:rPr>
          <w:rStyle w:val="Artref"/>
          <w:b/>
          <w:color w:val="000000"/>
          <w:lang w:val="es-ES_tradnl"/>
        </w:rPr>
        <w:t xml:space="preserve">4.4 </w:t>
      </w:r>
      <w:r w:rsidRPr="003667EC">
        <w:rPr>
          <w:color w:val="000000"/>
          <w:lang w:val="es-ES_tradnl"/>
        </w:rPr>
        <w:t>se inscribirán con una conclusión desfavorable en relación con el número </w:t>
      </w:r>
      <w:r w:rsidRPr="003667EC">
        <w:rPr>
          <w:rStyle w:val="Artref"/>
          <w:b/>
          <w:color w:val="000000"/>
          <w:lang w:val="es-ES_tradnl"/>
        </w:rPr>
        <w:t>11.31</w:t>
      </w:r>
      <w:r w:rsidRPr="003667EC">
        <w:rPr>
          <w:color w:val="000000"/>
          <w:lang w:val="es-ES_tradnl"/>
        </w:rPr>
        <w:t xml:space="preserve"> y bajo las condiciones del número </w:t>
      </w:r>
      <w:r w:rsidRPr="003667EC">
        <w:rPr>
          <w:rStyle w:val="Artref"/>
          <w:b/>
          <w:color w:val="000000"/>
          <w:lang w:val="es-ES_tradnl"/>
        </w:rPr>
        <w:t>4.4</w:t>
      </w:r>
      <w:r w:rsidRPr="003667EC">
        <w:rPr>
          <w:color w:val="000000"/>
          <w:lang w:val="es-ES_tradnl"/>
        </w:rPr>
        <w:t>.</w:t>
      </w:r>
    </w:p>
    <w:p w14:paraId="30EBD41C" w14:textId="77777777" w:rsidR="00A60C28" w:rsidRPr="003667EC" w:rsidRDefault="00A60C28" w:rsidP="005A408A">
      <w:pPr>
        <w:spacing w:before="120"/>
        <w:rPr>
          <w:color w:val="000000"/>
          <w:lang w:val="es-ES_tradnl"/>
        </w:rPr>
      </w:pPr>
      <w:r w:rsidRPr="003667EC">
        <w:rPr>
          <w:color w:val="000000"/>
          <w:lang w:val="es-ES_tradnl"/>
        </w:rPr>
        <w:t>2.2</w:t>
      </w:r>
      <w:r w:rsidRPr="003667EC">
        <w:rPr>
          <w:color w:val="000000"/>
          <w:lang w:val="es-ES_tradnl"/>
        </w:rPr>
        <w:tab/>
        <w:t>Las asignaciones de frecuencia en las bandas regidas por Acuerdos Regionales que no están mencionadas explícitamente en el Cuadro de atribuciones de bandas de frecuencias se tramitarán de la siguiente manera:</w:t>
      </w:r>
    </w:p>
    <w:p w14:paraId="6234FA48" w14:textId="77777777" w:rsidR="00A60C28" w:rsidRPr="003667EC" w:rsidRDefault="00A60C28" w:rsidP="005A408A">
      <w:pPr>
        <w:spacing w:before="120"/>
        <w:rPr>
          <w:color w:val="000000"/>
          <w:lang w:val="es-ES_tradnl"/>
        </w:rPr>
      </w:pPr>
      <w:r w:rsidRPr="003667EC">
        <w:rPr>
          <w:color w:val="000000"/>
          <w:lang w:val="es-ES_tradnl"/>
        </w:rPr>
        <w:t>2.2.1</w:t>
      </w:r>
      <w:r w:rsidRPr="003667EC">
        <w:rPr>
          <w:color w:val="000000"/>
          <w:lang w:val="es-ES_tradnl"/>
        </w:rPr>
        <w:tab/>
        <w:t>En el caso de los Acuerdos que permiten la posibilidad de poner en servicio asignaciones que no son conformes al Plan pertinente (es decir, GE75, RJ81, GE85-MM-R1 y GE85</w:t>
      </w:r>
      <w:r w:rsidR="005164F3" w:rsidRPr="003667EC">
        <w:rPr>
          <w:color w:val="000000"/>
          <w:lang w:val="es-ES_tradnl"/>
        </w:rPr>
        <w:noBreakHyphen/>
      </w:r>
      <w:r w:rsidRPr="003667EC">
        <w:rPr>
          <w:color w:val="000000"/>
          <w:lang w:val="es-ES_tradnl"/>
        </w:rPr>
        <w:t>EMA): la asignación se examinará con arreglo a las condiciones especificadas en los Acuerdos y, si las condiciones están reunidas, la asignación se inscribirá en consecuencia. Si las condiciones no están reunidas las asignaciones se tramitarán con arreglo al § 2.2.2 siguiente</w:t>
      </w:r>
      <w:r w:rsidR="00FE6D36" w:rsidRPr="003667EC">
        <w:rPr>
          <w:color w:val="000000"/>
          <w:lang w:val="es-ES_tradnl"/>
        </w:rPr>
        <w:t>, a excepción de las notificaciones regidas por el Acuerdo GE06.</w:t>
      </w:r>
    </w:p>
    <w:p w14:paraId="25727A45" w14:textId="77777777" w:rsidR="00D01428" w:rsidRDefault="00D01428" w:rsidP="005A408A">
      <w:pPr>
        <w:spacing w:before="120"/>
        <w:rPr>
          <w:color w:val="000000"/>
          <w:lang w:val="es-ES_tradnl"/>
        </w:rPr>
      </w:pPr>
      <w:r>
        <w:rPr>
          <w:color w:val="000000"/>
          <w:lang w:val="es-ES_tradnl"/>
        </w:rPr>
        <w:br w:type="page"/>
      </w:r>
    </w:p>
    <w:p w14:paraId="33C961F0" w14:textId="77777777" w:rsidR="00A60C28" w:rsidRPr="003667EC" w:rsidRDefault="00A60C28" w:rsidP="005A408A">
      <w:pPr>
        <w:spacing w:before="120"/>
        <w:rPr>
          <w:color w:val="000000"/>
          <w:lang w:val="es-ES_tradnl"/>
        </w:rPr>
      </w:pPr>
      <w:r w:rsidRPr="003667EC">
        <w:rPr>
          <w:color w:val="000000"/>
          <w:lang w:val="es-ES_tradnl"/>
        </w:rPr>
        <w:lastRenderedPageBreak/>
        <w:t>2.2.2</w:t>
      </w:r>
      <w:r w:rsidRPr="003667EC">
        <w:rPr>
          <w:color w:val="000000"/>
          <w:lang w:val="es-ES_tradnl"/>
        </w:rPr>
        <w:tab/>
        <w:t xml:space="preserve">En el caso de los Acuerdos que no contienen indicación en cuanto a la puesta en servicio de asignaciones que no son conformes al Plan pertinente (por ejemplo, las bandas regidas por los Acuerdos Regionales ST61, GE84 y GE89), la notificación se devolverá a la administración con la propuesta de que se aplique el procedimiento necesario o se introduzcan las modificaciones necesarias en la notificación, a fin de que sea conforme con el Plan. Sin embargo, si la administración insiste en que se reconsidere la notificación, la asignación se inscribirá con una conclusión favorable en virtud del número </w:t>
      </w:r>
      <w:r w:rsidRPr="003667EC">
        <w:rPr>
          <w:rStyle w:val="Artref"/>
          <w:b/>
          <w:color w:val="000000"/>
          <w:lang w:val="es-ES_tradnl"/>
        </w:rPr>
        <w:t>11.31</w:t>
      </w:r>
      <w:r w:rsidRPr="003667EC">
        <w:rPr>
          <w:color w:val="000000"/>
          <w:lang w:val="es-ES_tradnl"/>
        </w:rPr>
        <w:t>, junto con el (los) nombre(s) de la(s) administración(es) cuyas asignaciones en virtud del Plan se vean probable</w:t>
      </w:r>
      <w:r w:rsidRPr="003667EC">
        <w:rPr>
          <w:color w:val="000000"/>
          <w:lang w:val="es-ES_tradnl"/>
        </w:rPr>
        <w:softHyphen/>
        <w:t>mente afectadas, indicándose que la asignación inscrita funcionará, con respecto a esa(s) administración(es), en condiciones que no cause interferencia perjudicial a una estación que funciona de conformidad con el Plan, ni dará lugar a reclamar protección contra las inter</w:t>
      </w:r>
      <w:r w:rsidRPr="003667EC">
        <w:rPr>
          <w:color w:val="000000"/>
          <w:lang w:val="es-ES_tradnl"/>
        </w:rPr>
        <w:softHyphen/>
        <w:t>ferencias perjudiciales causadas por la última estación.</w:t>
      </w:r>
    </w:p>
    <w:p w14:paraId="4FBF08DB" w14:textId="77777777" w:rsidR="00FE6D36" w:rsidRDefault="00FE6D36" w:rsidP="005A408A">
      <w:pPr>
        <w:spacing w:before="120"/>
        <w:rPr>
          <w:color w:val="000000"/>
          <w:lang w:val="es-ES_tradnl"/>
        </w:rPr>
      </w:pPr>
      <w:r w:rsidRPr="003667EC">
        <w:rPr>
          <w:color w:val="000000"/>
          <w:lang w:val="es-ES_tradnl"/>
        </w:rPr>
        <w:t>2.2.3</w:t>
      </w:r>
      <w:r w:rsidRPr="003667EC">
        <w:rPr>
          <w:color w:val="000000"/>
          <w:lang w:val="es-ES_tradnl"/>
        </w:rPr>
        <w:tab/>
        <w:t>Las notificaciones regidas por el Acuerdo GE06, que no son conformes con los Planes de radiodifusión o con la Lista de asignaciones a otros servicios terrenales primarios, se tramitarán de acuerdo con el procedimiento aplicable, como se estipula en el Artículo 5 del Acuerdo GE06.</w:t>
      </w:r>
    </w:p>
    <w:p w14:paraId="6EC39D23" w14:textId="77777777" w:rsidR="00A60C28" w:rsidRPr="003667EC" w:rsidRDefault="00A60C28" w:rsidP="004C44AE">
      <w:pPr>
        <w:pStyle w:val="Heading8"/>
        <w:rPr>
          <w:color w:val="000000"/>
          <w:lang w:val="es-ES_tradnl"/>
        </w:rPr>
      </w:pPr>
      <w:r w:rsidRPr="003667EC">
        <w:rPr>
          <w:color w:val="000000"/>
          <w:lang w:val="es-ES_tradnl"/>
        </w:rPr>
        <w:t>11.36</w:t>
      </w:r>
    </w:p>
    <w:p w14:paraId="617030EA" w14:textId="77777777" w:rsidR="00A60C28" w:rsidRPr="003667EC" w:rsidRDefault="00A60C28" w:rsidP="005A408A">
      <w:pPr>
        <w:spacing w:before="120"/>
        <w:rPr>
          <w:color w:val="000000"/>
          <w:lang w:val="es-ES_tradnl"/>
        </w:rPr>
      </w:pPr>
      <w:r w:rsidRPr="003667EC">
        <w:rPr>
          <w:color w:val="000000"/>
          <w:lang w:val="es-ES_tradnl"/>
        </w:rPr>
        <w:t xml:space="preserve">Véanse los comentarios de las Reglas de Procedimiento referentes al número </w:t>
      </w:r>
      <w:r w:rsidRPr="003667EC">
        <w:rPr>
          <w:rStyle w:val="Artref"/>
          <w:b/>
          <w:color w:val="000000"/>
          <w:lang w:val="es-ES_tradnl"/>
        </w:rPr>
        <w:t>4.4</w:t>
      </w:r>
      <w:r w:rsidRPr="003667EC">
        <w:rPr>
          <w:color w:val="000000"/>
          <w:lang w:val="es-ES_tradnl"/>
        </w:rPr>
        <w:t xml:space="preserve"> acerca de las bandas de frecuencias cuya utilización está prohibida excepto para el uso indicado en el Reglamento de Radiocomunicaciones.</w:t>
      </w:r>
    </w:p>
    <w:p w14:paraId="28115BBF" w14:textId="77777777" w:rsidR="00A60C28" w:rsidRPr="003667EC" w:rsidRDefault="00A60C28" w:rsidP="004C44AE">
      <w:pPr>
        <w:pStyle w:val="Heading8"/>
        <w:rPr>
          <w:color w:val="000000"/>
          <w:lang w:val="es-ES_tradnl"/>
        </w:rPr>
      </w:pPr>
      <w:r w:rsidRPr="003667EC">
        <w:rPr>
          <w:color w:val="000000"/>
          <w:lang w:val="es-ES_tradnl"/>
        </w:rPr>
        <w:t>11.37</w:t>
      </w:r>
    </w:p>
    <w:p w14:paraId="3CF986F4" w14:textId="543538F9" w:rsidR="00A60C28" w:rsidRDefault="00A60C28" w:rsidP="005E750A">
      <w:pPr>
        <w:rPr>
          <w:color w:val="000000"/>
          <w:lang w:val="es-ES_tradnl"/>
        </w:rPr>
      </w:pPr>
      <w:r w:rsidRPr="003667EC">
        <w:rPr>
          <w:color w:val="000000"/>
          <w:lang w:val="es-ES_tradnl"/>
        </w:rPr>
        <w:t>Una asignación puede inscribirse en el Registro en relación con el número </w:t>
      </w:r>
      <w:r w:rsidRPr="003667EC">
        <w:rPr>
          <w:rStyle w:val="Artref"/>
          <w:b/>
          <w:color w:val="000000"/>
          <w:lang w:val="es-ES_tradnl"/>
        </w:rPr>
        <w:t>4.4</w:t>
      </w:r>
      <w:r w:rsidRPr="003667EC">
        <w:rPr>
          <w:color w:val="000000"/>
          <w:lang w:val="es-ES_tradnl"/>
        </w:rPr>
        <w:t xml:space="preserve"> únicamente en el caso de haber sido objeto de una conclusión desfavorable con respecto al número </w:t>
      </w:r>
      <w:r w:rsidRPr="003667EC">
        <w:rPr>
          <w:rStyle w:val="Artref"/>
          <w:b/>
          <w:color w:val="000000"/>
          <w:lang w:val="es-ES_tradnl"/>
        </w:rPr>
        <w:t>11.31</w:t>
      </w:r>
      <w:r w:rsidRPr="003667EC">
        <w:rPr>
          <w:color w:val="000000"/>
          <w:lang w:val="es-ES_tradnl"/>
        </w:rPr>
        <w:t xml:space="preserve">, por ejemplo, caso de no ser conforme con el Cuadro de atribución de bandas de frecuencias (véase el número </w:t>
      </w:r>
      <w:r w:rsidRPr="003667EC">
        <w:rPr>
          <w:rStyle w:val="Artref"/>
          <w:b/>
          <w:color w:val="000000"/>
          <w:lang w:val="es-ES_tradnl"/>
        </w:rPr>
        <w:t>11.36</w:t>
      </w:r>
      <w:r w:rsidRPr="003667EC">
        <w:rPr>
          <w:color w:val="000000"/>
          <w:lang w:val="es-ES_tradnl"/>
        </w:rPr>
        <w:t xml:space="preserve">). Esto implica que el número </w:t>
      </w:r>
      <w:r w:rsidRPr="003667EC">
        <w:rPr>
          <w:rStyle w:val="Artref"/>
          <w:b/>
          <w:color w:val="000000"/>
          <w:lang w:val="es-ES_tradnl"/>
        </w:rPr>
        <w:t>4.4</w:t>
      </w:r>
      <w:r w:rsidRPr="003667EC">
        <w:rPr>
          <w:color w:val="000000"/>
          <w:lang w:val="es-ES_tradnl"/>
        </w:rPr>
        <w:t xml:space="preserve"> es también aplicable a la no conformidad con la solicitud de coordinación del número </w:t>
      </w:r>
      <w:r w:rsidRPr="003667EC">
        <w:rPr>
          <w:rStyle w:val="Artref"/>
          <w:b/>
          <w:color w:val="000000"/>
          <w:lang w:val="es-ES_tradnl"/>
        </w:rPr>
        <w:t>9.21</w:t>
      </w:r>
      <w:r w:rsidRPr="003667EC">
        <w:rPr>
          <w:color w:val="000000"/>
          <w:lang w:val="es-ES_tradnl"/>
        </w:rPr>
        <w:t xml:space="preserve"> cuando se hace referencia al mismo en una nota del citado Cuadro (véase el número </w:t>
      </w:r>
      <w:r w:rsidRPr="003667EC">
        <w:rPr>
          <w:rStyle w:val="Artref"/>
          <w:b/>
          <w:color w:val="000000"/>
          <w:lang w:val="es-ES_tradnl"/>
        </w:rPr>
        <w:t>11.31.1</w:t>
      </w:r>
      <w:r w:rsidRPr="003667EC">
        <w:rPr>
          <w:color w:val="000000"/>
          <w:lang w:val="es-ES_tradnl"/>
        </w:rPr>
        <w:t xml:space="preserve">). Una consecuencia de lo dicho es que no podrá registrarse en virtud del número </w:t>
      </w:r>
      <w:r w:rsidRPr="003667EC">
        <w:rPr>
          <w:rStyle w:val="Artref"/>
          <w:b/>
          <w:color w:val="000000"/>
          <w:lang w:val="es-ES_tradnl"/>
        </w:rPr>
        <w:t>4.4</w:t>
      </w:r>
      <w:r w:rsidRPr="003667EC">
        <w:rPr>
          <w:color w:val="000000"/>
          <w:lang w:val="es-ES_tradnl"/>
        </w:rPr>
        <w:t xml:space="preserve"> una asignación conforme con el</w:t>
      </w:r>
      <w:r w:rsidR="00290328">
        <w:rPr>
          <w:color w:val="000000"/>
          <w:lang w:val="es-ES_tradnl"/>
        </w:rPr>
        <w:t xml:space="preserve"> </w:t>
      </w:r>
      <w:r w:rsidRPr="003667EC">
        <w:rPr>
          <w:color w:val="000000"/>
          <w:lang w:val="es-ES_tradnl"/>
        </w:rPr>
        <w:t>Cuadro de atribución de bandas de frecuencias pero para la que no se ha completado el</w:t>
      </w:r>
      <w:r w:rsidR="00290328">
        <w:rPr>
          <w:color w:val="000000"/>
          <w:lang w:val="es-ES_tradnl"/>
        </w:rPr>
        <w:t xml:space="preserve"> </w:t>
      </w:r>
      <w:r w:rsidRPr="003667EC">
        <w:rPr>
          <w:color w:val="000000"/>
          <w:lang w:val="es-ES_tradnl"/>
        </w:rPr>
        <w:t>procedimiento de coordinación correspondiente (por ejemplo, los números</w:t>
      </w:r>
      <w:r w:rsidR="00290328">
        <w:rPr>
          <w:color w:val="000000"/>
          <w:lang w:val="es-ES_tradnl"/>
        </w:rPr>
        <w:t> </w:t>
      </w:r>
      <w:r w:rsidRPr="003667EC">
        <w:rPr>
          <w:rStyle w:val="Artref"/>
          <w:b/>
          <w:color w:val="000000"/>
          <w:lang w:val="es-ES_tradnl"/>
        </w:rPr>
        <w:t>9.7</w:t>
      </w:r>
      <w:r w:rsidRPr="003667EC">
        <w:rPr>
          <w:color w:val="000000"/>
          <w:lang w:val="es-ES_tradnl"/>
        </w:rPr>
        <w:t xml:space="preserve"> a </w:t>
      </w:r>
      <w:r w:rsidRPr="003667EC">
        <w:rPr>
          <w:rStyle w:val="Artref"/>
          <w:b/>
          <w:color w:val="000000"/>
          <w:lang w:val="es-ES_tradnl"/>
        </w:rPr>
        <w:t>9.19</w:t>
      </w:r>
      <w:r w:rsidR="009056FF">
        <w:rPr>
          <w:rStyle w:val="Artref"/>
          <w:b/>
          <w:color w:val="000000"/>
          <w:lang w:val="es-ES_tradnl"/>
        </w:rPr>
        <w:t>)</w:t>
      </w:r>
      <w:r w:rsidR="00261E6D">
        <w:rPr>
          <w:color w:val="000000"/>
          <w:lang w:val="es-ES_tradnl"/>
        </w:rPr>
        <w:t>.</w:t>
      </w:r>
      <w:r w:rsidR="005E750A">
        <w:rPr>
          <w:color w:val="000000"/>
          <w:lang w:val="es-ES_tradnl"/>
        </w:rPr>
        <w:t xml:space="preserve"> </w:t>
      </w:r>
      <w:r w:rsidRPr="003667EC">
        <w:rPr>
          <w:color w:val="000000"/>
          <w:lang w:val="es-ES_tradnl"/>
        </w:rPr>
        <w:t xml:space="preserve">Existen otras disposiciones (como por ejemplo los números </w:t>
      </w:r>
      <w:r w:rsidRPr="003667EC">
        <w:rPr>
          <w:rStyle w:val="Artref"/>
          <w:b/>
          <w:color w:val="000000"/>
          <w:lang w:val="es-ES_tradnl"/>
        </w:rPr>
        <w:t>11.32A</w:t>
      </w:r>
      <w:r w:rsidRPr="003667EC">
        <w:rPr>
          <w:color w:val="000000"/>
          <w:lang w:val="es-ES_tradnl"/>
        </w:rPr>
        <w:t xml:space="preserve">, </w:t>
      </w:r>
      <w:r w:rsidRPr="003667EC">
        <w:rPr>
          <w:rStyle w:val="Artref"/>
          <w:b/>
          <w:color w:val="000000"/>
          <w:lang w:val="es-ES_tradnl"/>
        </w:rPr>
        <w:t>11.33</w:t>
      </w:r>
      <w:r w:rsidRPr="003667EC">
        <w:rPr>
          <w:color w:val="000000"/>
          <w:lang w:val="es-ES_tradnl"/>
        </w:rPr>
        <w:t xml:space="preserve"> y </w:t>
      </w:r>
      <w:r w:rsidRPr="003667EC">
        <w:rPr>
          <w:rStyle w:val="Artref"/>
          <w:b/>
          <w:color w:val="000000"/>
          <w:lang w:val="es-ES_tradnl"/>
        </w:rPr>
        <w:t>11.41</w:t>
      </w:r>
      <w:r w:rsidR="009056FF" w:rsidRPr="009056FF">
        <w:rPr>
          <w:rStyle w:val="Artref"/>
          <w:bCs/>
          <w:color w:val="000000"/>
          <w:lang w:val="es-ES_tradnl"/>
        </w:rPr>
        <w:t>)</w:t>
      </w:r>
      <w:r w:rsidRPr="003667EC">
        <w:rPr>
          <w:color w:val="000000"/>
          <w:lang w:val="es-ES_tradnl"/>
        </w:rPr>
        <w:t xml:space="preserve"> que, en determinadas circunstancias, pueden llevar a la inscripción cuando no se ha efectuado satis</w:t>
      </w:r>
      <w:r w:rsidR="005164F3" w:rsidRPr="003667EC">
        <w:rPr>
          <w:color w:val="000000"/>
          <w:lang w:val="es-ES_tradnl"/>
        </w:rPr>
        <w:softHyphen/>
      </w:r>
      <w:r w:rsidRPr="003667EC">
        <w:rPr>
          <w:color w:val="000000"/>
          <w:lang w:val="es-ES_tradnl"/>
        </w:rPr>
        <w:t>factoriamente la coordinación.</w:t>
      </w:r>
    </w:p>
    <w:p w14:paraId="1788F16A" w14:textId="77777777" w:rsidR="00F17FBF" w:rsidRDefault="00F17FBF"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rFonts w:ascii="Times New Roman Bold" w:hAnsi="Times New Roman Bold" w:cs="Times New Roman Bold"/>
          <w:b/>
          <w:color w:val="000000"/>
          <w:spacing w:val="-6"/>
          <w:lang w:val="es-ES_tradnl"/>
        </w:rPr>
        <w:sectPr w:rsidR="00F17FBF" w:rsidSect="00007AA8">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14:paraId="61EC4C45" w14:textId="50563DAD" w:rsidR="00DB387B" w:rsidRPr="00A80144" w:rsidRDefault="00DB387B"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b/>
          <w:color w:val="000000"/>
          <w:lang w:val="es-ES_tradnl"/>
        </w:rPr>
      </w:pPr>
      <w:r w:rsidRPr="00514FDE">
        <w:rPr>
          <w:rFonts w:ascii="Times New Roman Bold" w:hAnsi="Times New Roman Bold" w:cs="Times New Roman Bold"/>
          <w:b/>
          <w:color w:val="000000"/>
          <w:spacing w:val="-6"/>
          <w:lang w:val="es-ES_tradnl"/>
        </w:rPr>
        <w:lastRenderedPageBreak/>
        <w:t xml:space="preserve">11.41 </w:t>
      </w:r>
      <w:r w:rsidRPr="00514FDE">
        <w:rPr>
          <w:rFonts w:ascii="Times New Roman Bold" w:hAnsi="Times New Roman Bold" w:cs="Times New Roman Bold"/>
          <w:b/>
          <w:spacing w:val="-6"/>
          <w:lang w:val="es-ES_tradnl"/>
        </w:rPr>
        <w:t xml:space="preserve">y </w:t>
      </w:r>
      <w:r w:rsidR="00514FDE">
        <w:rPr>
          <w:rFonts w:ascii="Times New Roman Bold" w:hAnsi="Times New Roman Bold" w:cs="Times New Roman Bold"/>
          <w:b/>
          <w:spacing w:val="-6"/>
          <w:lang w:val="es-ES_tradnl"/>
        </w:rPr>
        <w:t>1</w:t>
      </w:r>
      <w:r w:rsidRPr="00514FDE">
        <w:rPr>
          <w:rFonts w:ascii="Times New Roman Bold" w:hAnsi="Times New Roman Bold" w:cs="Times New Roman Bold"/>
          <w:b/>
          <w:spacing w:val="-6"/>
          <w:lang w:val="es-ES_tradnl"/>
        </w:rPr>
        <w:t>1.41.2</w:t>
      </w:r>
    </w:p>
    <w:p w14:paraId="4136E149" w14:textId="77777777" w:rsidR="00DB387B" w:rsidRPr="00A80144" w:rsidRDefault="00A80144" w:rsidP="00514FDE">
      <w:pPr>
        <w:spacing w:before="60" w:line="250" w:lineRule="exact"/>
        <w:rPr>
          <w:color w:val="000000"/>
          <w:lang w:val="es-ES_tradnl"/>
        </w:rPr>
      </w:pPr>
      <w:r w:rsidRPr="00A80144">
        <w:rPr>
          <w:lang w:val="es-ES_tradnl"/>
        </w:rPr>
        <w:t xml:space="preserve">Las disposiciones del número </w:t>
      </w:r>
      <w:r w:rsidRPr="00A80144">
        <w:rPr>
          <w:b/>
          <w:bCs/>
          <w:lang w:val="es-ES_tradnl"/>
        </w:rPr>
        <w:t>11.41.2</w:t>
      </w:r>
      <w:r w:rsidRPr="00A80144">
        <w:rPr>
          <w:lang w:val="es-ES_tradnl"/>
        </w:rPr>
        <w:t xml:space="preserve"> exigen que la administración notificante, al presentar notificaciones en aplicación del número </w:t>
      </w:r>
      <w:r w:rsidRPr="00A80144">
        <w:rPr>
          <w:b/>
          <w:bCs/>
          <w:lang w:val="es-ES_tradnl"/>
        </w:rPr>
        <w:t>11.41</w:t>
      </w:r>
      <w:r w:rsidRPr="00A80144">
        <w:rPr>
          <w:lang w:val="es-ES_tradnl"/>
        </w:rPr>
        <w:t xml:space="preserve"> indique a la Oficina que han sido infructuosos los esfuerzos realizados para efectuar la coordinación con las administraciones cuyas asignaciones hayan dado lugar a conclusiones desfavorables con arreglo al número </w:t>
      </w:r>
      <w:r w:rsidRPr="00A80144">
        <w:rPr>
          <w:b/>
          <w:bCs/>
          <w:lang w:val="es-ES_tradnl"/>
        </w:rPr>
        <w:t>11.38</w:t>
      </w:r>
      <w:r w:rsidRPr="00A80144">
        <w:rPr>
          <w:lang w:val="es-ES_tradnl"/>
        </w:rPr>
        <w:t xml:space="preserve">. En ausencia de tal indicación, una nueva presentación conforme al número </w:t>
      </w:r>
      <w:r w:rsidRPr="00A80144">
        <w:rPr>
          <w:b/>
          <w:bCs/>
          <w:lang w:val="es-ES_tradnl"/>
        </w:rPr>
        <w:t>11.41</w:t>
      </w:r>
      <w:r w:rsidRPr="00A80144">
        <w:rPr>
          <w:lang w:val="es-ES_tradnl"/>
        </w:rPr>
        <w:t xml:space="preserve"> tras la devolución de una notificación en virtud del número </w:t>
      </w:r>
      <w:r w:rsidRPr="00A80144">
        <w:rPr>
          <w:b/>
          <w:bCs/>
          <w:lang w:val="es-ES_tradnl"/>
        </w:rPr>
        <w:t>11.38</w:t>
      </w:r>
      <w:r w:rsidRPr="00A80144">
        <w:rPr>
          <w:lang w:val="es-ES_tradnl"/>
        </w:rPr>
        <w:t xml:space="preserve"> se considerará no admisible y se devolverá a la administración correspondiente.</w:t>
      </w:r>
    </w:p>
    <w:p w14:paraId="716D8EC6" w14:textId="77777777" w:rsidR="00A60C28" w:rsidRPr="003667EC" w:rsidRDefault="00A60C28" w:rsidP="00514FDE">
      <w:pPr>
        <w:pStyle w:val="Heading8"/>
        <w:spacing w:before="240" w:line="250" w:lineRule="exact"/>
        <w:rPr>
          <w:lang w:val="es-ES_tradnl"/>
        </w:rPr>
      </w:pPr>
      <w:r w:rsidRPr="003667EC">
        <w:rPr>
          <w:lang w:val="es-ES_tradnl"/>
        </w:rPr>
        <w:t>11.43A</w:t>
      </w:r>
    </w:p>
    <w:p w14:paraId="0BE763CA" w14:textId="044BF2EB" w:rsidR="00355CA5" w:rsidRPr="00355CA5" w:rsidRDefault="00355CA5" w:rsidP="00355CA5">
      <w:pPr>
        <w:rPr>
          <w:lang w:val="es-ES"/>
        </w:rPr>
      </w:pPr>
      <w:r w:rsidRPr="00355CA5">
        <w:rPr>
          <w:lang w:val="es-ES"/>
        </w:rPr>
        <w:t>1</w:t>
      </w:r>
      <w:r w:rsidRPr="00355CA5">
        <w:rPr>
          <w:lang w:val="es-ES"/>
        </w:rPr>
        <w:tab/>
        <w:t>La modificación de una red espacial puede efectuarse durante el proceso de coordinación; este caso queda contemplado en los comentarios de las Reglas de Procedimiento referentes a los números </w:t>
      </w:r>
      <w:r w:rsidRPr="00355CA5">
        <w:rPr>
          <w:b/>
          <w:lang w:val="es-ES"/>
        </w:rPr>
        <w:t>9.27</w:t>
      </w:r>
      <w:r w:rsidRPr="00355CA5">
        <w:rPr>
          <w:lang w:val="es-ES"/>
        </w:rPr>
        <w:t xml:space="preserve"> (§ 2), </w:t>
      </w:r>
      <w:r w:rsidRPr="00355CA5">
        <w:rPr>
          <w:b/>
          <w:lang w:val="es-ES"/>
        </w:rPr>
        <w:t>9.58</w:t>
      </w:r>
      <w:r w:rsidRPr="00355CA5">
        <w:rPr>
          <w:lang w:val="es-ES"/>
        </w:rPr>
        <w:t xml:space="preserve">, </w:t>
      </w:r>
      <w:r w:rsidRPr="00355CA5">
        <w:rPr>
          <w:b/>
          <w:lang w:val="es-ES"/>
        </w:rPr>
        <w:t>11.28</w:t>
      </w:r>
      <w:r w:rsidRPr="00355CA5">
        <w:rPr>
          <w:lang w:val="es-ES"/>
        </w:rPr>
        <w:t xml:space="preserve"> y </w:t>
      </w:r>
      <w:r w:rsidRPr="00355CA5">
        <w:rPr>
          <w:b/>
          <w:lang w:val="es-ES"/>
        </w:rPr>
        <w:t>11.32</w:t>
      </w:r>
      <w:r w:rsidRPr="00355CA5">
        <w:rPr>
          <w:lang w:val="es-ES"/>
        </w:rPr>
        <w:t>.</w:t>
      </w:r>
    </w:p>
    <w:p w14:paraId="46EBEDFC" w14:textId="77777777" w:rsidR="00355CA5" w:rsidRPr="00355CA5" w:rsidRDefault="00355CA5" w:rsidP="00355CA5">
      <w:pPr>
        <w:rPr>
          <w:lang w:val="es-ES"/>
        </w:rPr>
      </w:pPr>
      <w:r w:rsidRPr="00355CA5">
        <w:rPr>
          <w:lang w:val="es-ES"/>
        </w:rPr>
        <w:t>2</w:t>
      </w:r>
      <w:r w:rsidRPr="00355CA5">
        <w:rPr>
          <w:lang w:val="es-ES"/>
        </w:rPr>
        <w:tab/>
        <w:t>Si la modificación se refiere a la notificación de la asignación o asignaciones en las bandas de frecuencias no utilizadas por otras asignaciones ya inscritas en el Registro, el número </w:t>
      </w:r>
      <w:r w:rsidRPr="00355CA5">
        <w:rPr>
          <w:b/>
          <w:bCs/>
          <w:lang w:val="es-ES"/>
        </w:rPr>
        <w:t>11.43A</w:t>
      </w:r>
      <w:r w:rsidRPr="00355CA5">
        <w:rPr>
          <w:lang w:val="es-ES"/>
        </w:rPr>
        <w:t xml:space="preserve"> no se aplica y la tramitación se efectuará con arreglo a los números </w:t>
      </w:r>
      <w:r w:rsidRPr="00355CA5">
        <w:rPr>
          <w:b/>
          <w:bCs/>
          <w:lang w:val="es-ES"/>
        </w:rPr>
        <w:t>11.2</w:t>
      </w:r>
      <w:r w:rsidRPr="00355CA5">
        <w:rPr>
          <w:lang w:val="es-ES"/>
        </w:rPr>
        <w:t xml:space="preserve"> u </w:t>
      </w:r>
      <w:r w:rsidRPr="00355CA5">
        <w:rPr>
          <w:b/>
          <w:bCs/>
          <w:lang w:val="es-ES"/>
        </w:rPr>
        <w:t>11.9</w:t>
      </w:r>
      <w:r w:rsidRPr="00355CA5">
        <w:rPr>
          <w:lang w:val="es-ES"/>
        </w:rPr>
        <w:t>, según el caso.</w:t>
      </w:r>
    </w:p>
    <w:p w14:paraId="219028D7" w14:textId="530CA529" w:rsidR="00355CA5" w:rsidRDefault="00355CA5" w:rsidP="00355CA5">
      <w:pPr>
        <w:rPr>
          <w:lang w:val="es-ES"/>
        </w:rPr>
      </w:pPr>
      <w:r w:rsidRPr="00355CA5">
        <w:rPr>
          <w:lang w:val="es-ES"/>
        </w:rPr>
        <w:t>El objetivo del examen según lo dispuesto en el número </w:t>
      </w:r>
      <w:r w:rsidRPr="00355CA5">
        <w:rPr>
          <w:b/>
          <w:bCs/>
          <w:lang w:val="es-ES"/>
        </w:rPr>
        <w:t>11.43A</w:t>
      </w:r>
      <w:r w:rsidRPr="00355CA5">
        <w:rPr>
          <w:lang w:val="es-ES"/>
        </w:rPr>
        <w:t xml:space="preserve"> es determinar si los requisitos de coordinación permanecen invariables o, llegado el caso, si la probabilidad de interferencia perjudicial no aumenta (véanse también las Reglas de Procedimiento correspondientes a los números </w:t>
      </w:r>
      <w:r w:rsidRPr="00355CA5">
        <w:rPr>
          <w:b/>
          <w:bCs/>
          <w:lang w:val="es-ES"/>
        </w:rPr>
        <w:t>11.28</w:t>
      </w:r>
      <w:r w:rsidRPr="00355CA5">
        <w:rPr>
          <w:lang w:val="es-ES"/>
        </w:rPr>
        <w:t xml:space="preserve"> y </w:t>
      </w:r>
      <w:r w:rsidRPr="00355CA5">
        <w:rPr>
          <w:b/>
          <w:bCs/>
          <w:lang w:val="es-ES"/>
        </w:rPr>
        <w:t>11.32</w:t>
      </w:r>
      <w:r w:rsidRPr="00355CA5">
        <w:rPr>
          <w:lang w:val="es-ES"/>
        </w:rPr>
        <w:t>). En estos casos, se aplican las disposiciones del número </w:t>
      </w:r>
      <w:r w:rsidRPr="00355CA5">
        <w:rPr>
          <w:b/>
          <w:bCs/>
          <w:lang w:val="es-ES"/>
        </w:rPr>
        <w:t>11.43B</w:t>
      </w:r>
      <w:r w:rsidRPr="00355CA5">
        <w:rPr>
          <w:lang w:val="es-ES"/>
        </w:rPr>
        <w:t xml:space="preserve"> cuyo efecto es mantener sin cambios el estatuto (Conclusiones) y la fecha de protección de la asignación. Si debido a las modificaciones se identifican nuevos requisitos de coordinación, al comparar el nivel de interferencia (como </w:t>
      </w:r>
      <w:r w:rsidRPr="00A805B4">
        <w:t>Δ</w:t>
      </w:r>
      <w:r w:rsidRPr="00355CA5">
        <w:rPr>
          <w:lang w:val="es-ES"/>
        </w:rPr>
        <w:t>T/T) (véanse también § 2.3 y 2.4 de las Reglas de Procedimiento relativas al número </w:t>
      </w:r>
      <w:r w:rsidRPr="00355CA5">
        <w:rPr>
          <w:b/>
          <w:bCs/>
          <w:lang w:val="es-ES"/>
        </w:rPr>
        <w:t>9.27</w:t>
      </w:r>
      <w:r w:rsidRPr="00355CA5">
        <w:rPr>
          <w:lang w:val="es-ES"/>
        </w:rPr>
        <w:t>) que resulte de la consideración de las características iniciales y de las características modificadas, se otorgará una conclusión desfavorable y se devolverá la notificación a la administración notificante. Esta administración debería solicitar la aplicación de la Sección II del Artículo </w:t>
      </w:r>
      <w:r w:rsidRPr="00355CA5">
        <w:rPr>
          <w:b/>
          <w:bCs/>
          <w:lang w:val="es-ES"/>
        </w:rPr>
        <w:t>9</w:t>
      </w:r>
      <w:r w:rsidRPr="00355CA5">
        <w:rPr>
          <w:lang w:val="es-ES"/>
        </w:rPr>
        <w:t>. Las conclusiones respecto al número </w:t>
      </w:r>
      <w:r w:rsidRPr="00355CA5">
        <w:rPr>
          <w:b/>
          <w:bCs/>
          <w:lang w:val="es-ES"/>
        </w:rPr>
        <w:t>11.32</w:t>
      </w:r>
      <w:r w:rsidRPr="00355CA5">
        <w:rPr>
          <w:lang w:val="es-ES"/>
        </w:rPr>
        <w:t xml:space="preserve"> se determinan sobre la base de los Acuerdos de coordinación alcanzados para satisfacer los nuevos requisitos de coordinación. En el caso en que sean aplicables las disposiciones de los números </w:t>
      </w:r>
      <w:r w:rsidRPr="00355CA5">
        <w:rPr>
          <w:b/>
          <w:bCs/>
          <w:lang w:val="es-ES"/>
        </w:rPr>
        <w:t>11.32A</w:t>
      </w:r>
      <w:r w:rsidRPr="00355CA5">
        <w:rPr>
          <w:lang w:val="es-ES"/>
        </w:rPr>
        <w:t xml:space="preserve"> y </w:t>
      </w:r>
      <w:r w:rsidRPr="00355CA5">
        <w:rPr>
          <w:b/>
          <w:bCs/>
          <w:lang w:val="es-ES"/>
        </w:rPr>
        <w:t>11.33</w:t>
      </w:r>
      <w:r w:rsidRPr="00355CA5">
        <w:rPr>
          <w:lang w:val="es-ES"/>
        </w:rPr>
        <w:t xml:space="preserve"> y los exámenes muestren un aumento de la probabilidad de interferencia perjudicial comparada con la que resultaba de los exámenes iniciales, se otorgará una conclusión desfavorable y se devolverá la notificación de acuerdo con la disposición número </w:t>
      </w:r>
      <w:r w:rsidRPr="00355CA5">
        <w:rPr>
          <w:b/>
          <w:bCs/>
          <w:lang w:val="es-ES"/>
        </w:rPr>
        <w:t>11.38</w:t>
      </w:r>
      <w:r w:rsidRPr="00355CA5">
        <w:rPr>
          <w:lang w:val="es-ES"/>
        </w:rPr>
        <w:t xml:space="preserve">. </w:t>
      </w:r>
      <w:r w:rsidRPr="00A805B4">
        <w:rPr>
          <w:lang w:val="es-ES"/>
        </w:rPr>
        <w:t xml:space="preserve">Véanse las Reglas de Procedimiento correspondientes al </w:t>
      </w:r>
      <w:r>
        <w:rPr>
          <w:lang w:val="es-ES"/>
        </w:rPr>
        <w:t>número </w:t>
      </w:r>
      <w:r w:rsidRPr="00A805B4">
        <w:rPr>
          <w:b/>
          <w:lang w:val="es-ES"/>
        </w:rPr>
        <w:t>11.43B</w:t>
      </w:r>
      <w:r w:rsidRPr="00A805B4">
        <w:rPr>
          <w:lang w:val="es-ES"/>
        </w:rPr>
        <w:t>.</w:t>
      </w:r>
    </w:p>
    <w:p w14:paraId="5573D9B2" w14:textId="77777777" w:rsidR="00355CA5" w:rsidRPr="00AE5F97" w:rsidRDefault="00355CA5" w:rsidP="00355CA5">
      <w:pPr>
        <w:rPr>
          <w:rFonts w:asciiTheme="majorBidi" w:hAnsiTheme="majorBidi" w:cstheme="majorBidi"/>
          <w:lang w:val="es-ES"/>
        </w:rPr>
      </w:pPr>
    </w:p>
    <w:p w14:paraId="748CC4F2" w14:textId="77777777" w:rsidR="00355CA5" w:rsidRDefault="00355CA5" w:rsidP="006D45DA">
      <w:pPr>
        <w:spacing w:before="60" w:line="250" w:lineRule="exact"/>
        <w:rPr>
          <w:color w:val="000000"/>
          <w:lang w:val="es-ES_tradnl"/>
        </w:rPr>
        <w:sectPr w:rsidR="00355CA5" w:rsidSect="00007AA8">
          <w:headerReference w:type="even" r:id="rId22"/>
          <w:headerReference w:type="default" r:id="rId23"/>
          <w:footnotePr>
            <w:pos w:val="beneathText"/>
          </w:footnotePr>
          <w:pgSz w:w="11907" w:h="16840" w:code="9"/>
          <w:pgMar w:top="1701" w:right="851" w:bottom="1134" w:left="1985" w:header="720" w:footer="482" w:gutter="0"/>
          <w:cols w:space="720"/>
          <w:vAlign w:val="both"/>
        </w:sectPr>
      </w:pPr>
    </w:p>
    <w:p w14:paraId="2E8A051E" w14:textId="490ED473" w:rsidR="00A60C28" w:rsidRPr="005A408A" w:rsidRDefault="00A60C28" w:rsidP="006D45DA">
      <w:pPr>
        <w:spacing w:before="60" w:line="250" w:lineRule="exact"/>
        <w:rPr>
          <w:color w:val="000000"/>
          <w:lang w:val="es-ES_tradnl"/>
        </w:rPr>
      </w:pPr>
      <w:r w:rsidRPr="003667EC">
        <w:rPr>
          <w:color w:val="000000"/>
          <w:lang w:val="es-ES_tradnl"/>
        </w:rPr>
        <w:lastRenderedPageBreak/>
        <w:t>3</w:t>
      </w:r>
      <w:r w:rsidRPr="003667EC">
        <w:rPr>
          <w:color w:val="000000"/>
          <w:lang w:val="es-ES_tradnl"/>
        </w:rPr>
        <w:tab/>
      </w:r>
      <w:r w:rsidR="005A408A" w:rsidRPr="005A408A">
        <w:rPr>
          <w:lang w:val="es-ES_tradnl"/>
        </w:rPr>
        <w:t xml:space="preserve">La referencia en los números </w:t>
      </w:r>
      <w:r w:rsidR="005A408A" w:rsidRPr="005A408A">
        <w:rPr>
          <w:rStyle w:val="Artref"/>
          <w:b/>
          <w:bCs/>
          <w:color w:val="000000"/>
          <w:lang w:val="es-ES_tradnl"/>
        </w:rPr>
        <w:t>11.44, 11.44.1, 11.47</w:t>
      </w:r>
      <w:r w:rsidR="005A408A" w:rsidRPr="005A408A">
        <w:rPr>
          <w:lang w:val="es-ES_tradnl"/>
        </w:rPr>
        <w:t xml:space="preserve"> y </w:t>
      </w:r>
      <w:r w:rsidR="005A408A" w:rsidRPr="005A408A">
        <w:rPr>
          <w:b/>
          <w:bCs/>
          <w:lang w:val="es-ES_tradnl"/>
        </w:rPr>
        <w:t xml:space="preserve">11.48 </w:t>
      </w:r>
      <w:r w:rsidR="005A408A" w:rsidRPr="005A408A">
        <w:rPr>
          <w:lang w:val="es-ES_tradnl"/>
        </w:rPr>
        <w:t>al periodo reglamentario de siete años debería considerarse como cinco años a partir de la fecha de recepción por la Oficina de la notificación de modificación mencionada en el número </w:t>
      </w:r>
      <w:r w:rsidR="005A408A" w:rsidRPr="005A408A">
        <w:rPr>
          <w:rStyle w:val="Artref"/>
          <w:b/>
          <w:bCs/>
          <w:color w:val="000000"/>
          <w:lang w:val="es-ES_tradnl"/>
        </w:rPr>
        <w:t>11.43A</w:t>
      </w:r>
      <w:r w:rsidR="005A408A" w:rsidRPr="005A408A">
        <w:rPr>
          <w:lang w:val="es-ES_tradnl"/>
        </w:rPr>
        <w:t xml:space="preserve">. (Véanse asimismo los comentarios formulados en las Reglas de Procedimiento relacionadas con el </w:t>
      </w:r>
      <w:r w:rsidR="005A408A" w:rsidRPr="005A408A">
        <w:rPr>
          <w:rStyle w:val="Artref"/>
          <w:bCs/>
          <w:color w:val="000000"/>
          <w:lang w:val="es-ES_tradnl"/>
        </w:rPr>
        <w:t>número</w:t>
      </w:r>
      <w:r w:rsidR="005A408A" w:rsidRPr="005A408A">
        <w:rPr>
          <w:rStyle w:val="Artref"/>
          <w:b/>
          <w:color w:val="000000"/>
          <w:lang w:val="es-ES_tradnl"/>
        </w:rPr>
        <w:t xml:space="preserve"> 11.44B</w:t>
      </w:r>
      <w:r w:rsidR="005A408A" w:rsidRPr="005A408A">
        <w:rPr>
          <w:rStyle w:val="Artref"/>
          <w:bCs/>
          <w:color w:val="000000"/>
          <w:lang w:val="es-ES_tradnl"/>
        </w:rPr>
        <w:t>)</w:t>
      </w:r>
      <w:r w:rsidR="00290328">
        <w:rPr>
          <w:rStyle w:val="Artref"/>
          <w:color w:val="000000"/>
          <w:sz w:val="22"/>
          <w:szCs w:val="22"/>
          <w:lang w:val="es-ES_tradnl"/>
        </w:rPr>
        <w:t>.</w:t>
      </w:r>
    </w:p>
    <w:p w14:paraId="7FF326E3" w14:textId="48F90C43" w:rsidR="00A60C28" w:rsidRDefault="00A60C28" w:rsidP="00415905">
      <w:pPr>
        <w:spacing w:before="80" w:line="250" w:lineRule="exact"/>
        <w:rPr>
          <w:rStyle w:val="Artref"/>
          <w:color w:val="000000"/>
          <w:sz w:val="16"/>
          <w:szCs w:val="16"/>
          <w:lang w:val="es-ES_tradnl"/>
        </w:rPr>
      </w:pPr>
      <w:r w:rsidRPr="003667EC">
        <w:rPr>
          <w:color w:val="000000"/>
          <w:lang w:val="es-ES_tradnl"/>
        </w:rPr>
        <w:t>4</w:t>
      </w:r>
      <w:r w:rsidRPr="003667EC">
        <w:rPr>
          <w:b/>
          <w:color w:val="000000"/>
          <w:lang w:val="es-ES_tradnl"/>
        </w:rPr>
        <w:tab/>
      </w:r>
      <w:r w:rsidR="00C30B0F" w:rsidRPr="003667EC">
        <w:rPr>
          <w:color w:val="000000"/>
          <w:lang w:val="es-ES_tradnl"/>
        </w:rPr>
        <w:t>La modificación de una estación terrena que consiste en cambiar la estación espa</w:t>
      </w:r>
      <w:r w:rsidR="00C30B0F" w:rsidRPr="003667EC">
        <w:rPr>
          <w:color w:val="000000"/>
          <w:lang w:val="es-ES_tradnl"/>
        </w:rPr>
        <w:softHyphen/>
        <w:t>cial asociada o el haz asociado, según el número </w:t>
      </w:r>
      <w:r w:rsidR="00C30B0F" w:rsidRPr="003667EC">
        <w:rPr>
          <w:rStyle w:val="Artref"/>
          <w:b/>
          <w:color w:val="000000"/>
          <w:lang w:val="es-ES_tradnl"/>
        </w:rPr>
        <w:t>11.32</w:t>
      </w:r>
      <w:r w:rsidR="00C30B0F" w:rsidRPr="003667EC">
        <w:rPr>
          <w:color w:val="000000"/>
          <w:lang w:val="es-ES_tradnl"/>
        </w:rPr>
        <w:t>, queda comprendida en los comen</w:t>
      </w:r>
      <w:r w:rsidR="00C30B0F" w:rsidRPr="003667EC">
        <w:rPr>
          <w:color w:val="000000"/>
          <w:lang w:val="es-ES_tradnl"/>
        </w:rPr>
        <w:softHyphen/>
        <w:t>tarios de las Reglas de Procedimiento correspondientes al número </w:t>
      </w:r>
      <w:r w:rsidR="00C30B0F" w:rsidRPr="003667EC">
        <w:rPr>
          <w:rStyle w:val="Artref"/>
          <w:b/>
          <w:color w:val="000000"/>
          <w:lang w:val="es-ES_tradnl"/>
        </w:rPr>
        <w:t>11.32</w:t>
      </w:r>
      <w:r w:rsidR="00C30B0F" w:rsidRPr="003667EC">
        <w:rPr>
          <w:color w:val="000000"/>
          <w:lang w:val="es-ES_tradnl"/>
        </w:rPr>
        <w:t>, § 2.2.2 y 2.2.3.</w:t>
      </w:r>
    </w:p>
    <w:p w14:paraId="2E27CE3F" w14:textId="6CA38998" w:rsidR="00C30B0F" w:rsidRPr="003667EC" w:rsidRDefault="00C30B0F" w:rsidP="00415905">
      <w:pPr>
        <w:spacing w:before="80" w:line="250" w:lineRule="exact"/>
        <w:rPr>
          <w:color w:val="000000"/>
          <w:lang w:val="es-ES_tradnl"/>
        </w:rPr>
      </w:pPr>
      <w:r>
        <w:rPr>
          <w:color w:val="000000"/>
          <w:lang w:val="es-ES_tradnl"/>
        </w:rPr>
        <w:t>5</w:t>
      </w:r>
      <w:r>
        <w:rPr>
          <w:color w:val="000000"/>
          <w:lang w:val="es-ES_tradnl"/>
        </w:rPr>
        <w:tab/>
      </w:r>
      <w:r w:rsidRPr="003667EC">
        <w:rPr>
          <w:color w:val="000000"/>
          <w:lang w:val="es-ES_tradnl"/>
        </w:rPr>
        <w:t xml:space="preserve">Cuando se examina la modificación de una asignación de frecuencia a una estación terrena con respecto a lo establecido en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se calcula la distancia de coordinación en cada azimut y sólo es necesaria la coordinación de acuerdo con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con aquellos países en cuyo territorio aumenta la distancia de coordinación debido a la modificación (véanse los comentarios de las Reglas de Proce</w:t>
      </w:r>
      <w:r w:rsidRPr="003667EC">
        <w:rPr>
          <w:color w:val="000000"/>
          <w:lang w:val="es-ES_tradnl"/>
        </w:rPr>
        <w:softHyphen/>
        <w:t>dimiento referentes al número</w:t>
      </w:r>
      <w:r w:rsidRPr="003667EC">
        <w:rPr>
          <w:lang w:val="es-ES_tradnl"/>
        </w:rPr>
        <w:t> </w:t>
      </w:r>
      <w:r w:rsidRPr="003667EC">
        <w:rPr>
          <w:rStyle w:val="Artref"/>
          <w:b/>
          <w:color w:val="000000"/>
          <w:lang w:val="es-ES_tradnl"/>
        </w:rPr>
        <w:t xml:space="preserve">9.27 </w:t>
      </w:r>
      <w:r w:rsidRPr="003667EC">
        <w:rPr>
          <w:color w:val="000000"/>
          <w:lang w:val="es-ES_tradnl"/>
        </w:rPr>
        <w:t>(§ 3.1 y 3.2)).</w:t>
      </w:r>
    </w:p>
    <w:p w14:paraId="4820236C" w14:textId="77777777" w:rsidR="00A60C28" w:rsidRDefault="00C30B0F" w:rsidP="00415905">
      <w:pPr>
        <w:spacing w:before="80" w:line="250" w:lineRule="exact"/>
        <w:rPr>
          <w:color w:val="000000"/>
          <w:lang w:val="es-ES_tradnl"/>
        </w:rPr>
      </w:pPr>
      <w:r>
        <w:rPr>
          <w:color w:val="000000"/>
          <w:lang w:val="es-ES_tradnl"/>
        </w:rPr>
        <w:t>6</w:t>
      </w:r>
      <w:r w:rsidR="00A60C28" w:rsidRPr="003667EC">
        <w:rPr>
          <w:color w:val="000000"/>
          <w:lang w:val="es-ES_tradnl"/>
        </w:rPr>
        <w:tab/>
        <w:t>Cuando se examina la modificación de una asignación de frecuencia en aplicación del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la densidad de flujo de potencia de la estación transmisora (estación terrenal o estación terrena del SFS) con características modificadas se calcula en el borde de la zona de servicio del SRS y la coordinación con arreglo al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xml:space="preserve"> es necesaria únicamente con aquellos países donde aumenta el límite de densidad de flujo de potencia en el borde de la zona de servicio del SRS como resultado de la modificación de las características de la estación transmisora y toma un valor superior al nivel admisible (véanse los comentarios sobre las Reglas de Procedimiento relativas al número </w:t>
      </w:r>
      <w:r w:rsidR="00A60C28" w:rsidRPr="003667EC">
        <w:rPr>
          <w:rStyle w:val="Artref"/>
          <w:b/>
          <w:color w:val="000000"/>
          <w:lang w:val="es-ES_tradnl"/>
        </w:rPr>
        <w:t>9.27</w:t>
      </w:r>
      <w:r w:rsidR="00A60C28" w:rsidRPr="003667EC">
        <w:rPr>
          <w:color w:val="000000"/>
          <w:lang w:val="es-ES_tradnl"/>
        </w:rPr>
        <w:t xml:space="preserve"> (§ 3.1 y 3.2)).</w:t>
      </w:r>
    </w:p>
    <w:p w14:paraId="2AAB2F4D" w14:textId="5A2A75CE" w:rsidR="00415905" w:rsidRPr="00415905" w:rsidRDefault="00415905" w:rsidP="00415905">
      <w:pPr>
        <w:spacing w:before="80"/>
        <w:rPr>
          <w:lang w:val="es-ES"/>
        </w:rPr>
      </w:pPr>
      <w:r w:rsidRPr="00415905">
        <w:rPr>
          <w:lang w:val="es-ES"/>
        </w:rPr>
        <w:t>7</w:t>
      </w:r>
      <w:r w:rsidRPr="00415905">
        <w:rPr>
          <w:lang w:val="es-ES"/>
        </w:rPr>
        <w:tab/>
        <w:t>Para las redes o sistemas de satélites no sujetos a la Sección II del Artículo </w:t>
      </w:r>
      <w:r w:rsidRPr="00415905">
        <w:rPr>
          <w:b/>
          <w:bCs/>
          <w:lang w:val="es-ES"/>
        </w:rPr>
        <w:t>9</w:t>
      </w:r>
      <w:r w:rsidRPr="00415905">
        <w:rPr>
          <w:lang w:val="es-ES"/>
        </w:rPr>
        <w:t>, véanse también las Reglas de Procedimiento relativas al número </w:t>
      </w:r>
      <w:r w:rsidRPr="00415905">
        <w:rPr>
          <w:b/>
          <w:bCs/>
          <w:lang w:val="es-ES"/>
        </w:rPr>
        <w:t>11.28.1</w:t>
      </w:r>
      <w:r w:rsidRPr="00415905">
        <w:rPr>
          <w:lang w:val="es-ES"/>
        </w:rPr>
        <w:t>.</w:t>
      </w:r>
      <w:r w:rsidRPr="00415905">
        <w:rPr>
          <w:sz w:val="16"/>
          <w:szCs w:val="16"/>
        </w:rPr>
        <w:t>     (ADD RRB26/532)</w:t>
      </w:r>
    </w:p>
    <w:p w14:paraId="13FBCC97" w14:textId="77777777" w:rsidR="00A60C28" w:rsidRPr="003667EC" w:rsidRDefault="00A60C28" w:rsidP="004270DD">
      <w:pPr>
        <w:pStyle w:val="Heading8"/>
        <w:pBdr>
          <w:top w:val="double" w:sz="4" w:space="1" w:color="auto"/>
          <w:left w:val="double" w:sz="4" w:space="4" w:color="auto"/>
          <w:bottom w:val="double" w:sz="4" w:space="1" w:color="auto"/>
          <w:right w:val="double" w:sz="4" w:space="4" w:color="auto"/>
        </w:pBdr>
        <w:spacing w:line="250" w:lineRule="exact"/>
        <w:rPr>
          <w:color w:val="000000"/>
          <w:lang w:val="es-ES_tradnl"/>
        </w:rPr>
      </w:pPr>
      <w:r w:rsidRPr="003667EC">
        <w:rPr>
          <w:color w:val="000000"/>
          <w:lang w:val="es-ES_tradnl"/>
        </w:rPr>
        <w:t>11.43B</w:t>
      </w:r>
    </w:p>
    <w:p w14:paraId="3DE474FA" w14:textId="77777777" w:rsidR="00A60C28" w:rsidRPr="003667EC" w:rsidRDefault="00A60C28" w:rsidP="004C6036">
      <w:pPr>
        <w:spacing w:line="250" w:lineRule="exact"/>
        <w:rPr>
          <w:color w:val="000000"/>
          <w:lang w:val="es-ES_tradnl"/>
        </w:rPr>
      </w:pPr>
      <w:r w:rsidRPr="003667EC">
        <w:rPr>
          <w:color w:val="000000"/>
          <w:lang w:val="es-ES_tradnl"/>
        </w:rPr>
        <w:t>1</w:t>
      </w:r>
      <w:r w:rsidRPr="003667EC">
        <w:rPr>
          <w:color w:val="000000"/>
          <w:lang w:val="es-ES_tradnl"/>
        </w:rPr>
        <w:tab/>
        <w:t>En esta disposición se especifica que un cambio de las características básicas se examinará cuando sea apropiado con respecto a lo establecido en los números </w:t>
      </w:r>
      <w:r w:rsidRPr="003667EC">
        <w:rPr>
          <w:rStyle w:val="Artref"/>
          <w:b/>
          <w:color w:val="000000"/>
          <w:lang w:val="es-ES_tradnl"/>
        </w:rPr>
        <w:t>11.32</w:t>
      </w:r>
      <w:r w:rsidRPr="003667EC">
        <w:rPr>
          <w:color w:val="000000"/>
          <w:lang w:val="es-ES_tradnl"/>
        </w:rPr>
        <w:t xml:space="preserve"> a </w:t>
      </w:r>
      <w:r w:rsidRPr="003667EC">
        <w:rPr>
          <w:rStyle w:val="Artref"/>
          <w:b/>
          <w:color w:val="000000"/>
          <w:lang w:val="es-ES_tradnl"/>
        </w:rPr>
        <w:t xml:space="preserve">11.34 </w:t>
      </w:r>
      <w:r w:rsidRPr="003667EC">
        <w:rPr>
          <w:color w:val="000000"/>
          <w:lang w:val="es-ES_tradnl"/>
        </w:rPr>
        <w:t>según corresponda.</w:t>
      </w:r>
    </w:p>
    <w:p w14:paraId="00687689" w14:textId="6450E529" w:rsidR="00A60C28" w:rsidRPr="002611BA" w:rsidRDefault="00A60C28" w:rsidP="004C6036">
      <w:pPr>
        <w:spacing w:line="250" w:lineRule="exact"/>
        <w:rPr>
          <w:lang w:val="es-ES"/>
        </w:rPr>
      </w:pPr>
      <w:r w:rsidRPr="003667EC">
        <w:rPr>
          <w:color w:val="000000"/>
          <w:lang w:val="es-ES_tradnl"/>
        </w:rPr>
        <w:t>1.1</w:t>
      </w:r>
      <w:r w:rsidRPr="003667EC">
        <w:rPr>
          <w:color w:val="000000"/>
          <w:lang w:val="es-ES_tradnl"/>
        </w:rPr>
        <w:tab/>
        <w:t>En el caso del examen de las redes espaciales previsto en los números</w:t>
      </w:r>
      <w:r w:rsidR="003667E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u </w:t>
      </w:r>
      <w:r w:rsidRPr="003667EC">
        <w:rPr>
          <w:rStyle w:val="Artref"/>
          <w:b/>
          <w:color w:val="000000"/>
          <w:lang w:val="es-ES_tradnl"/>
        </w:rPr>
        <w:t>11.32A</w:t>
      </w:r>
      <w:r w:rsidRPr="003667EC">
        <w:rPr>
          <w:color w:val="000000"/>
          <w:lang w:val="es-ES_tradnl"/>
        </w:rPr>
        <w:t xml:space="preserve">, los comentarios que figuran </w:t>
      </w:r>
      <w:r w:rsidR="00437321">
        <w:rPr>
          <w:color w:val="000000"/>
          <w:lang w:val="es-ES_tradnl"/>
        </w:rPr>
        <w:t xml:space="preserve">en </w:t>
      </w:r>
      <w:r w:rsidR="00437321" w:rsidRPr="00437321">
        <w:rPr>
          <w:lang w:val="es-ES"/>
        </w:rPr>
        <w:t xml:space="preserve">la Regla de Procedimiento relativa al </w:t>
      </w:r>
      <w:r w:rsidRPr="003667EC">
        <w:rPr>
          <w:color w:val="000000"/>
          <w:lang w:val="es-ES_tradnl"/>
        </w:rPr>
        <w:t>número </w:t>
      </w:r>
      <w:r w:rsidRPr="003667EC">
        <w:rPr>
          <w:rStyle w:val="Artref"/>
          <w:b/>
          <w:color w:val="000000"/>
          <w:lang w:val="es-ES_tradnl"/>
        </w:rPr>
        <w:t>11.43A</w:t>
      </w:r>
      <w:r w:rsidRPr="003667EC">
        <w:rPr>
          <w:color w:val="000000"/>
          <w:lang w:val="es-ES_tradnl"/>
        </w:rPr>
        <w:t xml:space="preserve"> indican los casos que no se consi</w:t>
      </w:r>
      <w:r w:rsidRPr="003667EC">
        <w:rPr>
          <w:color w:val="000000"/>
          <w:lang w:val="es-ES_tradnl"/>
        </w:rPr>
        <w:softHyphen/>
        <w:t>deran modificaciones sino primeras modificaciones (con una nueva fecha de recepción). Esos exámenes se deberían efectuar comprobando la aplicación de los § 6 </w:t>
      </w:r>
      <w:r w:rsidRPr="003667EC">
        <w:rPr>
          <w:i/>
          <w:color w:val="000000"/>
          <w:lang w:val="es-ES_tradnl"/>
        </w:rPr>
        <w:t>a)</w:t>
      </w:r>
      <w:r w:rsidRPr="003667EC">
        <w:rPr>
          <w:color w:val="000000"/>
          <w:lang w:val="es-ES_tradnl"/>
        </w:rPr>
        <w:t xml:space="preserve"> a 6 </w:t>
      </w:r>
      <w:r w:rsidRPr="003667EC">
        <w:rPr>
          <w:i/>
          <w:color w:val="000000"/>
          <w:lang w:val="es-ES_tradnl"/>
        </w:rPr>
        <w:t>c)</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w:t>
      </w:r>
      <w:r w:rsidR="00437321" w:rsidRPr="00437321">
        <w:rPr>
          <w:lang w:val="es-ES"/>
        </w:rPr>
        <w:t>(véanse asimismo los § 2.3 y 2.4 c) de la Regla de Procedimiento relativa al número </w:t>
      </w:r>
      <w:r w:rsidR="00437321" w:rsidRPr="00437321">
        <w:rPr>
          <w:rStyle w:val="Artref"/>
          <w:b/>
          <w:bCs/>
          <w:color w:val="auto"/>
          <w:lang w:val="es-ES"/>
        </w:rPr>
        <w:t>9.27</w:t>
      </w:r>
      <w:r w:rsidR="00437321" w:rsidRPr="00437321">
        <w:rPr>
          <w:rStyle w:val="Appref"/>
          <w:color w:val="000000"/>
          <w:szCs w:val="24"/>
          <w:lang w:val="es-ES"/>
        </w:rPr>
        <w:t>)</w:t>
      </w:r>
      <w:r w:rsidR="00437321">
        <w:rPr>
          <w:rStyle w:val="Appref"/>
          <w:color w:val="000000"/>
          <w:szCs w:val="24"/>
          <w:lang w:val="es-ES"/>
        </w:rPr>
        <w:t xml:space="preserve">. </w:t>
      </w:r>
      <w:r w:rsidRPr="003667EC">
        <w:rPr>
          <w:color w:val="000000"/>
          <w:lang w:val="es-ES_tradnl"/>
        </w:rPr>
        <w:t>En los casos en los que no hay método de cálculo y/o criterio para comprobar la aplicación de esas disposiciones, la Oficina tratará esas modificaciones como nuevas notificaciones de asignación. No obstante, el número </w:t>
      </w:r>
      <w:r w:rsidRPr="003667EC">
        <w:rPr>
          <w:rStyle w:val="Artref"/>
          <w:b/>
          <w:color w:val="000000"/>
          <w:lang w:val="es-ES_tradnl"/>
        </w:rPr>
        <w:t>11.43B</w:t>
      </w:r>
      <w:r w:rsidRPr="003667EC">
        <w:rPr>
          <w:color w:val="000000"/>
          <w:lang w:val="es-ES_tradnl"/>
        </w:rPr>
        <w:t xml:space="preserve"> se refiere a un aumento de la probabilidad de interferencia perjudicial. Esta probabilidad de interferencia perjudicial (</w:t>
      </w:r>
      <w:r w:rsidRPr="003667EC">
        <w:rPr>
          <w:i/>
          <w:color w:val="000000"/>
          <w:lang w:val="es-ES_tradnl"/>
        </w:rPr>
        <w:t>C</w:t>
      </w:r>
      <w:r w:rsidRPr="003667EC">
        <w:rPr>
          <w:color w:val="000000"/>
          <w:lang w:val="es-ES_tradnl"/>
        </w:rPr>
        <w:t>/</w:t>
      </w:r>
      <w:r w:rsidRPr="003667EC">
        <w:rPr>
          <w:i/>
          <w:color w:val="000000"/>
          <w:lang w:val="es-ES_tradnl"/>
        </w:rPr>
        <w:t>I</w:t>
      </w:r>
      <w:r w:rsidRPr="003667EC">
        <w:rPr>
          <w:rFonts w:ascii="Tms Rmn" w:hAnsi="Tms Rmn"/>
          <w:iCs/>
          <w:color w:val="000000"/>
          <w:sz w:val="12"/>
          <w:lang w:val="es-ES_tradnl"/>
        </w:rPr>
        <w:t> </w:t>
      </w:r>
      <w:r w:rsidRPr="003667EC">
        <w:rPr>
          <w:color w:val="000000"/>
          <w:lang w:val="es-ES_tradnl"/>
        </w:rPr>
        <w:t>) se calcula sólo en el examen previsto en los números </w:t>
      </w:r>
      <w:r w:rsidRPr="003667EC">
        <w:rPr>
          <w:rStyle w:val="Artref"/>
          <w:b/>
          <w:color w:val="000000"/>
          <w:lang w:val="es-ES_tradnl"/>
        </w:rPr>
        <w:t>11.32A</w:t>
      </w:r>
      <w:r w:rsidRPr="003667EC">
        <w:rPr>
          <w:color w:val="000000"/>
          <w:lang w:val="es-ES_tradnl"/>
        </w:rPr>
        <w:t xml:space="preserve"> y </w:t>
      </w:r>
      <w:r w:rsidRPr="003667EC">
        <w:rPr>
          <w:rStyle w:val="Artref"/>
          <w:b/>
          <w:color w:val="000000"/>
          <w:lang w:val="es-ES_tradnl"/>
        </w:rPr>
        <w:t>11.33</w:t>
      </w:r>
      <w:r w:rsidRPr="003667EC">
        <w:rPr>
          <w:color w:val="000000"/>
          <w:lang w:val="es-ES_tradnl"/>
        </w:rPr>
        <w:t>. El examen contemplado en el número </w:t>
      </w:r>
      <w:r w:rsidRPr="003667EC">
        <w:rPr>
          <w:rStyle w:val="Artref"/>
          <w:b/>
          <w:color w:val="000000"/>
          <w:lang w:val="es-ES_tradnl"/>
        </w:rPr>
        <w:t>11.32</w:t>
      </w:r>
      <w:r w:rsidRPr="003667EC">
        <w:rPr>
          <w:color w:val="000000"/>
          <w:lang w:val="es-ES_tradnl"/>
        </w:rPr>
        <w:t xml:space="preserve"> se efectúa utilizando la condición/umbral especificada en el Apéndice </w:t>
      </w:r>
      <w:r w:rsidRPr="003667EC">
        <w:rPr>
          <w:rStyle w:val="Appref"/>
          <w:b/>
          <w:color w:val="000000"/>
          <w:lang w:val="es-ES_tradnl"/>
        </w:rPr>
        <w:t>5</w:t>
      </w:r>
      <w:r w:rsidRPr="003667EC">
        <w:rPr>
          <w:color w:val="000000"/>
          <w:lang w:val="es-ES_tradnl"/>
        </w:rPr>
        <w:t>.</w:t>
      </w:r>
      <w:r w:rsidR="002611BA">
        <w:rPr>
          <w:color w:val="000000"/>
          <w:lang w:val="es-ES_tradnl"/>
        </w:rPr>
        <w:t xml:space="preserve"> </w:t>
      </w:r>
      <w:r w:rsidR="002611BA" w:rsidRPr="002611BA">
        <w:rPr>
          <w:lang w:val="es-ES"/>
        </w:rPr>
        <w:t xml:space="preserve">Cuando no haya criterios técnicos en la condición/umbral especificada en el Apéndice </w:t>
      </w:r>
      <w:r w:rsidR="002611BA" w:rsidRPr="002611BA">
        <w:rPr>
          <w:rStyle w:val="Appref"/>
          <w:b/>
          <w:bCs/>
          <w:color w:val="auto"/>
          <w:lang w:val="es-ES"/>
        </w:rPr>
        <w:t>5</w:t>
      </w:r>
      <w:r w:rsidR="002611BA" w:rsidRPr="002611BA">
        <w:rPr>
          <w:lang w:val="es-ES"/>
        </w:rPr>
        <w:t xml:space="preserve">, las administraciones podrán presentar un análisis realizado utilizando los métodos de cálculo y/o criterios adecuados (incluidos los elaborados por el UIT-R) a la Oficina para la verificación de la aplicabilidad de los § 6 </w:t>
      </w:r>
      <w:r w:rsidR="002611BA" w:rsidRPr="002611BA">
        <w:rPr>
          <w:i/>
          <w:iCs/>
          <w:lang w:val="es-ES"/>
        </w:rPr>
        <w:t>a)</w:t>
      </w:r>
      <w:r w:rsidR="002611BA" w:rsidRPr="002611BA">
        <w:rPr>
          <w:lang w:val="es-ES"/>
        </w:rPr>
        <w:t xml:space="preserve"> a 6 </w:t>
      </w:r>
      <w:r w:rsidR="002611BA" w:rsidRPr="002611BA">
        <w:rPr>
          <w:i/>
          <w:iCs/>
          <w:lang w:val="es-ES"/>
        </w:rPr>
        <w:t>c)</w:t>
      </w:r>
      <w:r w:rsidR="002611BA" w:rsidRPr="002611BA">
        <w:rPr>
          <w:lang w:val="es-ES"/>
        </w:rPr>
        <w:t xml:space="preserve"> del Apéndice</w:t>
      </w:r>
      <w:r w:rsidR="002611BA">
        <w:rPr>
          <w:lang w:val="es-ES"/>
        </w:rPr>
        <w:t> </w:t>
      </w:r>
      <w:r w:rsidR="002611BA" w:rsidRPr="002611BA">
        <w:rPr>
          <w:rStyle w:val="Appref"/>
          <w:b/>
          <w:bCs/>
          <w:color w:val="auto"/>
          <w:lang w:val="es-ES"/>
        </w:rPr>
        <w:t>5</w:t>
      </w:r>
      <w:r w:rsidR="002611BA" w:rsidRPr="002611BA">
        <w:rPr>
          <w:lang w:val="es-ES"/>
        </w:rPr>
        <w:t xml:space="preserve"> al examen en virtud del número </w:t>
      </w:r>
      <w:r w:rsidR="002611BA" w:rsidRPr="002611BA">
        <w:rPr>
          <w:rStyle w:val="Artref"/>
          <w:b/>
          <w:bCs/>
          <w:color w:val="auto"/>
          <w:lang w:val="es-ES"/>
        </w:rPr>
        <w:t>11.32</w:t>
      </w:r>
      <w:r w:rsidR="002611BA" w:rsidRPr="002611BA">
        <w:rPr>
          <w:lang w:val="es-ES"/>
        </w:rPr>
        <w:t>.</w:t>
      </w:r>
    </w:p>
    <w:p w14:paraId="61F041D5" w14:textId="7F7A247A" w:rsidR="00D01428" w:rsidRDefault="00A60C28" w:rsidP="004C6036">
      <w:pPr>
        <w:spacing w:line="250" w:lineRule="exact"/>
        <w:rPr>
          <w:color w:val="000000"/>
          <w:lang w:val="es-ES_tradnl"/>
        </w:rPr>
      </w:pPr>
      <w:r w:rsidRPr="003667EC">
        <w:rPr>
          <w:color w:val="000000"/>
          <w:lang w:val="es-ES_tradnl"/>
        </w:rPr>
        <w:t>1.2</w:t>
      </w:r>
      <w:r w:rsidRPr="003667EC">
        <w:rPr>
          <w:color w:val="000000"/>
          <w:lang w:val="es-ES_tradnl"/>
        </w:rPr>
        <w:tab/>
        <w:t>Conviene observar que en el examen en virtud del</w:t>
      </w:r>
      <w:r w:rsidRPr="003667EC">
        <w:rPr>
          <w:b/>
          <w:color w:val="000000"/>
          <w:lang w:val="es-ES_tradnl"/>
        </w:rPr>
        <w:t xml:space="preserve"> </w:t>
      </w:r>
      <w:r w:rsidRPr="003667EC">
        <w:rPr>
          <w:color w:val="000000"/>
          <w:lang w:val="es-ES_tradnl"/>
        </w:rPr>
        <w:t xml:space="preserve">número </w:t>
      </w:r>
      <w:r w:rsidRPr="003667EC">
        <w:rPr>
          <w:rStyle w:val="Artref"/>
          <w:b/>
          <w:color w:val="000000"/>
          <w:lang w:val="es-ES_tradnl"/>
        </w:rPr>
        <w:t>11.32A</w:t>
      </w:r>
      <w:r w:rsidRPr="003667EC">
        <w:rPr>
          <w:color w:val="000000"/>
          <w:lang w:val="es-ES_tradnl"/>
        </w:rPr>
        <w:t>, se tomarán en cuenta las asignaciones publicadas con arreglo a</w:t>
      </w:r>
      <w:r w:rsidR="00D26314">
        <w:rPr>
          <w:color w:val="000000"/>
          <w:lang w:val="es-ES_tradnl"/>
        </w:rPr>
        <w:t xml:space="preserve"> </w:t>
      </w:r>
      <w:r w:rsidRPr="003667EC">
        <w:rPr>
          <w:color w:val="000000"/>
          <w:lang w:val="es-ES_tradnl"/>
        </w:rPr>
        <w:t>los número</w:t>
      </w:r>
      <w:r w:rsidR="00AC3017">
        <w:rPr>
          <w:color w:val="000000"/>
          <w:lang w:val="es-ES_tradnl"/>
        </w:rPr>
        <w:t>s</w:t>
      </w:r>
      <w:r w:rsidRPr="003667EC">
        <w:rPr>
          <w:color w:val="000000"/>
          <w:lang w:val="es-ES_tradnl"/>
        </w:rPr>
        <w:t xml:space="preserve"> </w:t>
      </w:r>
      <w:r w:rsidRPr="003667EC">
        <w:rPr>
          <w:rStyle w:val="Artref"/>
          <w:b/>
          <w:color w:val="000000"/>
          <w:lang w:val="es-ES_tradnl"/>
        </w:rPr>
        <w:t>9.38</w:t>
      </w:r>
      <w:r w:rsidRPr="003667EC">
        <w:rPr>
          <w:color w:val="000000"/>
          <w:lang w:val="es-ES_tradnl"/>
        </w:rPr>
        <w:t xml:space="preserve"> </w:t>
      </w:r>
      <w:r w:rsidR="00AC3017">
        <w:rPr>
          <w:color w:val="000000"/>
          <w:lang w:val="es-ES_tradnl"/>
        </w:rPr>
        <w:t>ó</w:t>
      </w:r>
      <w:r w:rsidRPr="003667EC">
        <w:rPr>
          <w:color w:val="000000"/>
          <w:lang w:val="es-ES_tradnl"/>
        </w:rPr>
        <w:t xml:space="preserve"> </w:t>
      </w:r>
      <w:r w:rsidRPr="003667EC">
        <w:rPr>
          <w:rStyle w:val="Artref"/>
          <w:b/>
          <w:color w:val="000000"/>
          <w:lang w:val="es-ES_tradnl"/>
        </w:rPr>
        <w:t>9.58</w:t>
      </w:r>
      <w:r w:rsidRPr="003667EC">
        <w:rPr>
          <w:color w:val="000000"/>
          <w:lang w:val="es-ES_tradnl"/>
        </w:rPr>
        <w:t>, pero que no estén aún notificadas. Por consiguiente, por motivos prácticos, en aplicación de esta disposición también se tomarán en cuenta estas asignaciones además de las asignaciones ya inscritas en el Registro.</w:t>
      </w:r>
    </w:p>
    <w:p w14:paraId="425A9FF9" w14:textId="77777777" w:rsidR="005E5EFE" w:rsidRDefault="005E5EFE" w:rsidP="004C6036">
      <w:pPr>
        <w:spacing w:line="250" w:lineRule="exact"/>
        <w:rPr>
          <w:color w:val="000000"/>
          <w:lang w:val="es-ES_tradnl"/>
        </w:rPr>
        <w:sectPr w:rsidR="005E5EFE" w:rsidSect="00007AA8">
          <w:headerReference w:type="even" r:id="rId24"/>
          <w:footnotePr>
            <w:pos w:val="beneathText"/>
          </w:footnotePr>
          <w:pgSz w:w="11907" w:h="16840" w:code="9"/>
          <w:pgMar w:top="1701" w:right="851" w:bottom="1134" w:left="1985" w:header="720" w:footer="482" w:gutter="0"/>
          <w:cols w:space="720"/>
          <w:vAlign w:val="both"/>
        </w:sectPr>
      </w:pPr>
    </w:p>
    <w:p w14:paraId="591A6E5B" w14:textId="5EB434CE" w:rsidR="00A60C28" w:rsidRPr="003667EC" w:rsidRDefault="00A60C28" w:rsidP="004C6036">
      <w:pPr>
        <w:spacing w:line="250" w:lineRule="exact"/>
        <w:rPr>
          <w:color w:val="000000"/>
          <w:lang w:val="es-ES_tradnl"/>
        </w:rPr>
      </w:pPr>
      <w:r w:rsidRPr="003667EC">
        <w:rPr>
          <w:color w:val="000000"/>
          <w:lang w:val="es-ES_tradnl"/>
        </w:rPr>
        <w:lastRenderedPageBreak/>
        <w:t>2</w:t>
      </w:r>
      <w:r w:rsidRPr="003667EC">
        <w:rPr>
          <w:color w:val="000000"/>
          <w:lang w:val="es-ES_tradnl"/>
        </w:rPr>
        <w:tab/>
        <w:t xml:space="preserve">Esta disposición hace referencia a la </w:t>
      </w:r>
      <w:r w:rsidRPr="00402C5C">
        <w:rPr>
          <w:i/>
          <w:iCs/>
          <w:color w:val="000000"/>
          <w:lang w:val="es-ES_tradnl"/>
        </w:rPr>
        <w:t>«fecha original de inscripción en el Registro»</w:t>
      </w:r>
      <w:r w:rsidRPr="003667EC">
        <w:rPr>
          <w:color w:val="000000"/>
          <w:lang w:val="es-ES_tradnl"/>
        </w:rPr>
        <w:t>. La Junta considera que tal fecha es la fecha de recepción de la notificación original. Sin embargo, en lo que respecta a las notificaciones recibidas antes del 1 de enero de 1999, la Junta considera que esta fecha equivale a la fecha inscrita en la Columna 2A, 2B o 2D, según proceda.</w:t>
      </w:r>
    </w:p>
    <w:p w14:paraId="66087B10" w14:textId="77777777" w:rsidR="00A60C28" w:rsidRPr="003667EC" w:rsidRDefault="00A60C28">
      <w:pPr>
        <w:pStyle w:val="Heading8"/>
        <w:rPr>
          <w:color w:val="000000"/>
          <w:lang w:val="es-ES_tradnl"/>
        </w:rPr>
      </w:pPr>
      <w:r w:rsidRPr="003667EC">
        <w:rPr>
          <w:color w:val="000000"/>
          <w:lang w:val="es-ES_tradnl"/>
        </w:rPr>
        <w:t>11.43C</w:t>
      </w:r>
    </w:p>
    <w:p w14:paraId="6E660521" w14:textId="77777777" w:rsidR="00275DC3" w:rsidRDefault="00A60C28" w:rsidP="00275DC3">
      <w:pPr>
        <w:jc w:val="left"/>
        <w:rPr>
          <w:color w:val="000000"/>
          <w:lang w:val="es-ES_tradnl"/>
        </w:rPr>
      </w:pPr>
      <w:r w:rsidRPr="003667EC">
        <w:rPr>
          <w:color w:val="000000"/>
          <w:lang w:val="es-ES_tradnl"/>
        </w:rPr>
        <w:t>La Junta estimó que las asignaciones que se han sometido nuevamente se inscribirán sólo si la conclusión con respecto al número </w:t>
      </w:r>
      <w:r w:rsidRPr="003667EC">
        <w:rPr>
          <w:rStyle w:val="Artref"/>
          <w:b/>
          <w:color w:val="000000"/>
          <w:lang w:val="es-ES_tradnl"/>
        </w:rPr>
        <w:t>11.31</w:t>
      </w:r>
      <w:r w:rsidRPr="003667EC">
        <w:rPr>
          <w:color w:val="000000"/>
          <w:lang w:val="es-ES_tradnl"/>
        </w:rPr>
        <w:t xml:space="preserve"> sigue siendo favorable.</w:t>
      </w:r>
    </w:p>
    <w:p w14:paraId="5ADFA78A" w14:textId="2F3C4173" w:rsidR="00D70EFE" w:rsidRPr="003667EC" w:rsidRDefault="00D70EFE" w:rsidP="00D70EFE">
      <w:pPr>
        <w:pStyle w:val="Heading8"/>
        <w:spacing w:before="120" w:line="240" w:lineRule="exact"/>
        <w:rPr>
          <w:lang w:val="es-ES_tradnl"/>
        </w:rPr>
      </w:pPr>
      <w:r>
        <w:rPr>
          <w:lang w:val="es-ES_tradnl"/>
        </w:rPr>
        <w:t>11.44</w:t>
      </w:r>
    </w:p>
    <w:p w14:paraId="512B5058" w14:textId="59B7C748" w:rsidR="00D70EFE" w:rsidRPr="005E5EFE" w:rsidRDefault="00D70EFE" w:rsidP="00D70EFE">
      <w:pPr>
        <w:spacing w:line="240" w:lineRule="exact"/>
        <w:rPr>
          <w:lang w:val="es-ES_tradnl"/>
        </w:rPr>
      </w:pPr>
      <w:r w:rsidRPr="00D561C2">
        <w:rPr>
          <w:lang w:val="es-ES_tradnl"/>
        </w:rPr>
        <w:t>La información relativa a la fecha de entrada en servicio se facilitará en los siguientes casos:</w:t>
      </w:r>
    </w:p>
    <w:p w14:paraId="05B61970" w14:textId="77777777"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un formulario de notificación AP4, cuando se presenta en aplicación del número </w:t>
      </w:r>
      <w:r w:rsidRPr="00D561C2">
        <w:rPr>
          <w:rStyle w:val="Artref"/>
          <w:b/>
          <w:color w:val="000000"/>
          <w:lang w:val="es-ES_tradnl"/>
        </w:rPr>
        <w:t>11.15</w:t>
      </w:r>
      <w:r w:rsidRPr="00D561C2">
        <w:rPr>
          <w:lang w:val="es-ES_tradnl"/>
        </w:rPr>
        <w:t>; y</w:t>
      </w:r>
    </w:p>
    <w:p w14:paraId="35FA8C85" w14:textId="3CE37785"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r>
      <w:r w:rsidR="005E5EFE" w:rsidRPr="005E5EFE">
        <w:rPr>
          <w:lang w:val="es-ES_tradnl"/>
        </w:rPr>
        <w:t>en la confirmación de las fechas de entrada en servicio, en aplicación de los números </w:t>
      </w:r>
      <w:r w:rsidR="005E5EFE" w:rsidRPr="005E5EFE">
        <w:rPr>
          <w:b/>
          <w:bCs/>
          <w:lang w:val="es-ES_tradnl"/>
        </w:rPr>
        <w:t>11.44.2</w:t>
      </w:r>
      <w:r w:rsidR="005E5EFE" w:rsidRPr="005E5EFE">
        <w:rPr>
          <w:lang w:val="es-ES_tradnl"/>
        </w:rPr>
        <w:t>, </w:t>
      </w:r>
      <w:r w:rsidR="005E5EFE" w:rsidRPr="005E5EFE">
        <w:rPr>
          <w:rStyle w:val="Artref"/>
          <w:b/>
          <w:color w:val="000000"/>
          <w:lang w:val="es-ES_tradnl"/>
        </w:rPr>
        <w:t>11.47</w:t>
      </w:r>
      <w:r w:rsidR="005E5EFE" w:rsidRPr="005E5EFE">
        <w:rPr>
          <w:lang w:val="es-ES_tradnl"/>
        </w:rPr>
        <w:t xml:space="preserve">, </w:t>
      </w:r>
      <w:r w:rsidR="005E5EFE" w:rsidRPr="005E5EFE">
        <w:rPr>
          <w:rStyle w:val="Artref"/>
          <w:b/>
          <w:color w:val="000000"/>
          <w:lang w:val="es-ES_tradnl"/>
        </w:rPr>
        <w:t>11.44B</w:t>
      </w:r>
      <w:r w:rsidR="005E5EFE" w:rsidRPr="005E5EFE">
        <w:rPr>
          <w:lang w:val="es-ES_tradnl"/>
        </w:rPr>
        <w:t>,</w:t>
      </w:r>
      <w:r w:rsidR="005E5EFE" w:rsidRPr="005E5EFE">
        <w:rPr>
          <w:color w:val="000000"/>
          <w:lang w:val="es-ES_tradnl"/>
        </w:rPr>
        <w:t xml:space="preserve"> </w:t>
      </w:r>
      <w:r w:rsidR="005E5EFE" w:rsidRPr="005E5EFE">
        <w:rPr>
          <w:b/>
          <w:bCs/>
          <w:color w:val="000000"/>
          <w:lang w:val="es-ES_tradnl"/>
        </w:rPr>
        <w:t>11.44C</w:t>
      </w:r>
      <w:r w:rsidR="005E5EFE" w:rsidRPr="005E5EFE">
        <w:rPr>
          <w:bCs/>
          <w:color w:val="000000"/>
          <w:lang w:val="es-ES_tradnl"/>
        </w:rPr>
        <w:t>,</w:t>
      </w:r>
      <w:r w:rsidR="005E5EFE" w:rsidRPr="005E5EFE">
        <w:rPr>
          <w:lang w:val="es-ES_tradnl"/>
        </w:rPr>
        <w:t xml:space="preserve"> </w:t>
      </w:r>
      <w:r w:rsidR="005E5EFE" w:rsidRPr="005E5EFE">
        <w:rPr>
          <w:b/>
          <w:bCs/>
          <w:color w:val="000000"/>
          <w:lang w:val="es-ES_tradnl"/>
        </w:rPr>
        <w:t>11.44D</w:t>
      </w:r>
      <w:r w:rsidR="005E5EFE" w:rsidRPr="005E5EFE">
        <w:rPr>
          <w:lang w:val="es-ES_tradnl"/>
        </w:rPr>
        <w:t xml:space="preserve"> y </w:t>
      </w:r>
      <w:r w:rsidR="005E5EFE" w:rsidRPr="005E5EFE">
        <w:rPr>
          <w:b/>
          <w:bCs/>
          <w:color w:val="000000"/>
          <w:lang w:val="es-ES_tradnl"/>
        </w:rPr>
        <w:t>11.44E</w:t>
      </w:r>
      <w:r w:rsidRPr="00D561C2">
        <w:rPr>
          <w:lang w:val="es-ES_tradnl"/>
        </w:rPr>
        <w:t>.</w:t>
      </w:r>
    </w:p>
    <w:p w14:paraId="67ED91F2" w14:textId="236197E8" w:rsidR="00D70EFE" w:rsidRDefault="005E5EFE" w:rsidP="00D70EFE">
      <w:pPr>
        <w:spacing w:line="240" w:lineRule="exact"/>
        <w:rPr>
          <w:lang w:val="es-ES_tradnl"/>
        </w:rPr>
      </w:pPr>
      <w:r w:rsidRPr="005E5EFE">
        <w:rPr>
          <w:lang w:val="es-ES_tradnl"/>
        </w:rPr>
        <w:t xml:space="preserve">Conviene observar que se proporcionará la información relativa a la fecha de entrada en servicio para cada asignación o grupo de asignaciones. (Véanse las Reglas de Procedimiento relacionadas con los números </w:t>
      </w:r>
      <w:r w:rsidRPr="005E5EFE">
        <w:rPr>
          <w:b/>
          <w:bCs/>
          <w:lang w:val="es-ES_tradnl"/>
        </w:rPr>
        <w:t>11.44B</w:t>
      </w:r>
      <w:r w:rsidRPr="005E5EFE">
        <w:rPr>
          <w:lang w:val="es-ES_tradnl"/>
        </w:rPr>
        <w:t xml:space="preserve">, </w:t>
      </w:r>
      <w:r w:rsidRPr="005E5EFE">
        <w:rPr>
          <w:b/>
          <w:bCs/>
          <w:lang w:val="es-ES_tradnl"/>
        </w:rPr>
        <w:t>11.44C</w:t>
      </w:r>
      <w:r w:rsidRPr="005E5EFE">
        <w:rPr>
          <w:bCs/>
          <w:lang w:val="es-ES_tradnl"/>
        </w:rPr>
        <w:t xml:space="preserve">, </w:t>
      </w:r>
      <w:r w:rsidRPr="005E5EFE">
        <w:rPr>
          <w:b/>
          <w:bCs/>
          <w:lang w:val="es-ES_tradnl"/>
        </w:rPr>
        <w:t>11.44D</w:t>
      </w:r>
      <w:r w:rsidRPr="005E5EFE">
        <w:rPr>
          <w:bCs/>
          <w:lang w:val="es-ES_tradnl"/>
        </w:rPr>
        <w:t xml:space="preserve"> y </w:t>
      </w:r>
      <w:r w:rsidRPr="005E5EFE">
        <w:rPr>
          <w:b/>
          <w:bCs/>
          <w:lang w:val="es-ES_tradnl"/>
        </w:rPr>
        <w:t>11.44E</w:t>
      </w:r>
      <w:r w:rsidR="00D70EFE" w:rsidRPr="00D561C2">
        <w:rPr>
          <w:lang w:val="es-ES_tradnl"/>
        </w:rPr>
        <w:t>)</w:t>
      </w:r>
      <w:r w:rsidR="00D70EFE">
        <w:rPr>
          <w:lang w:val="es-ES_tradnl"/>
        </w:rPr>
        <w:t>.</w:t>
      </w:r>
    </w:p>
    <w:p w14:paraId="2D8094EF" w14:textId="0B97AF17" w:rsidR="005E5EFE" w:rsidRPr="005E5EFE" w:rsidRDefault="005E5EFE" w:rsidP="005E5EFE">
      <w:pPr>
        <w:pStyle w:val="Heading8"/>
        <w:pBdr>
          <w:right w:val="double" w:sz="6" w:space="31" w:color="auto"/>
        </w:pBdr>
        <w:tabs>
          <w:tab w:val="left" w:pos="4820"/>
        </w:tabs>
        <w:ind w:right="5330"/>
        <w:rPr>
          <w:color w:val="000000"/>
          <w:lang w:val="es-ES_tradnl"/>
        </w:rPr>
      </w:pPr>
      <w:r w:rsidRPr="005E5EFE">
        <w:rPr>
          <w:color w:val="000000"/>
          <w:lang w:val="es-ES_tradnl"/>
        </w:rPr>
        <w:t xml:space="preserve">11.44B, </w:t>
      </w:r>
      <w:r w:rsidRPr="005E5EFE">
        <w:rPr>
          <w:bCs/>
          <w:lang w:val="es-ES_tradnl"/>
        </w:rPr>
        <w:t>11.44C</w:t>
      </w:r>
      <w:r w:rsidRPr="005E5EFE">
        <w:rPr>
          <w:lang w:val="es-ES_tradnl"/>
        </w:rPr>
        <w:t xml:space="preserve">, </w:t>
      </w:r>
      <w:r w:rsidRPr="005E5EFE">
        <w:rPr>
          <w:bCs/>
          <w:lang w:val="es-ES_tradnl"/>
        </w:rPr>
        <w:t xml:space="preserve">11.44D </w:t>
      </w:r>
      <w:r>
        <w:rPr>
          <w:bCs/>
          <w:lang w:val="es-ES_tradnl"/>
        </w:rPr>
        <w:t>y</w:t>
      </w:r>
      <w:r w:rsidRPr="005E5EFE">
        <w:rPr>
          <w:bCs/>
          <w:lang w:val="es-ES_tradnl"/>
        </w:rPr>
        <w:t xml:space="preserve"> 11.44E</w:t>
      </w:r>
    </w:p>
    <w:p w14:paraId="71A61046" w14:textId="13B52E86" w:rsidR="005E5EFE" w:rsidRPr="005E5EFE" w:rsidRDefault="005E5EFE" w:rsidP="005E5EFE">
      <w:pPr>
        <w:rPr>
          <w:color w:val="000000"/>
          <w:lang w:val="es-ES_tradnl"/>
        </w:rPr>
      </w:pPr>
      <w:r w:rsidRPr="005E5EFE">
        <w:rPr>
          <w:lang w:val="es-ES_tradnl"/>
        </w:rPr>
        <w:t>1</w:t>
      </w:r>
      <w:r w:rsidRPr="005E5EFE">
        <w:rPr>
          <w:lang w:val="es-ES_tradnl"/>
        </w:rPr>
        <w:tab/>
        <w:t>Estas disposiciones se refieren a la puesta en servicio de una asignación de frecuencias a una estación espacial. Para considerar que una asignación de frecuencias de esta índole se ha puesto en servicio, la administración notificante debe comunicar a la Oficina, dentro de un plazo de 30 días a partir del final del periodo de 90 días definido en los números</w:t>
      </w:r>
      <w:r w:rsidR="00DD0038">
        <w:rPr>
          <w:lang w:val="es-ES_tradnl"/>
        </w:rPr>
        <w:t> </w:t>
      </w:r>
      <w:r w:rsidRPr="005E5EFE">
        <w:rPr>
          <w:b/>
          <w:bCs/>
          <w:lang w:val="es-ES_tradnl"/>
        </w:rPr>
        <w:t>11.44B</w:t>
      </w:r>
      <w:r w:rsidRPr="005E5EFE">
        <w:rPr>
          <w:lang w:val="es-ES_tradnl"/>
        </w:rPr>
        <w:t xml:space="preserve"> u </w:t>
      </w:r>
      <w:r w:rsidRPr="005E5EFE">
        <w:rPr>
          <w:b/>
          <w:bCs/>
          <w:lang w:val="es-ES_tradnl"/>
        </w:rPr>
        <w:t>11.44C</w:t>
      </w:r>
      <w:r w:rsidRPr="005E5EFE">
        <w:rPr>
          <w:lang w:val="es-ES_tradnl"/>
        </w:rPr>
        <w:t xml:space="preserve">, o del final del periodo indicado en el número </w:t>
      </w:r>
      <w:r w:rsidRPr="005E5EFE">
        <w:rPr>
          <w:b/>
          <w:bCs/>
          <w:lang w:val="es-ES_tradnl"/>
        </w:rPr>
        <w:t xml:space="preserve">11.44 </w:t>
      </w:r>
      <w:r w:rsidRPr="005E5EFE">
        <w:rPr>
          <w:lang w:val="es-ES_tradnl"/>
        </w:rPr>
        <w:t>para los casos relacionados con los números</w:t>
      </w:r>
      <w:r w:rsidR="00DD0038">
        <w:rPr>
          <w:lang w:val="es-ES_tradnl"/>
        </w:rPr>
        <w:t> </w:t>
      </w:r>
      <w:r w:rsidRPr="005E5EFE">
        <w:rPr>
          <w:b/>
          <w:bCs/>
          <w:lang w:val="es-ES_tradnl"/>
        </w:rPr>
        <w:t>11.44D</w:t>
      </w:r>
      <w:r w:rsidRPr="005E5EFE">
        <w:rPr>
          <w:lang w:val="es-ES_tradnl"/>
        </w:rPr>
        <w:t xml:space="preserve"> u </w:t>
      </w:r>
      <w:r w:rsidRPr="005E5EFE">
        <w:rPr>
          <w:b/>
          <w:bCs/>
          <w:lang w:val="es-ES_tradnl"/>
        </w:rPr>
        <w:t>11.44E</w:t>
      </w:r>
      <w:r w:rsidRPr="005E5EFE">
        <w:rPr>
          <w:lang w:val="es-ES_tradnl"/>
        </w:rPr>
        <w:t>, la información sobre el despliegue especificada en las presentes disposiciones</w:t>
      </w:r>
      <w:r w:rsidRPr="005E5EFE">
        <w:rPr>
          <w:color w:val="000000"/>
          <w:lang w:val="es-ES_tradnl"/>
        </w:rPr>
        <w:t>.</w:t>
      </w:r>
    </w:p>
    <w:p w14:paraId="0ACB2F84" w14:textId="77C775A9" w:rsidR="005E5EFE" w:rsidRDefault="005E5EFE" w:rsidP="005E5EFE">
      <w:pPr>
        <w:rPr>
          <w:lang w:val="es-ES_tradnl"/>
        </w:rPr>
      </w:pPr>
      <w:r w:rsidRPr="005E5EFE">
        <w:rPr>
          <w:lang w:val="es-ES_tradnl"/>
        </w:rPr>
        <w:t>2</w:t>
      </w:r>
      <w:r w:rsidRPr="005E5EFE">
        <w:rPr>
          <w:lang w:val="es-ES_tradnl"/>
        </w:rPr>
        <w:tab/>
        <w:t>La Junta estudió detenidamente la relación entre las diversas disposiciones relacionadas con la entrada en servicio de asignaciones de frecuencias para una red o un sistema de satélites conforme a lo dispuesto en los números.</w:t>
      </w:r>
      <w:r w:rsidRPr="005E5EFE">
        <w:rPr>
          <w:b/>
          <w:bCs/>
          <w:lang w:val="es-ES_tradnl"/>
        </w:rPr>
        <w:t>11.43A</w:t>
      </w:r>
      <w:r w:rsidRPr="005E5EFE">
        <w:rPr>
          <w:lang w:val="es-ES_tradnl"/>
        </w:rPr>
        <w:t xml:space="preserve">, </w:t>
      </w:r>
      <w:r w:rsidRPr="005E5EFE">
        <w:rPr>
          <w:rStyle w:val="Artref"/>
          <w:b/>
          <w:bCs/>
          <w:color w:val="000000"/>
          <w:lang w:val="es-ES_tradnl"/>
        </w:rPr>
        <w:t>11.44</w:t>
      </w:r>
      <w:r w:rsidRPr="005E5EFE">
        <w:rPr>
          <w:rStyle w:val="Artref"/>
          <w:color w:val="000000"/>
          <w:lang w:val="es-ES_tradnl"/>
        </w:rPr>
        <w:t>,</w:t>
      </w:r>
      <w:r w:rsidRPr="005E5EFE">
        <w:rPr>
          <w:rStyle w:val="Artref"/>
          <w:b/>
          <w:bCs/>
          <w:color w:val="000000"/>
          <w:lang w:val="es-ES_tradnl"/>
        </w:rPr>
        <w:t xml:space="preserve"> 11.44.2</w:t>
      </w:r>
      <w:r w:rsidRPr="005E5EFE">
        <w:rPr>
          <w:rStyle w:val="Artref"/>
          <w:color w:val="000000"/>
          <w:lang w:val="es-ES_tradnl"/>
        </w:rPr>
        <w:t xml:space="preserve">, </w:t>
      </w:r>
      <w:r w:rsidRPr="005E5EFE">
        <w:rPr>
          <w:rStyle w:val="Artref"/>
          <w:b/>
          <w:color w:val="000000"/>
          <w:lang w:val="es-ES_tradnl"/>
        </w:rPr>
        <w:t>11.44.3</w:t>
      </w:r>
      <w:r w:rsidRPr="005E5EFE">
        <w:rPr>
          <w:rStyle w:val="Artref"/>
          <w:color w:val="000000"/>
          <w:lang w:val="es-ES_tradnl"/>
        </w:rPr>
        <w:t xml:space="preserve">, </w:t>
      </w:r>
      <w:r w:rsidRPr="005E5EFE">
        <w:rPr>
          <w:rStyle w:val="Artref"/>
          <w:b/>
          <w:bCs/>
          <w:color w:val="000000"/>
          <w:lang w:val="es-ES_tradnl"/>
        </w:rPr>
        <w:t>11.44B</w:t>
      </w:r>
      <w:r w:rsidRPr="005E5EFE">
        <w:rPr>
          <w:rStyle w:val="Artref"/>
          <w:color w:val="000000"/>
          <w:lang w:val="es-ES_tradnl"/>
        </w:rPr>
        <w:t>,</w:t>
      </w:r>
      <w:r w:rsidRPr="005E5EFE">
        <w:rPr>
          <w:rStyle w:val="Artref"/>
          <w:b/>
          <w:bCs/>
          <w:color w:val="000000"/>
          <w:lang w:val="es-ES_tradnl"/>
        </w:rPr>
        <w:t xml:space="preserve"> 11.44B.1</w:t>
      </w:r>
      <w:r w:rsidRPr="005E5EFE">
        <w:rPr>
          <w:rStyle w:val="Artref"/>
          <w:color w:val="000000"/>
          <w:lang w:val="es-ES_tradnl"/>
        </w:rPr>
        <w:t xml:space="preserve">, </w:t>
      </w:r>
      <w:r w:rsidRPr="005E5EFE">
        <w:rPr>
          <w:rStyle w:val="Artref"/>
          <w:b/>
          <w:bCs/>
          <w:color w:val="000000"/>
          <w:lang w:val="es-ES_tradnl"/>
        </w:rPr>
        <w:t>11.44B.2</w:t>
      </w:r>
      <w:r w:rsidRPr="005E5EFE">
        <w:rPr>
          <w:color w:val="000000"/>
          <w:lang w:val="es-ES_tradnl"/>
        </w:rPr>
        <w:t xml:space="preserve">, </w:t>
      </w:r>
      <w:r w:rsidRPr="005E5EFE">
        <w:rPr>
          <w:b/>
          <w:bCs/>
          <w:color w:val="000000"/>
          <w:lang w:val="es-ES_tradnl"/>
        </w:rPr>
        <w:t>11.44C</w:t>
      </w:r>
      <w:r w:rsidRPr="005E5EFE">
        <w:rPr>
          <w:color w:val="000000"/>
          <w:lang w:val="es-ES_tradnl"/>
        </w:rPr>
        <w:t xml:space="preserve">, </w:t>
      </w:r>
      <w:r w:rsidRPr="005E5EFE">
        <w:rPr>
          <w:b/>
          <w:bCs/>
          <w:color w:val="000000"/>
          <w:lang w:val="es-ES_tradnl"/>
        </w:rPr>
        <w:t>11.44C.1</w:t>
      </w:r>
      <w:r w:rsidRPr="005E5EFE">
        <w:rPr>
          <w:color w:val="000000"/>
          <w:lang w:val="es-ES_tradnl"/>
        </w:rPr>
        <w:t xml:space="preserve">, </w:t>
      </w:r>
      <w:r w:rsidRPr="005E5EFE">
        <w:rPr>
          <w:b/>
          <w:bCs/>
          <w:color w:val="000000"/>
          <w:lang w:val="es-ES_tradnl"/>
        </w:rPr>
        <w:t>11.44C.2</w:t>
      </w:r>
      <w:r w:rsidRPr="005E5EFE">
        <w:rPr>
          <w:color w:val="000000"/>
          <w:lang w:val="es-ES_tradnl"/>
        </w:rPr>
        <w:t xml:space="preserve">, </w:t>
      </w:r>
      <w:r w:rsidRPr="005E5EFE">
        <w:rPr>
          <w:b/>
          <w:bCs/>
          <w:color w:val="000000"/>
          <w:lang w:val="es-ES_tradnl"/>
        </w:rPr>
        <w:t>11.44C.3</w:t>
      </w:r>
      <w:r w:rsidRPr="005E5EFE">
        <w:rPr>
          <w:color w:val="000000"/>
          <w:lang w:val="es-ES_tradnl"/>
        </w:rPr>
        <w:t xml:space="preserve">, </w:t>
      </w:r>
      <w:r w:rsidRPr="005E5EFE">
        <w:rPr>
          <w:b/>
          <w:bCs/>
          <w:color w:val="000000"/>
          <w:lang w:val="es-ES_tradnl"/>
        </w:rPr>
        <w:t>11.44C.4</w:t>
      </w:r>
      <w:r w:rsidRPr="005E5EFE">
        <w:rPr>
          <w:color w:val="000000"/>
          <w:lang w:val="es-ES_tradnl"/>
        </w:rPr>
        <w:t xml:space="preserve">, </w:t>
      </w:r>
      <w:r w:rsidRPr="005E5EFE">
        <w:rPr>
          <w:b/>
          <w:bCs/>
          <w:color w:val="000000"/>
          <w:lang w:val="es-ES_tradnl"/>
        </w:rPr>
        <w:t>11.44D</w:t>
      </w:r>
      <w:r w:rsidRPr="005E5EFE">
        <w:rPr>
          <w:color w:val="000000"/>
          <w:lang w:val="es-ES_tradnl"/>
        </w:rPr>
        <w:t xml:space="preserve">, </w:t>
      </w:r>
      <w:r w:rsidRPr="005E5EFE">
        <w:rPr>
          <w:b/>
          <w:bCs/>
          <w:color w:val="000000"/>
          <w:lang w:val="es-ES_tradnl"/>
        </w:rPr>
        <w:t>11.44D.1</w:t>
      </w:r>
      <w:r w:rsidRPr="005E5EFE">
        <w:rPr>
          <w:color w:val="000000"/>
          <w:lang w:val="es-ES_tradnl"/>
        </w:rPr>
        <w:t xml:space="preserve">, </w:t>
      </w:r>
      <w:r w:rsidRPr="005E5EFE">
        <w:rPr>
          <w:b/>
          <w:bCs/>
          <w:color w:val="000000"/>
          <w:lang w:val="es-ES_tradnl"/>
        </w:rPr>
        <w:t>11.44D.2</w:t>
      </w:r>
      <w:r w:rsidRPr="005E5EFE">
        <w:rPr>
          <w:color w:val="000000"/>
          <w:lang w:val="es-ES_tradnl"/>
        </w:rPr>
        <w:t xml:space="preserve">, </w:t>
      </w:r>
      <w:r w:rsidRPr="005E5EFE">
        <w:rPr>
          <w:b/>
          <w:bCs/>
          <w:color w:val="000000"/>
          <w:lang w:val="es-ES_tradnl"/>
        </w:rPr>
        <w:t>11.44D.3</w:t>
      </w:r>
      <w:r w:rsidRPr="005E5EFE">
        <w:rPr>
          <w:color w:val="000000"/>
          <w:lang w:val="es-ES_tradnl"/>
        </w:rPr>
        <w:t xml:space="preserve">, </w:t>
      </w:r>
      <w:r w:rsidRPr="005E5EFE">
        <w:rPr>
          <w:b/>
          <w:bCs/>
          <w:color w:val="000000"/>
          <w:lang w:val="es-ES_tradnl"/>
        </w:rPr>
        <w:t>11.44E</w:t>
      </w:r>
      <w:r w:rsidRPr="005E5EFE">
        <w:rPr>
          <w:color w:val="000000"/>
          <w:lang w:val="es-ES_tradnl"/>
        </w:rPr>
        <w:t xml:space="preserve">, </w:t>
      </w:r>
      <w:r w:rsidRPr="005E5EFE">
        <w:rPr>
          <w:b/>
          <w:bCs/>
          <w:color w:val="000000"/>
          <w:lang w:val="es-ES_tradnl"/>
        </w:rPr>
        <w:t>11.44E.1</w:t>
      </w:r>
      <w:r w:rsidRPr="005E5EFE">
        <w:rPr>
          <w:lang w:val="es-ES_tradnl"/>
        </w:rPr>
        <w:t xml:space="preserve"> y </w:t>
      </w:r>
      <w:r w:rsidRPr="005E5EFE">
        <w:rPr>
          <w:rStyle w:val="Artref"/>
          <w:b/>
          <w:bCs/>
          <w:color w:val="000000"/>
          <w:lang w:val="es-ES_tradnl"/>
        </w:rPr>
        <w:t>11.47</w:t>
      </w:r>
      <w:r w:rsidRPr="005E5EFE">
        <w:rPr>
          <w:rStyle w:val="Artref"/>
          <w:color w:val="000000"/>
          <w:lang w:val="es-ES_tradnl"/>
        </w:rPr>
        <w:t>, y llegó a la conclusión de que la Oficina aplicará el procedimiento que se describe a continuación</w:t>
      </w:r>
      <w:r w:rsidRPr="005E5EFE">
        <w:rPr>
          <w:lang w:val="es-ES_tradnl"/>
        </w:rPr>
        <w:t>.</w:t>
      </w:r>
    </w:p>
    <w:p w14:paraId="4C29B132" w14:textId="02971959" w:rsidR="00290328" w:rsidRDefault="00290328" w:rsidP="005E5EFE">
      <w:pPr>
        <w:rPr>
          <w:lang w:val="es-ES_tradnl"/>
        </w:rPr>
      </w:pPr>
      <w:r>
        <w:rPr>
          <w:lang w:val="es-ES_tradnl"/>
        </w:rPr>
        <w:br w:type="page"/>
      </w:r>
    </w:p>
    <w:p w14:paraId="2FEA8597" w14:textId="79A375D0" w:rsidR="005E5EFE" w:rsidRPr="005E5EFE" w:rsidRDefault="005E5EFE" w:rsidP="005E5EFE">
      <w:pPr>
        <w:rPr>
          <w:lang w:val="es-ES_tradnl"/>
        </w:rPr>
      </w:pPr>
      <w:r w:rsidRPr="005E5EFE">
        <w:rPr>
          <w:lang w:val="es-ES_tradnl"/>
        </w:rPr>
        <w:lastRenderedPageBreak/>
        <w:t>3</w:t>
      </w:r>
      <w:r w:rsidRPr="005E5EFE">
        <w:rPr>
          <w:lang w:val="es-ES_tradnl"/>
        </w:rPr>
        <w:tab/>
        <w:t xml:space="preserve">El número </w:t>
      </w:r>
      <w:r w:rsidRPr="005E5EFE">
        <w:rPr>
          <w:rStyle w:val="Artref"/>
          <w:b/>
          <w:color w:val="000000"/>
          <w:lang w:val="es-ES_tradnl"/>
        </w:rPr>
        <w:t>11.44</w:t>
      </w:r>
      <w:r w:rsidR="003421C9">
        <w:rPr>
          <w:rStyle w:val="FootnoteReference"/>
          <w:lang w:val="es-ES_tradnl"/>
        </w:rPr>
        <w:footnoteReference w:customMarkFollows="1" w:id="13"/>
        <w:t>11</w:t>
      </w:r>
      <w:r w:rsidRPr="005E5EFE">
        <w:rPr>
          <w:lang w:val="es-ES_tradnl"/>
        </w:rPr>
        <w:t xml:space="preserve"> establece un plazo reglamentario para la entrada en servicio de asignaciones de frecuencias a una estación espacial, así como que la Oficina cancelará aquellas asignaciones de frecuencias que no hayan entrado en servicio dentro del periodo reglamentario requerido. En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r w:rsidRPr="005E5EFE">
        <w:rPr>
          <w:b/>
          <w:bCs/>
          <w:lang w:val="es-ES_tradnl"/>
        </w:rPr>
        <w:t xml:space="preserve"> </w:t>
      </w:r>
      <w:r w:rsidRPr="005E5EFE">
        <w:rPr>
          <w:lang w:val="es-ES_tradnl"/>
        </w:rPr>
        <w:t>así como en los números</w:t>
      </w:r>
      <w:r w:rsidR="00DD0038">
        <w:rPr>
          <w:lang w:val="es-ES_tradnl"/>
        </w:rPr>
        <w:t>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 xml:space="preserve">, se estipulan las condiciones en virtud de las cuales se considerará que una asignación de frecuencias a una estación espacial ha sido puesta en servicio. La Oficina inscribirá como fecha de puesta en servicio notificada la fecha de comienzo del periodo de 90 días definido en los números </w:t>
      </w:r>
      <w:r w:rsidRPr="005E5EFE">
        <w:rPr>
          <w:b/>
          <w:lang w:val="es-ES_tradnl"/>
        </w:rPr>
        <w:t>11.44B</w:t>
      </w:r>
      <w:r w:rsidRPr="005E5EFE">
        <w:rPr>
          <w:lang w:val="es-ES_tradnl"/>
        </w:rPr>
        <w:t xml:space="preserve"> </w:t>
      </w:r>
      <w:r w:rsidRPr="005E5EFE">
        <w:rPr>
          <w:bCs/>
          <w:lang w:val="es-ES_tradnl"/>
        </w:rPr>
        <w:t xml:space="preserve">u </w:t>
      </w:r>
      <w:r w:rsidRPr="005E5EFE">
        <w:rPr>
          <w:b/>
          <w:bCs/>
          <w:lang w:val="es-ES_tradnl"/>
        </w:rPr>
        <w:t>11.44C</w:t>
      </w:r>
      <w:r w:rsidRPr="005E5EFE">
        <w:rPr>
          <w:lang w:val="es-ES_tradnl"/>
        </w:rPr>
        <w:t>, o la fecha de despliegue definida en los números</w:t>
      </w:r>
      <w:r w:rsidR="00DD0038">
        <w:rPr>
          <w:lang w:val="es-ES_tradnl"/>
        </w:rPr>
        <w:t> </w:t>
      </w:r>
      <w:r w:rsidRPr="005E5EFE">
        <w:rPr>
          <w:b/>
          <w:bCs/>
          <w:lang w:val="es-ES_tradnl"/>
        </w:rPr>
        <w:t xml:space="preserve">11.44D </w:t>
      </w:r>
      <w:r w:rsidRPr="005E5EFE">
        <w:rPr>
          <w:lang w:val="es-ES_tradnl"/>
        </w:rPr>
        <w:t xml:space="preserve">u </w:t>
      </w:r>
      <w:r w:rsidRPr="005E5EFE">
        <w:rPr>
          <w:b/>
          <w:bCs/>
          <w:lang w:val="es-ES_tradnl"/>
        </w:rPr>
        <w:t>11.44E</w:t>
      </w:r>
      <w:r w:rsidRPr="005E5EFE">
        <w:rPr>
          <w:lang w:val="es-ES_tradnl"/>
        </w:rPr>
        <w:t>,</w:t>
      </w:r>
      <w:r w:rsidRPr="005E5EFE">
        <w:rPr>
          <w:bCs/>
          <w:lang w:val="es-ES_tradnl"/>
        </w:rPr>
        <w:t xml:space="preserve"> o la fecha proporcionada por la administración de conformidad con los números</w:t>
      </w:r>
      <w:r w:rsidR="00DD0038">
        <w:rPr>
          <w:bCs/>
          <w:lang w:val="es-ES_tradnl"/>
        </w:rPr>
        <w:t> </w:t>
      </w:r>
      <w:r w:rsidRPr="005E5EFE">
        <w:rPr>
          <w:b/>
          <w:lang w:val="es-ES_tradnl"/>
        </w:rPr>
        <w:t xml:space="preserve">11.44B.2 </w:t>
      </w:r>
      <w:r w:rsidRPr="005E5EFE">
        <w:rPr>
          <w:bCs/>
          <w:lang w:val="es-ES_tradnl"/>
        </w:rPr>
        <w:t xml:space="preserve">u </w:t>
      </w:r>
      <w:r w:rsidRPr="005E5EFE">
        <w:rPr>
          <w:b/>
          <w:bCs/>
          <w:lang w:val="es-ES_tradnl"/>
        </w:rPr>
        <w:t>11.44C.3</w:t>
      </w:r>
      <w:r w:rsidRPr="005E5EFE">
        <w:rPr>
          <w:b/>
          <w:lang w:val="es-ES_tradnl"/>
        </w:rPr>
        <w:t xml:space="preserve"> </w:t>
      </w:r>
      <w:r w:rsidRPr="005E5EFE">
        <w:rPr>
          <w:lang w:val="es-ES_tradnl"/>
        </w:rPr>
        <w:t>(véase el número</w:t>
      </w:r>
      <w:r w:rsidR="00DD0038">
        <w:rPr>
          <w:lang w:val="es-ES_tradnl"/>
        </w:rPr>
        <w:t> </w:t>
      </w:r>
      <w:r w:rsidRPr="005E5EFE">
        <w:rPr>
          <w:b/>
          <w:lang w:val="es-ES_tradnl"/>
        </w:rPr>
        <w:t>11.44.2</w:t>
      </w:r>
      <w:r w:rsidRPr="005E5EFE">
        <w:rPr>
          <w:lang w:val="es-ES_tradnl"/>
        </w:rPr>
        <w:t xml:space="preserve">). La fecha de puesta en servicio de una asignación se publicará en la web de la BR indicando el estado de confirmación y luego en la PARTE II-S de la BR IFIC si la asignación se ha de inscribir en el Registro. A falta de información sobre la confirmación a tenor de los números </w:t>
      </w:r>
      <w:r w:rsidRPr="005E5EFE">
        <w:rPr>
          <w:b/>
          <w:bCs/>
          <w:lang w:val="es-ES_tradnl"/>
        </w:rPr>
        <w:t>11.44B, 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xml:space="preserve">, así como de los números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w:t>
      </w:r>
      <w:r w:rsidRPr="005E5EFE">
        <w:rPr>
          <w:b/>
          <w:bCs/>
          <w:lang w:val="es-ES_tradnl"/>
        </w:rPr>
        <w:t> </w:t>
      </w:r>
      <w:r w:rsidRPr="005E5EFE">
        <w:rPr>
          <w:lang w:val="es-ES_tradnl"/>
        </w:rPr>
        <w:t>la Oficina anulará las asignaciones inscritas provisionalmente en el Registro con arreglo al número </w:t>
      </w:r>
      <w:r w:rsidRPr="005E5EFE">
        <w:rPr>
          <w:b/>
          <w:bCs/>
          <w:lang w:val="es-ES_tradnl"/>
        </w:rPr>
        <w:t>11.44</w:t>
      </w:r>
      <w:r w:rsidR="003421C9">
        <w:rPr>
          <w:rStyle w:val="FootnoteReference"/>
          <w:lang w:val="es-ES_tradnl"/>
        </w:rPr>
        <w:footnoteReference w:customMarkFollows="1" w:id="14"/>
        <w:t>12</w:t>
      </w:r>
      <w:r w:rsidRPr="005E5EFE">
        <w:rPr>
          <w:lang w:val="es-ES_tradnl"/>
        </w:rPr>
        <w:t xml:space="preserve"> y/o suprimirá las correspondientes secciones especiales conforme al número </w:t>
      </w:r>
      <w:r w:rsidRPr="005E5EFE">
        <w:rPr>
          <w:b/>
          <w:bCs/>
          <w:lang w:val="es-ES_tradnl"/>
        </w:rPr>
        <w:t>11.48</w:t>
      </w:r>
      <w:r w:rsidR="003421C9">
        <w:rPr>
          <w:rStyle w:val="FootnoteReference"/>
          <w:lang w:val="es-ES_tradnl"/>
        </w:rPr>
        <w:footnoteReference w:customMarkFollows="1" w:id="15"/>
        <w:t>13</w:t>
      </w:r>
      <w:r w:rsidRPr="005E5EFE">
        <w:rPr>
          <w:lang w:val="es-ES_tradnl"/>
        </w:rPr>
        <w:t>, según proceda.</w:t>
      </w:r>
    </w:p>
    <w:p w14:paraId="5313B2E4" w14:textId="26725873" w:rsidR="005E5EFE" w:rsidRPr="005E5EFE" w:rsidRDefault="005E5EFE" w:rsidP="005E5EFE">
      <w:pPr>
        <w:rPr>
          <w:lang w:val="es-ES_tradnl"/>
        </w:rPr>
      </w:pPr>
      <w:r w:rsidRPr="005E5EFE">
        <w:rPr>
          <w:lang w:val="es-ES_tradnl"/>
        </w:rPr>
        <w:t>4</w:t>
      </w:r>
      <w:r w:rsidRPr="005E5EFE">
        <w:rPr>
          <w:lang w:val="es-ES_tradnl"/>
        </w:rPr>
        <w:tab/>
        <w:t xml:space="preserve">Las asignaciones de frecuencias respecto de las cuales una administración haya presentado información sobre la notificación para su inscripción en el Registro sin presentar la información obligatoria requerida a tenor de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se inscribirá provisionalmente en el Registro. De ahí en adelante, al final del periodo proporcionado conforme al número </w:t>
      </w:r>
      <w:r w:rsidRPr="005E5EFE">
        <w:rPr>
          <w:b/>
          <w:bCs/>
          <w:lang w:val="es-ES_tradnl"/>
        </w:rPr>
        <w:t>11.44</w:t>
      </w:r>
      <w:r w:rsidRPr="005E5EFE">
        <w:rPr>
          <w:lang w:val="es-ES_tradnl"/>
        </w:rPr>
        <w:t xml:space="preserve">, la Oficina actuará de conformidad con lo dispuesto en el número </w:t>
      </w:r>
      <w:r w:rsidRPr="005E5EFE">
        <w:rPr>
          <w:b/>
          <w:bCs/>
          <w:lang w:val="es-ES_tradnl"/>
        </w:rPr>
        <w:t xml:space="preserve">11.47 </w:t>
      </w:r>
      <w:r w:rsidRPr="005E5EFE">
        <w:rPr>
          <w:lang w:val="es-ES_tradnl"/>
        </w:rPr>
        <w:t>y/o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p>
    <w:p w14:paraId="7C508A3C" w14:textId="77777777" w:rsidR="00290328" w:rsidRPr="00290328" w:rsidRDefault="00290328" w:rsidP="00290328">
      <w:pPr>
        <w:pStyle w:val="Heading8"/>
        <w:tabs>
          <w:tab w:val="clear" w:pos="1871"/>
          <w:tab w:val="left" w:pos="1588"/>
        </w:tabs>
        <w:spacing w:before="0"/>
        <w:rPr>
          <w:lang w:val="es-ES"/>
        </w:rPr>
      </w:pPr>
      <w:r w:rsidRPr="00CA2E46">
        <w:rPr>
          <w:color w:val="000000"/>
          <w:lang w:val="es-ES_tradnl"/>
        </w:rPr>
        <w:t>11.46</w:t>
      </w:r>
    </w:p>
    <w:p w14:paraId="38D413B6" w14:textId="77777777" w:rsidR="00290328" w:rsidRPr="00CA2E46" w:rsidRDefault="00290328" w:rsidP="00290328">
      <w:pPr>
        <w:rPr>
          <w:lang w:val="es-ES_tradnl"/>
        </w:rPr>
      </w:pPr>
      <w:r w:rsidRPr="00CA2E46">
        <w:rPr>
          <w:lang w:val="es-ES_tradnl"/>
        </w:rPr>
        <w:t xml:space="preserve">En esta disposición se describen las medidas adoptadas por la Oficina con respecto a toda </w:t>
      </w:r>
      <w:bookmarkStart w:id="1" w:name="_Hlk47620747"/>
      <w:r w:rsidRPr="00CA2E46">
        <w:rPr>
          <w:lang w:val="es-ES_tradnl"/>
        </w:rPr>
        <w:t xml:space="preserve">notificación presentada de nuevo </w:t>
      </w:r>
      <w:bookmarkEnd w:id="1"/>
      <w:r w:rsidRPr="00CA2E46">
        <w:rPr>
          <w:lang w:val="es-ES_tradnl"/>
        </w:rPr>
        <w:t>que se reciba más de seis meses después de la fecha en que se devolvió la notificación original. La Junta estudió su aplicabilidad a las notificaciones espaciales y terrenales y llegó a las siguientes conclusiones:</w:t>
      </w:r>
    </w:p>
    <w:p w14:paraId="3B0506F5" w14:textId="77777777" w:rsidR="00290328" w:rsidRPr="00CA2E46" w:rsidRDefault="00290328" w:rsidP="00290328">
      <w:pPr>
        <w:pStyle w:val="enumlev1"/>
        <w:rPr>
          <w:lang w:val="es-ES_tradnl"/>
        </w:rPr>
      </w:pPr>
      <w:r w:rsidRPr="00CA2E46">
        <w:rPr>
          <w:lang w:val="es-ES_tradnl"/>
        </w:rPr>
        <w:t>a)</w:t>
      </w:r>
      <w:r w:rsidRPr="00CA2E46">
        <w:rPr>
          <w:lang w:val="es-ES_tradnl"/>
        </w:rPr>
        <w:tab/>
        <w:t>el requisito previsto en la primera frase de esta disposición, en virtud del cual toda notificación presentada de nuevo que se reciba más de seis meses después de la fecha en que se devolvió la notificación original será considerada como una nueva notificación, se aplicará a las asignaciones de frecuencias a estaciones espaciales y terrenales;</w:t>
      </w:r>
    </w:p>
    <w:p w14:paraId="4AE8B6AD" w14:textId="33CA3C3E" w:rsidR="00290328" w:rsidRDefault="00290328" w:rsidP="00290328">
      <w:pPr>
        <w:pStyle w:val="enumlev1"/>
        <w:rPr>
          <w:lang w:val="es-ES_tradnl"/>
        </w:rPr>
      </w:pPr>
      <w:r w:rsidRPr="00CA2E46">
        <w:rPr>
          <w:lang w:val="es-ES_tradnl"/>
        </w:rPr>
        <w:t>b)</w:t>
      </w:r>
      <w:r w:rsidRPr="00CA2E46">
        <w:rPr>
          <w:lang w:val="es-ES_tradnl"/>
        </w:rPr>
        <w:tab/>
        <w:t>los demás requisitos del número </w:t>
      </w:r>
      <w:r w:rsidRPr="00CA2E46">
        <w:rPr>
          <w:b/>
          <w:bCs/>
          <w:lang w:val="es-ES_tradnl"/>
        </w:rPr>
        <w:t>11.46</w:t>
      </w:r>
      <w:r w:rsidRPr="00CA2E46">
        <w:rPr>
          <w:lang w:val="es-ES_tradnl"/>
        </w:rPr>
        <w:t>, así como del número </w:t>
      </w:r>
      <w:r w:rsidRPr="00CA2E46">
        <w:rPr>
          <w:b/>
          <w:bCs/>
          <w:lang w:val="es-ES_tradnl"/>
        </w:rPr>
        <w:t>11.46.1</w:t>
      </w:r>
      <w:r w:rsidRPr="00CA2E46">
        <w:rPr>
          <w:lang w:val="es-ES_tradnl"/>
        </w:rPr>
        <w:t>, se aplicarán únicamente a las asignaciones de frecuencias a estaciones espaciales.</w:t>
      </w:r>
    </w:p>
    <w:p w14:paraId="7075E007" w14:textId="77777777" w:rsidR="00243B84" w:rsidRDefault="00243B84" w:rsidP="00290328">
      <w:pPr>
        <w:pStyle w:val="enumlev1"/>
        <w:rPr>
          <w:lang w:val="es-ES_tradnl"/>
        </w:rPr>
      </w:pPr>
    </w:p>
    <w:p w14:paraId="3D785C3F" w14:textId="77777777" w:rsidR="00243B84" w:rsidRDefault="00243B84" w:rsidP="00290328">
      <w:pPr>
        <w:pStyle w:val="enumlev1"/>
        <w:rPr>
          <w:lang w:val="es-ES_tradnl"/>
        </w:rPr>
        <w:sectPr w:rsidR="00243B84" w:rsidSect="00243C1F">
          <w:headerReference w:type="even" r:id="rId25"/>
          <w:headerReference w:type="default" r:id="rId26"/>
          <w:footnotePr>
            <w:pos w:val="beneathText"/>
            <w:numFmt w:val="chicago"/>
          </w:footnotePr>
          <w:pgSz w:w="11907" w:h="16840" w:code="9"/>
          <w:pgMar w:top="1701" w:right="851" w:bottom="1134" w:left="1985" w:header="720" w:footer="482" w:gutter="0"/>
          <w:cols w:space="720"/>
          <w:vAlign w:val="both"/>
        </w:sectPr>
      </w:pPr>
    </w:p>
    <w:p w14:paraId="74952BD9" w14:textId="269F69DE" w:rsidR="001A29BD" w:rsidRPr="003667EC" w:rsidRDefault="001A29BD" w:rsidP="00FF225F">
      <w:pPr>
        <w:pStyle w:val="Heading8"/>
        <w:spacing w:before="240"/>
        <w:rPr>
          <w:color w:val="000000"/>
          <w:lang w:val="es-ES_tradnl"/>
        </w:rPr>
      </w:pPr>
      <w:r w:rsidRPr="003667EC">
        <w:rPr>
          <w:color w:val="000000"/>
          <w:lang w:val="es-ES_tradnl"/>
        </w:rPr>
        <w:lastRenderedPageBreak/>
        <w:t>11.47</w:t>
      </w:r>
    </w:p>
    <w:p w14:paraId="19C00F95" w14:textId="5D51D753" w:rsidR="001A29BD" w:rsidRDefault="001A29BD" w:rsidP="00157BE3">
      <w:pPr>
        <w:spacing w:before="60" w:line="250" w:lineRule="exact"/>
        <w:rPr>
          <w:rStyle w:val="Artref"/>
          <w:bCs/>
          <w:color w:val="000000"/>
          <w:lang w:val="es-ES_tradnl"/>
        </w:rPr>
      </w:pPr>
      <w:r w:rsidRPr="0077079D">
        <w:rPr>
          <w:lang w:val="es-ES_tradnl"/>
        </w:rPr>
        <w:t xml:space="preserve">La referencia a los números </w:t>
      </w:r>
      <w:r w:rsidRPr="0077079D">
        <w:rPr>
          <w:b/>
          <w:bCs/>
          <w:lang w:val="es-ES_tradnl"/>
        </w:rPr>
        <w:t>11.47</w:t>
      </w:r>
      <w:r w:rsidRPr="0077079D">
        <w:rPr>
          <w:lang w:val="es-ES_tradnl"/>
        </w:rPr>
        <w:t xml:space="preserve"> a </w:t>
      </w:r>
      <w:r w:rsidRPr="0077079D">
        <w:rPr>
          <w:rStyle w:val="Artref"/>
          <w:b/>
          <w:bCs/>
          <w:color w:val="000000"/>
          <w:lang w:val="es-ES_tradnl"/>
        </w:rPr>
        <w:t>11.44</w:t>
      </w:r>
      <w:r w:rsidRPr="0077079D">
        <w:rPr>
          <w:lang w:val="es-ES_tradnl"/>
        </w:rPr>
        <w:t xml:space="preserve"> y su periodo reglamentario debe considerarse como de cinco años a partir de la fecha de recepción de una notificación de un cambio al que se hace referencia en el número </w:t>
      </w:r>
      <w:r w:rsidRPr="0077079D">
        <w:rPr>
          <w:rStyle w:val="Artref"/>
          <w:b/>
          <w:bCs/>
          <w:color w:val="000000"/>
          <w:lang w:val="es-ES_tradnl"/>
        </w:rPr>
        <w:t>11.43A</w:t>
      </w:r>
      <w:r w:rsidRPr="0077079D">
        <w:rPr>
          <w:lang w:val="es-ES_tradnl"/>
        </w:rPr>
        <w:t>. (Véanse también los comentarios formulados en las Reglas de Procedimiento relativas al número </w:t>
      </w:r>
      <w:r w:rsidRPr="0077079D">
        <w:rPr>
          <w:rStyle w:val="Artref"/>
          <w:b/>
          <w:bCs/>
          <w:color w:val="000000"/>
          <w:lang w:val="es-ES_tradnl"/>
        </w:rPr>
        <w:t>11.43A</w:t>
      </w:r>
      <w:r w:rsidRPr="0077079D">
        <w:rPr>
          <w:rStyle w:val="Artref"/>
          <w:bCs/>
          <w:color w:val="000000"/>
          <w:lang w:val="es-ES_tradnl"/>
        </w:rPr>
        <w:t xml:space="preserve"> y al número</w:t>
      </w:r>
      <w:r w:rsidRPr="0077079D">
        <w:rPr>
          <w:rStyle w:val="Artref"/>
          <w:b/>
          <w:color w:val="000000"/>
          <w:lang w:val="es-ES_tradnl"/>
        </w:rPr>
        <w:t xml:space="preserve"> 11.44B</w:t>
      </w:r>
      <w:r w:rsidRPr="0077079D">
        <w:rPr>
          <w:rStyle w:val="Artref"/>
          <w:bCs/>
          <w:color w:val="000000"/>
          <w:lang w:val="es-ES_tradnl"/>
        </w:rPr>
        <w:t>)</w:t>
      </w:r>
    </w:p>
    <w:p w14:paraId="393F4780" w14:textId="5890A3E5" w:rsidR="00CA2E46" w:rsidRPr="00CA2E46" w:rsidRDefault="00CA2E46" w:rsidP="00157BE3">
      <w:pPr>
        <w:spacing w:before="60"/>
        <w:rPr>
          <w:b/>
          <w:lang w:val="es-ES_tradnl"/>
        </w:rPr>
      </w:pPr>
      <w:r w:rsidRPr="00CA2E46">
        <w:rPr>
          <w:b/>
          <w:lang w:val="es-ES_tradnl"/>
        </w:rPr>
        <w:t>Nota</w:t>
      </w:r>
      <w:r w:rsidR="00FB02FE">
        <w:rPr>
          <w:lang w:val="es-ES_tradnl"/>
        </w:rPr>
        <w:t> </w:t>
      </w:r>
      <w:r w:rsidR="00FB02FE" w:rsidRPr="008254E1">
        <w:rPr>
          <w:lang w:val="es-ES_tradnl"/>
        </w:rPr>
        <w:t>–</w:t>
      </w:r>
      <w:r w:rsidR="00FB02FE">
        <w:rPr>
          <w:lang w:val="es-ES_tradnl"/>
        </w:rPr>
        <w:t> </w:t>
      </w:r>
      <w:r w:rsidRPr="00CA2E46">
        <w:rPr>
          <w:bCs/>
          <w:lang w:val="es-ES_tradnl"/>
        </w:rPr>
        <w:t>En su 8ª</w:t>
      </w:r>
      <w:r w:rsidR="00290328">
        <w:rPr>
          <w:bCs/>
          <w:lang w:val="es-ES_tradnl"/>
        </w:rPr>
        <w:t> </w:t>
      </w:r>
      <w:r w:rsidRPr="00CA2E46">
        <w:rPr>
          <w:bCs/>
          <w:lang w:val="es-ES_tradnl"/>
        </w:rPr>
        <w:t xml:space="preserve">Sesión Plenaria la CMR-19 tomó la siguiente decisión en cuanto a la aplicación del número </w:t>
      </w:r>
      <w:r w:rsidRPr="00CA2E46">
        <w:rPr>
          <w:b/>
          <w:lang w:val="es-ES_tradnl"/>
        </w:rPr>
        <w:t>11.47</w:t>
      </w:r>
      <w:r w:rsidRPr="00CA2E46">
        <w:rPr>
          <w:bCs/>
          <w:lang w:val="es-ES_tradnl"/>
        </w:rPr>
        <w:t xml:space="preserve"> del RR con respecto a las inscripciones provisionales; véanse los apartados 3.11 a 3.15 del Documento CMR19/569, aprobación del Documento CMR19/451 relativo al apartado 3.1.4.3 del Documento CMR19/4(Add.2)</w:t>
      </w:r>
      <w:r w:rsidRPr="00CA2E46">
        <w:rPr>
          <w:lang w:val="es-ES_tradnl"/>
        </w:rPr>
        <w:t>:</w:t>
      </w:r>
    </w:p>
    <w:p w14:paraId="4BA6D570" w14:textId="77777777" w:rsidR="00CA2E46" w:rsidRPr="00316036" w:rsidRDefault="00CA2E46" w:rsidP="00157BE3">
      <w:pPr>
        <w:spacing w:before="60"/>
        <w:rPr>
          <w:i/>
          <w:iCs/>
          <w:lang w:val="es-ES_tradnl"/>
        </w:rPr>
      </w:pPr>
      <w:r w:rsidRPr="00CA2E46">
        <w:rPr>
          <w:lang w:val="es-ES_tradnl"/>
        </w:rPr>
        <w:t>«</w:t>
      </w:r>
      <w:bookmarkStart w:id="2" w:name="lt_pId383"/>
      <w:r w:rsidRPr="00316036">
        <w:rPr>
          <w:i/>
          <w:iCs/>
          <w:lang w:val="es-ES_tradnl"/>
        </w:rPr>
        <w:t xml:space="preserve">Al examinar la sección 3.1.4.3 sobre la «Posible revisión de la aplicación del número </w:t>
      </w:r>
      <w:r w:rsidRPr="00316036">
        <w:rPr>
          <w:b/>
          <w:bCs/>
          <w:i/>
          <w:iCs/>
          <w:lang w:val="es-ES_tradnl"/>
        </w:rPr>
        <w:t>11.47</w:t>
      </w:r>
      <w:r w:rsidRPr="00316036">
        <w:rPr>
          <w:i/>
          <w:iCs/>
          <w:lang w:val="es-ES_tradnl"/>
        </w:rPr>
        <w:t xml:space="preserve"> del RR con respecto a las inscripciones provisionales», de las dos opciones presentadas en esta sección para resolver las dificultades planteadas, la CMR-19 eligió la segunda opción de la forma que se indica a continuación:</w:t>
      </w:r>
      <w:bookmarkEnd w:id="2"/>
    </w:p>
    <w:p w14:paraId="71B76D45" w14:textId="0282DF67" w:rsidR="00CA2E46" w:rsidRDefault="00CA2E46" w:rsidP="00157BE3">
      <w:pPr>
        <w:spacing w:before="60" w:line="250" w:lineRule="exact"/>
        <w:rPr>
          <w:lang w:val="es-ES_tradnl"/>
        </w:rPr>
      </w:pPr>
      <w:r w:rsidRPr="00316036">
        <w:rPr>
          <w:i/>
          <w:iCs/>
          <w:lang w:val="es-ES_tradnl"/>
        </w:rPr>
        <w:t>Se encarga a la Oficina la prórroga automática de las fechas de puesta en servicio previstas en la base de datos hasta el final del periodo reglamentario determinado en el número </w:t>
      </w:r>
      <w:r w:rsidRPr="00316036">
        <w:rPr>
          <w:b/>
          <w:bCs/>
          <w:i/>
          <w:iCs/>
          <w:lang w:val="es-ES_tradnl"/>
        </w:rPr>
        <w:t>11.44</w:t>
      </w:r>
      <w:r w:rsidRPr="00316036">
        <w:rPr>
          <w:i/>
          <w:iCs/>
          <w:lang w:val="es-ES_tradnl"/>
        </w:rPr>
        <w:t xml:space="preserve"> del RR si la Oficina no recibe confirmación durante los cuatro meses anteriores a la fecha prevista de puesta en servicio: no se publicará esta revisión de la fecha de puesta en servicio, pero la información podrá consultarse en el sitio web de la BR. Esta opción no exige modificación alguna del Reglamento de Radiocomunicaciones</w:t>
      </w:r>
      <w:r w:rsidRPr="00CA2E46">
        <w:rPr>
          <w:lang w:val="es-ES_tradnl"/>
        </w:rPr>
        <w:t>».</w:t>
      </w:r>
    </w:p>
    <w:p w14:paraId="3CB5E87B" w14:textId="322F855C" w:rsidR="00510FE2" w:rsidRPr="00510FE2" w:rsidRDefault="00510FE2" w:rsidP="00585E27">
      <w:pPr>
        <w:keepNext/>
        <w:keepLines/>
        <w:pBdr>
          <w:top w:val="double" w:sz="6" w:space="1" w:color="auto"/>
          <w:left w:val="double" w:sz="6" w:space="1" w:color="auto"/>
          <w:bottom w:val="double" w:sz="6" w:space="1" w:color="auto"/>
          <w:right w:val="double" w:sz="6" w:space="1" w:color="auto"/>
        </w:pBdr>
        <w:spacing w:before="120"/>
        <w:ind w:left="85" w:right="7938"/>
        <w:jc w:val="left"/>
        <w:outlineLvl w:val="7"/>
        <w:rPr>
          <w:rFonts w:asciiTheme="minorHAnsi" w:hAnsiTheme="minorHAnsi" w:cstheme="minorHAnsi"/>
          <w:b/>
          <w:color w:val="000000"/>
          <w:lang w:val="es-ES"/>
        </w:rPr>
      </w:pPr>
      <w:r w:rsidRPr="00243B84">
        <w:rPr>
          <w:b/>
          <w:color w:val="000000"/>
          <w:lang w:val="es-ES_tradnl"/>
        </w:rPr>
        <w:t>11.48 y 11.48.1</w:t>
      </w:r>
    </w:p>
    <w:p w14:paraId="29A4898E" w14:textId="77777777" w:rsidR="00510FE2" w:rsidRPr="00243B84" w:rsidRDefault="00510FE2" w:rsidP="00157BE3">
      <w:pPr>
        <w:spacing w:before="60"/>
        <w:rPr>
          <w:spacing w:val="-6"/>
          <w:lang w:val="es-ES"/>
        </w:rPr>
      </w:pPr>
      <w:r w:rsidRPr="00243B84">
        <w:rPr>
          <w:b/>
          <w:bCs/>
          <w:spacing w:val="-6"/>
          <w:lang w:val="es-ES"/>
        </w:rPr>
        <w:t>Medidas adoptadas por la Oficina a raíz de la decisión de la Junta de conceder una prórroga para la puesta en servicio de las asignaciones de frecuencias a una red de satélites</w:t>
      </w:r>
    </w:p>
    <w:p w14:paraId="283DE261" w14:textId="00C82D9D" w:rsidR="00510FE2" w:rsidRPr="00243B84" w:rsidRDefault="00510FE2" w:rsidP="00157BE3">
      <w:pPr>
        <w:spacing w:before="60" w:after="60" w:line="260" w:lineRule="exact"/>
        <w:rPr>
          <w:lang w:val="es-ES"/>
        </w:rPr>
      </w:pPr>
      <w:r w:rsidRPr="00243B84">
        <w:rPr>
          <w:lang w:val="es-ES"/>
        </w:rPr>
        <w:t>Si la Junta decide conceder una ampliación del plazo reglamentario para la puesta en servicio de asignaciones de frecuencias a una red de satélites en los casos de fuerza mayor o de retraso de un lanzamiento colectivo, cabe plantear la cuestión de si debe o no ampliarse asimismo el plazo para la presentación de la información de notificación, de la Resolución </w:t>
      </w:r>
      <w:r w:rsidRPr="00243B84">
        <w:rPr>
          <w:b/>
          <w:bCs/>
          <w:lang w:val="es-ES"/>
        </w:rPr>
        <w:t>49 (Rev.CMR-</w:t>
      </w:r>
      <w:r w:rsidR="00585E27">
        <w:rPr>
          <w:b/>
          <w:bCs/>
          <w:lang w:val="es-ES"/>
        </w:rPr>
        <w:t>23</w:t>
      </w:r>
      <w:r w:rsidRPr="00243B84">
        <w:rPr>
          <w:b/>
          <w:bCs/>
          <w:lang w:val="es-ES"/>
        </w:rPr>
        <w:t xml:space="preserve">) </w:t>
      </w:r>
      <w:r w:rsidRPr="00243B84">
        <w:rPr>
          <w:lang w:val="es-ES"/>
        </w:rPr>
        <w:t>y de la Resolución</w:t>
      </w:r>
      <w:r w:rsidRPr="00243B84">
        <w:rPr>
          <w:b/>
          <w:bCs/>
          <w:lang w:val="es-ES"/>
        </w:rPr>
        <w:t xml:space="preserve"> 552 (Rev.CMR-</w:t>
      </w:r>
      <w:r w:rsidR="00585E27">
        <w:rPr>
          <w:b/>
          <w:bCs/>
          <w:lang w:val="es-ES"/>
        </w:rPr>
        <w:t>23</w:t>
      </w:r>
      <w:r w:rsidRPr="00243B84">
        <w:rPr>
          <w:b/>
          <w:bCs/>
          <w:lang w:val="es-ES"/>
        </w:rPr>
        <w:t>)</w:t>
      </w:r>
      <w:r w:rsidRPr="00243B84">
        <w:rPr>
          <w:lang w:val="es-ES"/>
        </w:rPr>
        <w:t>. En los números </w:t>
      </w:r>
      <w:r w:rsidRPr="00243B84">
        <w:rPr>
          <w:b/>
          <w:bCs/>
          <w:lang w:val="es-ES"/>
        </w:rPr>
        <w:t>11.48</w:t>
      </w:r>
      <w:r w:rsidRPr="00243B84">
        <w:rPr>
          <w:lang w:val="es-ES"/>
        </w:rPr>
        <w:t xml:space="preserve"> y </w:t>
      </w:r>
      <w:r w:rsidRPr="00243B84">
        <w:rPr>
          <w:b/>
          <w:bCs/>
          <w:lang w:val="es-ES"/>
        </w:rPr>
        <w:t>11.48.1</w:t>
      </w:r>
      <w:r w:rsidRPr="00243B84">
        <w:rPr>
          <w:lang w:val="es-ES"/>
        </w:rPr>
        <w:t xml:space="preserve"> no se alude únicamente a la puesta en servicio, sino que en virtud de los mismos se exige que la Oficina de Radiocomunicaciones reciba la primera notificación para inscribir las asignaciones de frecuencias con arreglo al número </w:t>
      </w:r>
      <w:r w:rsidRPr="00243B84">
        <w:rPr>
          <w:b/>
          <w:bCs/>
          <w:lang w:val="es-ES"/>
        </w:rPr>
        <w:t>11.15</w:t>
      </w:r>
      <w:r w:rsidRPr="00243B84">
        <w:rPr>
          <w:lang w:val="es-ES"/>
        </w:rPr>
        <w:t xml:space="preserve"> antes de que expire el plazo reglamentario de siete años y la información de debida diligencia con arreglo a la Resolución </w:t>
      </w:r>
      <w:r w:rsidRPr="00243B84">
        <w:rPr>
          <w:b/>
          <w:bCs/>
          <w:lang w:val="es-ES"/>
        </w:rPr>
        <w:t>49 (Rev.CMR-</w:t>
      </w:r>
      <w:r w:rsidR="00585E27">
        <w:rPr>
          <w:b/>
          <w:bCs/>
          <w:lang w:val="es-ES"/>
        </w:rPr>
        <w:t>23</w:t>
      </w:r>
      <w:r w:rsidRPr="00243B84">
        <w:rPr>
          <w:b/>
          <w:bCs/>
          <w:lang w:val="es-ES"/>
        </w:rPr>
        <w:t>)</w:t>
      </w:r>
      <w:r w:rsidRPr="00243B84">
        <w:rPr>
          <w:lang w:val="es-ES"/>
        </w:rPr>
        <w:t xml:space="preserve"> y/o la Resolución </w:t>
      </w:r>
      <w:r w:rsidRPr="00243B84">
        <w:rPr>
          <w:b/>
          <w:bCs/>
          <w:lang w:val="es-ES"/>
        </w:rPr>
        <w:t>552 (Rev.CMR-</w:t>
      </w:r>
      <w:r w:rsidR="00585E27">
        <w:rPr>
          <w:b/>
          <w:bCs/>
          <w:lang w:val="es-ES"/>
        </w:rPr>
        <w:t>23</w:t>
      </w:r>
      <w:r w:rsidRPr="00243B84">
        <w:rPr>
          <w:b/>
          <w:bCs/>
          <w:lang w:val="es-ES"/>
        </w:rPr>
        <w:t>)</w:t>
      </w:r>
      <w:r w:rsidRPr="00243B84">
        <w:rPr>
          <w:lang w:val="es-ES"/>
        </w:rPr>
        <w:t xml:space="preserve"> a más tardar 30 días después del final del plazo reglamentario de siete años.</w:t>
      </w:r>
    </w:p>
    <w:p w14:paraId="69227C40" w14:textId="5EB9A607" w:rsidR="00510FE2" w:rsidRPr="00243B84" w:rsidRDefault="00510FE2" w:rsidP="00157BE3">
      <w:pPr>
        <w:spacing w:before="60" w:after="60" w:line="260" w:lineRule="exact"/>
        <w:rPr>
          <w:lang w:val="es-ES"/>
        </w:rPr>
      </w:pPr>
      <w:r w:rsidRPr="00243B84">
        <w:rPr>
          <w:lang w:val="es-ES"/>
        </w:rPr>
        <w:t xml:space="preserve">A menos que la Junta decida explícitamente lo contrario, la ampliación del plazo para la puesta en servicio de las asignaciones de frecuencias a una red de satélites no conlleva la prórroga del plazo reglamentario para la presentación de la información de notificación, de la Resolución </w:t>
      </w:r>
      <w:r w:rsidRPr="00243B84">
        <w:rPr>
          <w:b/>
          <w:bCs/>
          <w:lang w:val="es-ES"/>
        </w:rPr>
        <w:t>49 (Rev.CMR-</w:t>
      </w:r>
      <w:r w:rsidR="00585E27">
        <w:rPr>
          <w:b/>
          <w:bCs/>
          <w:lang w:val="es-ES"/>
        </w:rPr>
        <w:t>23</w:t>
      </w:r>
      <w:r w:rsidRPr="00243B84">
        <w:rPr>
          <w:b/>
          <w:bCs/>
          <w:lang w:val="es-ES"/>
        </w:rPr>
        <w:t>)</w:t>
      </w:r>
      <w:r w:rsidRPr="00243B84">
        <w:rPr>
          <w:lang w:val="es-ES"/>
        </w:rPr>
        <w:t xml:space="preserve"> y/o de la Resolución</w:t>
      </w:r>
      <w:r w:rsidRPr="00243B84">
        <w:rPr>
          <w:b/>
          <w:bCs/>
          <w:lang w:val="es-ES"/>
        </w:rPr>
        <w:t xml:space="preserve"> 552 (Rev.CMR-</w:t>
      </w:r>
      <w:r w:rsidR="00585E27">
        <w:rPr>
          <w:b/>
          <w:bCs/>
          <w:lang w:val="es-ES"/>
        </w:rPr>
        <w:t>23</w:t>
      </w:r>
      <w:r w:rsidRPr="00243B84">
        <w:rPr>
          <w:b/>
          <w:bCs/>
          <w:lang w:val="es-ES"/>
        </w:rPr>
        <w:t>)</w:t>
      </w:r>
      <w:r w:rsidRPr="00243B84">
        <w:rPr>
          <w:lang w:val="es-ES"/>
        </w:rPr>
        <w:t xml:space="preserve"> en virtud de lo establecido en los números </w:t>
      </w:r>
      <w:r w:rsidRPr="00243B84">
        <w:rPr>
          <w:b/>
          <w:bCs/>
          <w:lang w:val="es-ES"/>
        </w:rPr>
        <w:t>11.48 y 11.48.1</w:t>
      </w:r>
      <w:r w:rsidRPr="00243B84">
        <w:rPr>
          <w:lang w:val="es-ES"/>
        </w:rPr>
        <w:t xml:space="preserve">, puesto que esa información sobre la utilización prevista de frecuencias y la situación de coordinación sería útil para otras administraciones a los efectos de planificación de sus proyectos de satélite y actividades de coordinación. En consecuencia, en </w:t>
      </w:r>
      <w:r w:rsidRPr="00F566E3">
        <w:rPr>
          <w:lang w:val="es-ES"/>
        </w:rPr>
        <w:t>los casos</w:t>
      </w:r>
      <w:r w:rsidRPr="00243B84">
        <w:rPr>
          <w:lang w:val="es-ES"/>
        </w:rPr>
        <w:t xml:space="preserve"> en los que no se haya proporcionado dicha información antes de que la Junta haya decidido conceder una prórroga del plazo para la puesta en servicio, la Oficina comunicará a la administración notificante, después de la decisión de la Junta, que aún debe proporcionar, de conformidad con lo establecido en los números </w:t>
      </w:r>
      <w:r w:rsidRPr="00243B84">
        <w:rPr>
          <w:b/>
          <w:bCs/>
          <w:lang w:val="es-ES"/>
        </w:rPr>
        <w:t xml:space="preserve">11.48 </w:t>
      </w:r>
      <w:r w:rsidRPr="00243B84">
        <w:rPr>
          <w:lang w:val="es-ES"/>
        </w:rPr>
        <w:t>y</w:t>
      </w:r>
      <w:r w:rsidRPr="00243B84">
        <w:rPr>
          <w:b/>
          <w:bCs/>
          <w:lang w:val="es-ES"/>
        </w:rPr>
        <w:t xml:space="preserve"> 11.48.1</w:t>
      </w:r>
      <w:r w:rsidRPr="00243B84">
        <w:rPr>
          <w:lang w:val="es-ES"/>
        </w:rPr>
        <w:t>, la información de notificación en el plazo de siete años, así como la información de la Resolución </w:t>
      </w:r>
      <w:r w:rsidRPr="00243B84">
        <w:rPr>
          <w:b/>
          <w:bCs/>
          <w:lang w:val="es-ES"/>
        </w:rPr>
        <w:t>49 (Rev.CMR-</w:t>
      </w:r>
      <w:r w:rsidR="00585E27">
        <w:rPr>
          <w:b/>
          <w:bCs/>
          <w:lang w:val="es-ES"/>
        </w:rPr>
        <w:t>23</w:t>
      </w:r>
      <w:r w:rsidRPr="00243B84">
        <w:rPr>
          <w:b/>
          <w:bCs/>
          <w:lang w:val="es-ES"/>
        </w:rPr>
        <w:t>)</w:t>
      </w:r>
      <w:r w:rsidRPr="00243B84">
        <w:rPr>
          <w:lang w:val="es-ES"/>
        </w:rPr>
        <w:t xml:space="preserve"> y de la Resolución</w:t>
      </w:r>
      <w:r w:rsidRPr="00243B84">
        <w:rPr>
          <w:b/>
          <w:bCs/>
          <w:lang w:val="es-ES"/>
        </w:rPr>
        <w:t xml:space="preserve"> 552 (Rev.CMR-</w:t>
      </w:r>
      <w:r w:rsidR="00585E27">
        <w:rPr>
          <w:b/>
          <w:bCs/>
          <w:lang w:val="es-ES"/>
        </w:rPr>
        <w:t>23</w:t>
      </w:r>
      <w:r w:rsidRPr="00243B84">
        <w:rPr>
          <w:b/>
          <w:bCs/>
          <w:lang w:val="es-ES"/>
        </w:rPr>
        <w:t xml:space="preserve">) </w:t>
      </w:r>
      <w:r w:rsidRPr="00243B84">
        <w:rPr>
          <w:lang w:val="es-ES"/>
        </w:rPr>
        <w:t>sobre el satélite respecto del que se haya producido un caso de fuerza mayor o de retraso de un lanzamiento colectivo a más tardar 30 días después del final del plazo de siete años.</w:t>
      </w:r>
    </w:p>
    <w:p w14:paraId="6B059B5C" w14:textId="034F3290" w:rsidR="00510FE2" w:rsidRPr="00243B84" w:rsidRDefault="00510FE2" w:rsidP="00510FE2">
      <w:pPr>
        <w:rPr>
          <w:lang w:val="es-ES"/>
        </w:rPr>
      </w:pPr>
      <w:r w:rsidRPr="00243B84">
        <w:rPr>
          <w:lang w:val="es-ES"/>
        </w:rPr>
        <w:lastRenderedPageBreak/>
        <w:t xml:space="preserve">Cuando la información de la Resolución </w:t>
      </w:r>
      <w:r w:rsidRPr="00243B84">
        <w:rPr>
          <w:b/>
          <w:bCs/>
          <w:lang w:val="es-ES"/>
        </w:rPr>
        <w:t>49 (Rev.CMR-</w:t>
      </w:r>
      <w:r w:rsidR="00585E27">
        <w:rPr>
          <w:b/>
          <w:bCs/>
          <w:lang w:val="es-ES"/>
        </w:rPr>
        <w:t>23</w:t>
      </w:r>
      <w:r w:rsidRPr="00243B84">
        <w:rPr>
          <w:b/>
          <w:bCs/>
          <w:lang w:val="es-ES"/>
        </w:rPr>
        <w:t>)</w:t>
      </w:r>
      <w:r w:rsidRPr="00243B84">
        <w:rPr>
          <w:lang w:val="es-ES"/>
        </w:rPr>
        <w:t xml:space="preserve"> y/o de la </w:t>
      </w:r>
      <w:r w:rsidRPr="00243B84">
        <w:rPr>
          <w:b/>
          <w:bCs/>
          <w:lang w:val="es-ES"/>
        </w:rPr>
        <w:t>Resolución 552 (Rev.CMR</w:t>
      </w:r>
      <w:r w:rsidRPr="00243B84">
        <w:rPr>
          <w:b/>
          <w:bCs/>
          <w:lang w:val="es-ES"/>
        </w:rPr>
        <w:noBreakHyphen/>
      </w:r>
      <w:r w:rsidR="00585E27">
        <w:rPr>
          <w:b/>
          <w:bCs/>
          <w:lang w:val="es-ES"/>
        </w:rPr>
        <w:t>23</w:t>
      </w:r>
      <w:r w:rsidRPr="00243B84">
        <w:rPr>
          <w:b/>
          <w:bCs/>
          <w:lang w:val="es-ES"/>
        </w:rPr>
        <w:t>)</w:t>
      </w:r>
      <w:r w:rsidRPr="00243B84">
        <w:rPr>
          <w:lang w:val="es-ES"/>
        </w:rPr>
        <w:t xml:space="preserve"> se haya presentado a la Oficina antes de que la Junta tomara la decisión de conceder una prórroga del plazo para la puesta en servicio, la administración notificante proporcionará a la Oficina información actualizada de la Resolución </w:t>
      </w:r>
      <w:r w:rsidRPr="00243B84">
        <w:rPr>
          <w:b/>
          <w:bCs/>
          <w:lang w:val="es-ES"/>
        </w:rPr>
        <w:t>49 (Rev.CMR-</w:t>
      </w:r>
      <w:r w:rsidR="00585E27">
        <w:rPr>
          <w:b/>
          <w:bCs/>
          <w:lang w:val="es-ES"/>
        </w:rPr>
        <w:t>23</w:t>
      </w:r>
      <w:r w:rsidRPr="00243B84">
        <w:rPr>
          <w:b/>
          <w:bCs/>
          <w:lang w:val="es-ES"/>
        </w:rPr>
        <w:t>)</w:t>
      </w:r>
      <w:r w:rsidRPr="00243B84">
        <w:rPr>
          <w:lang w:val="es-ES"/>
        </w:rPr>
        <w:t xml:space="preserve"> y/o de la </w:t>
      </w:r>
      <w:r w:rsidRPr="00243B84">
        <w:rPr>
          <w:b/>
          <w:bCs/>
          <w:lang w:val="es-ES"/>
        </w:rPr>
        <w:t>Resolución 552 (Rev.CMR-</w:t>
      </w:r>
      <w:r w:rsidR="00585E27">
        <w:rPr>
          <w:b/>
          <w:bCs/>
          <w:lang w:val="es-ES"/>
        </w:rPr>
        <w:t>23</w:t>
      </w:r>
      <w:r w:rsidRPr="00243B84">
        <w:rPr>
          <w:b/>
          <w:bCs/>
          <w:lang w:val="es-ES"/>
        </w:rPr>
        <w:t>)</w:t>
      </w:r>
      <w:r w:rsidRPr="00243B84">
        <w:rPr>
          <w:lang w:val="es-ES"/>
        </w:rPr>
        <w:t>. Si, 30 días después de la finalización del periodo de extensión la administración notificante no ha facilitado a la Oficina dicha información actualizada de la Resolución </w:t>
      </w:r>
      <w:r w:rsidRPr="00243B84">
        <w:rPr>
          <w:b/>
          <w:lang w:val="es-ES"/>
        </w:rPr>
        <w:t>49 (Rev.CMR-</w:t>
      </w:r>
      <w:r w:rsidR="00585E27">
        <w:rPr>
          <w:b/>
          <w:lang w:val="es-ES"/>
        </w:rPr>
        <w:t>23</w:t>
      </w:r>
      <w:r w:rsidRPr="00243B84">
        <w:rPr>
          <w:b/>
          <w:lang w:val="es-ES"/>
        </w:rPr>
        <w:t>)</w:t>
      </w:r>
      <w:r w:rsidRPr="00243B84">
        <w:rPr>
          <w:lang w:val="es-ES"/>
        </w:rPr>
        <w:t xml:space="preserve"> y/o de la </w:t>
      </w:r>
      <w:r w:rsidRPr="00243B84">
        <w:rPr>
          <w:b/>
          <w:bCs/>
          <w:lang w:val="es-ES"/>
        </w:rPr>
        <w:t>Resolución 552 (Rev.CMR</w:t>
      </w:r>
      <w:r w:rsidRPr="00243B84">
        <w:rPr>
          <w:b/>
          <w:bCs/>
          <w:lang w:val="es-ES"/>
        </w:rPr>
        <w:noBreakHyphen/>
      </w:r>
      <w:r w:rsidR="00585E27">
        <w:rPr>
          <w:b/>
          <w:bCs/>
          <w:lang w:val="es-ES"/>
        </w:rPr>
        <w:t>23</w:t>
      </w:r>
      <w:r w:rsidRPr="00243B84">
        <w:rPr>
          <w:b/>
          <w:bCs/>
          <w:lang w:val="es-ES"/>
        </w:rPr>
        <w:t>)</w:t>
      </w:r>
      <w:r w:rsidRPr="00243B84">
        <w:rPr>
          <w:lang w:val="es-ES"/>
        </w:rPr>
        <w:t>, las asignaciones de frecuencias correspondientes expirarán y la correspondiente información publicada con arreglo a los números </w:t>
      </w:r>
      <w:r w:rsidRPr="00243B84">
        <w:rPr>
          <w:b/>
          <w:bCs/>
          <w:lang w:val="es-ES"/>
        </w:rPr>
        <w:t>9.1A</w:t>
      </w:r>
      <w:r w:rsidRPr="00243B84">
        <w:rPr>
          <w:lang w:val="es-ES"/>
        </w:rPr>
        <w:t xml:space="preserve">, </w:t>
      </w:r>
      <w:r w:rsidRPr="00243B84">
        <w:rPr>
          <w:b/>
          <w:bCs/>
          <w:lang w:val="es-ES"/>
        </w:rPr>
        <w:t>9.2B</w:t>
      </w:r>
      <w:r w:rsidRPr="00243B84">
        <w:rPr>
          <w:lang w:val="es-ES"/>
        </w:rPr>
        <w:t xml:space="preserve"> y </w:t>
      </w:r>
      <w:r w:rsidRPr="00243B84">
        <w:rPr>
          <w:b/>
          <w:bCs/>
          <w:lang w:val="es-ES"/>
        </w:rPr>
        <w:t xml:space="preserve">9.38 </w:t>
      </w:r>
      <w:r w:rsidRPr="00243B84">
        <w:rPr>
          <w:lang w:val="es-ES"/>
        </w:rPr>
        <w:t>quedará anulada. Si, un mes antes de la finalización de los plazos indicados anteriormente, la administración notificante no ha facilitado a la Oficina la información actualizada de la Resolución </w:t>
      </w:r>
      <w:r w:rsidRPr="00243B84">
        <w:rPr>
          <w:b/>
          <w:lang w:val="es-ES"/>
        </w:rPr>
        <w:t>49 (Rev.CMR-</w:t>
      </w:r>
      <w:r w:rsidR="00585E27">
        <w:rPr>
          <w:b/>
          <w:lang w:val="es-ES"/>
        </w:rPr>
        <w:t>23</w:t>
      </w:r>
      <w:r w:rsidRPr="00243B84">
        <w:rPr>
          <w:b/>
          <w:lang w:val="es-ES"/>
        </w:rPr>
        <w:t>)</w:t>
      </w:r>
      <w:r w:rsidRPr="00243B84">
        <w:rPr>
          <w:bCs/>
          <w:lang w:val="es-ES"/>
        </w:rPr>
        <w:t xml:space="preserve"> </w:t>
      </w:r>
      <w:r w:rsidRPr="00243B84">
        <w:rPr>
          <w:lang w:val="es-ES"/>
        </w:rPr>
        <w:t xml:space="preserve">y/o de la </w:t>
      </w:r>
      <w:r w:rsidRPr="00243B84">
        <w:rPr>
          <w:b/>
          <w:bCs/>
          <w:lang w:val="es-ES"/>
        </w:rPr>
        <w:t>Resolución 552 (Rev.CMR-</w:t>
      </w:r>
      <w:r w:rsidR="00585E27">
        <w:rPr>
          <w:b/>
          <w:bCs/>
          <w:lang w:val="es-ES"/>
        </w:rPr>
        <w:t>23</w:t>
      </w:r>
      <w:r w:rsidRPr="00243B84">
        <w:rPr>
          <w:b/>
          <w:bCs/>
          <w:lang w:val="es-ES"/>
        </w:rPr>
        <w:t>)</w:t>
      </w:r>
      <w:r w:rsidRPr="00243B84">
        <w:rPr>
          <w:lang w:val="es-ES"/>
        </w:rPr>
        <w:t>, la Oficina enviará inmediatamente un recordatorio a la administración notificante.</w:t>
      </w:r>
    </w:p>
    <w:p w14:paraId="13C6A9A6" w14:textId="537D305D" w:rsidR="00653B0A" w:rsidRPr="00653B0A" w:rsidRDefault="00842CB9" w:rsidP="00842CB9">
      <w:pPr>
        <w:pStyle w:val="Heading8"/>
        <w:spacing w:before="240"/>
        <w:jc w:val="left"/>
        <w:rPr>
          <w:color w:val="000000"/>
          <w:lang w:val="es-ES_tradnl"/>
        </w:rPr>
      </w:pPr>
      <w:r>
        <w:rPr>
          <w:color w:val="000000"/>
          <w:lang w:val="es-ES_tradnl"/>
        </w:rPr>
        <w:t>11.49 y</w:t>
      </w:r>
      <w:r w:rsidR="00653B0A" w:rsidRPr="00653B0A">
        <w:rPr>
          <w:color w:val="000000"/>
          <w:lang w:val="es-ES_tradnl"/>
        </w:rPr>
        <w:t xml:space="preserve"> 11.49.1</w:t>
      </w:r>
      <w:r w:rsidR="003421C9">
        <w:rPr>
          <w:rStyle w:val="FootnoteReference"/>
          <w:color w:val="000000"/>
          <w:lang w:val="es-ES_tradnl"/>
        </w:rPr>
        <w:footnoteReference w:customMarkFollows="1" w:id="16"/>
        <w:t>14</w:t>
      </w:r>
    </w:p>
    <w:p w14:paraId="4766FEB3" w14:textId="77777777" w:rsidR="00653B0A" w:rsidRPr="003C601A" w:rsidRDefault="00653B0A" w:rsidP="003F7F87">
      <w:pPr>
        <w:pStyle w:val="Heading1"/>
        <w:spacing w:before="360"/>
        <w:rPr>
          <w:lang w:val="es-ES_tradnl"/>
        </w:rPr>
      </w:pPr>
      <w:r w:rsidRPr="003C601A">
        <w:rPr>
          <w:lang w:val="es-ES_tradnl"/>
        </w:rPr>
        <w:t>1</w:t>
      </w:r>
      <w:r w:rsidRPr="003C601A">
        <w:rPr>
          <w:lang w:val="es-ES_tradnl"/>
        </w:rPr>
        <w:tab/>
        <w:t>Asignaciones cuyo uso se ha abandonado</w:t>
      </w:r>
    </w:p>
    <w:p w14:paraId="5545F81C" w14:textId="07C4A8B9" w:rsidR="003C601A" w:rsidRPr="003C601A" w:rsidRDefault="00770D86" w:rsidP="009243FB">
      <w:pPr>
        <w:rPr>
          <w:lang w:val="es-ES_tradnl"/>
        </w:rPr>
      </w:pPr>
      <w:r w:rsidRPr="00770D86">
        <w:rPr>
          <w:lang w:val="es-ES_tradnl"/>
        </w:rPr>
        <w:t>1.1</w:t>
      </w:r>
      <w:r w:rsidRPr="00770D86">
        <w:rPr>
          <w:lang w:val="es-ES_tradnl"/>
        </w:rPr>
        <w:tab/>
        <w:t xml:space="preserve">De conformidad con el número </w:t>
      </w:r>
      <w:r w:rsidRPr="00770D86">
        <w:rPr>
          <w:rStyle w:val="Artref"/>
          <w:b/>
          <w:color w:val="auto"/>
          <w:lang w:val="es-ES_tradnl"/>
        </w:rPr>
        <w:t>11.49</w:t>
      </w:r>
      <w:r w:rsidRPr="00770D86">
        <w:rPr>
          <w:lang w:val="es-ES_tradnl"/>
        </w:rPr>
        <w:t>,</w:t>
      </w:r>
      <w:r w:rsidRPr="00770D86">
        <w:rPr>
          <w:spacing w:val="-16"/>
          <w:lang w:val="es-ES_tradnl"/>
        </w:rPr>
        <w:t xml:space="preserve"> </w:t>
      </w:r>
      <w:r w:rsidRPr="00770D86">
        <w:rPr>
          <w:lang w:val="es-ES_tradnl"/>
        </w:rPr>
        <w:t>la Junta considera que una administración podrá informar a la Oficina del abandono del uso de una asignación de frecuencia a una estación espacial por un periodo que no exceda los tres años y que, durante dicho periodo, la asignación de frecuencia deberá seguir gozando de la protección adquirida en virtud de los Acuerdos de coordinación ya obtenidos.</w:t>
      </w:r>
    </w:p>
    <w:p w14:paraId="784C3744" w14:textId="429C769F" w:rsidR="00D72BCF" w:rsidRDefault="003C601A" w:rsidP="003C601A">
      <w:pPr>
        <w:rPr>
          <w:lang w:val="es-ES_tradnl"/>
        </w:rPr>
      </w:pPr>
      <w:r w:rsidRPr="003C601A">
        <w:rPr>
          <w:lang w:val="es-ES_tradnl"/>
        </w:rPr>
        <w:t>1.2</w:t>
      </w:r>
      <w:r w:rsidRPr="003C601A">
        <w:rPr>
          <w:lang w:val="es-ES_tradnl"/>
        </w:rPr>
        <w:tab/>
        <w:t>La Junta ha decidido aplicar el procedimiento descrito a continuación. Dicho procedimiento solamente será válido para las asignaciones suspendidas que no sean modificadas antes de volver a utilizarse.</w:t>
      </w:r>
    </w:p>
    <w:p w14:paraId="4DE4ABA4" w14:textId="77777777" w:rsidR="00E90A91" w:rsidRPr="00E90A91" w:rsidRDefault="00E90A91" w:rsidP="003F7F87">
      <w:pPr>
        <w:pStyle w:val="Heading1"/>
        <w:spacing w:before="360"/>
        <w:rPr>
          <w:lang w:val="es-ES_tradnl"/>
        </w:rPr>
      </w:pPr>
      <w:r w:rsidRPr="00E90A91">
        <w:rPr>
          <w:lang w:val="es-ES_tradnl"/>
        </w:rPr>
        <w:t>2</w:t>
      </w:r>
      <w:r w:rsidRPr="00E90A91">
        <w:rPr>
          <w:lang w:val="es-ES_tradnl"/>
        </w:rPr>
        <w:tab/>
        <w:t>Registro de un abandono de uso</w:t>
      </w:r>
    </w:p>
    <w:p w14:paraId="589989DE" w14:textId="3D7658EE" w:rsidR="00E90A91" w:rsidRDefault="00E90A91" w:rsidP="009243FB">
      <w:pPr>
        <w:rPr>
          <w:lang w:val="es-ES_tradnl"/>
        </w:rPr>
      </w:pPr>
      <w:r w:rsidRPr="00E90A91">
        <w:rPr>
          <w:lang w:val="es-ES_tradnl"/>
        </w:rPr>
        <w:t>2.1</w:t>
      </w:r>
      <w:r w:rsidRPr="00E90A91">
        <w:rPr>
          <w:lang w:val="es-ES_tradnl"/>
        </w:rPr>
        <w:tab/>
      </w:r>
      <w:r w:rsidR="003F5E8B" w:rsidRPr="003F5E8B">
        <w:rPr>
          <w:lang w:val="es-ES_tradnl"/>
        </w:rPr>
        <w:t xml:space="preserve">Cuando se informe a la Oficina, con arreglo a lo dispuesto en el número </w:t>
      </w:r>
      <w:r w:rsidR="003F5E8B" w:rsidRPr="003F5E8B">
        <w:rPr>
          <w:rStyle w:val="Artref"/>
          <w:rFonts w:asciiTheme="majorBidi" w:hAnsiTheme="majorBidi" w:cstheme="majorBidi"/>
          <w:b/>
          <w:color w:val="000000"/>
          <w:szCs w:val="24"/>
          <w:lang w:val="es-ES_tradnl"/>
        </w:rPr>
        <w:t>11.49</w:t>
      </w:r>
      <w:r w:rsidR="003F5E8B" w:rsidRPr="003F5E8B">
        <w:rPr>
          <w:lang w:val="es-ES_tradnl"/>
        </w:rPr>
        <w:t xml:space="preserve"> o en respuesta a una consulta efectuada con arreglo al número </w:t>
      </w:r>
      <w:r w:rsidR="003F5E8B" w:rsidRPr="003F5E8B">
        <w:rPr>
          <w:rStyle w:val="Artref"/>
          <w:rFonts w:asciiTheme="majorBidi" w:hAnsiTheme="majorBidi" w:cstheme="majorBidi"/>
          <w:b/>
          <w:color w:val="000000"/>
          <w:szCs w:val="24"/>
          <w:lang w:val="es-ES_tradnl"/>
        </w:rPr>
        <w:t>13.6</w:t>
      </w:r>
      <w:r w:rsidR="003F5E8B" w:rsidRPr="003F5E8B">
        <w:rPr>
          <w:rStyle w:val="Artref"/>
          <w:rFonts w:asciiTheme="majorBidi" w:hAnsiTheme="majorBidi" w:cstheme="majorBidi"/>
          <w:bCs/>
          <w:color w:val="000000"/>
          <w:szCs w:val="24"/>
          <w:lang w:val="es-ES_tradnl"/>
        </w:rPr>
        <w:t>,</w:t>
      </w:r>
      <w:r w:rsidR="003F5E8B" w:rsidRPr="003F5E8B">
        <w:rPr>
          <w:lang w:val="es-ES_tradnl"/>
        </w:rPr>
        <w:t xml:space="preserve"> de que se ha abandonado el uso de una asignación de frecuencia a una estación espacial inscrita en el Registro, esa infor</w:t>
      </w:r>
      <w:r w:rsidR="003F5E8B" w:rsidRPr="003F5E8B">
        <w:rPr>
          <w:lang w:val="es-ES_tradnl"/>
        </w:rPr>
        <w:softHyphen/>
        <w:t>mación se publica en la Parte pertinente de la BR IFIC y en la página web de la BR mantenida a tal efecto (para informar a todas las administraciones) y se modifica la inscripción en el Registro para incluir la fecha de reanudación de uso indicada por la Administración notificante.</w:t>
      </w:r>
    </w:p>
    <w:p w14:paraId="154AFAF1" w14:textId="4C29D7B2" w:rsidR="003F7F87" w:rsidRDefault="003F7F87" w:rsidP="003F7F87">
      <w:pPr>
        <w:rPr>
          <w:lang w:val="es-ES_tradnl"/>
        </w:rPr>
      </w:pPr>
      <w:r w:rsidRPr="00E90A91">
        <w:rPr>
          <w:lang w:val="es-ES_tradnl"/>
        </w:rPr>
        <w:t>2.2</w:t>
      </w:r>
      <w:r w:rsidRPr="00E90A91">
        <w:rPr>
          <w:lang w:val="es-ES_tradnl"/>
        </w:rPr>
        <w:tab/>
        <w:t xml:space="preserve">Las asignaciones de frecuencia a estaciones espaciales cuya suspensión se notifique para un periodo no superior a tres años continuarán siendo tenidas en cuenta a efectos del examen de otras asignaciones, conforme a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 xml:space="preserve">, </w:t>
      </w:r>
      <w:r w:rsidRPr="00E90A91">
        <w:rPr>
          <w:rStyle w:val="Artref"/>
          <w:b/>
          <w:color w:val="000000"/>
          <w:lang w:val="es-ES_tradnl"/>
        </w:rPr>
        <w:t>11.32</w:t>
      </w:r>
      <w:r w:rsidRPr="00E90A91">
        <w:rPr>
          <w:lang w:val="es-ES_tradnl"/>
        </w:rPr>
        <w:t xml:space="preserve">,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hasta el momento en que concluya la consulta respecto a su reanudación de utilización (véase el § 2.4 a continuación).</w:t>
      </w:r>
    </w:p>
    <w:p w14:paraId="47B8AE4F" w14:textId="77777777" w:rsidR="00243B84" w:rsidRDefault="00243B84" w:rsidP="003F7F87">
      <w:pPr>
        <w:rPr>
          <w:lang w:val="es-ES_tradnl"/>
        </w:rPr>
        <w:sectPr w:rsidR="00243B84" w:rsidSect="00243C1F">
          <w:headerReference w:type="even" r:id="rId27"/>
          <w:headerReference w:type="default" r:id="rId28"/>
          <w:footnotePr>
            <w:pos w:val="beneathText"/>
            <w:numFmt w:val="chicago"/>
          </w:footnotePr>
          <w:pgSz w:w="11907" w:h="16840" w:code="9"/>
          <w:pgMar w:top="1701" w:right="851" w:bottom="1134" w:left="1985" w:header="720" w:footer="482" w:gutter="0"/>
          <w:cols w:space="720"/>
          <w:vAlign w:val="both"/>
        </w:sectPr>
      </w:pPr>
    </w:p>
    <w:p w14:paraId="7889BB9A" w14:textId="04214E56" w:rsidR="003F7F87" w:rsidRPr="00E90A91" w:rsidRDefault="003F7F87" w:rsidP="003F7F87">
      <w:pPr>
        <w:rPr>
          <w:lang w:val="es-ES_tradnl"/>
        </w:rPr>
      </w:pPr>
      <w:r w:rsidRPr="00E90A91">
        <w:rPr>
          <w:lang w:val="es-ES_tradnl"/>
        </w:rPr>
        <w:lastRenderedPageBreak/>
        <w:t>2.3</w:t>
      </w:r>
      <w:r w:rsidRPr="00E90A91">
        <w:rPr>
          <w:lang w:val="es-ES_tradnl"/>
        </w:rPr>
        <w:tab/>
        <w:t>Las asignaciones de frecuencia a estaciones espaciales cuya suspensión se notifique para un periodo de más de tres años no serán tenidas en cuenta a efectos de los exámenes de otras asignaciones, de conformidad con los números</w:t>
      </w:r>
      <w:r w:rsidR="00312F2B">
        <w:rPr>
          <w:lang w:val="es-ES_tradnl"/>
        </w:rPr>
        <w:t>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w:t>
      </w:r>
      <w:r w:rsidRPr="00E90A91">
        <w:rPr>
          <w:rStyle w:val="Artref"/>
          <w:b/>
          <w:color w:val="000000"/>
          <w:lang w:val="es-ES_tradnl"/>
        </w:rPr>
        <w:t xml:space="preserve"> 11.32</w:t>
      </w:r>
      <w:r w:rsidRPr="00E90A91">
        <w:rPr>
          <w:lang w:val="es-ES_tradnl"/>
        </w:rPr>
        <w:t xml:space="preserve"> y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xml:space="preserve"> en cuanto a la fecha de dicha notificación o después de que la administración confirme que el periodo de suspensión excede de tres años y serán canceladas.</w:t>
      </w:r>
    </w:p>
    <w:p w14:paraId="56EEEACB" w14:textId="77777777" w:rsidR="003F7F87" w:rsidRPr="00E90A91" w:rsidRDefault="003F7F87" w:rsidP="003F7F87">
      <w:pPr>
        <w:rPr>
          <w:lang w:val="es-ES_tradnl"/>
        </w:rPr>
      </w:pPr>
      <w:r w:rsidRPr="00E90A91">
        <w:rPr>
          <w:lang w:val="es-ES_tradnl"/>
        </w:rPr>
        <w:t>2.4</w:t>
      </w:r>
      <w:r w:rsidRPr="00E90A91">
        <w:rPr>
          <w:lang w:val="es-ES_tradnl"/>
        </w:rPr>
        <w:tab/>
        <w:t>Consulta sobre la reanudación del uso de una asignación</w:t>
      </w:r>
    </w:p>
    <w:p w14:paraId="26B264A9" w14:textId="77777777" w:rsidR="003F7F87" w:rsidRPr="00E90A91" w:rsidRDefault="003F7F87" w:rsidP="003F7F87">
      <w:pPr>
        <w:rPr>
          <w:lang w:val="es-ES_tradnl"/>
        </w:rPr>
      </w:pPr>
      <w:r w:rsidRPr="00E90A91">
        <w:rPr>
          <w:lang w:val="es-ES_tradnl"/>
        </w:rPr>
        <w:t>Al expirar el periodo de abandono de uso de una asignación de frecuencia, se consulta a la administración notificante acerca de la fecha exacta de reanudación del uso. Con arreglo a los resultados de la consulta, la Oficina aplicará el procedimiento siguiente:</w:t>
      </w:r>
    </w:p>
    <w:p w14:paraId="24CC64FD" w14:textId="35D7AD8B" w:rsidR="00353B4B" w:rsidRDefault="003F7F87" w:rsidP="009243FB">
      <w:pPr>
        <w:spacing w:before="120"/>
        <w:rPr>
          <w:lang w:val="es-ES_tradnl"/>
        </w:rPr>
      </w:pPr>
      <w:r w:rsidRPr="00E90A91">
        <w:rPr>
          <w:lang w:val="es-ES_tradnl"/>
        </w:rPr>
        <w:t>2.4.1</w:t>
      </w:r>
      <w:r w:rsidRPr="00E90A91">
        <w:rPr>
          <w:lang w:val="es-ES_tradnl"/>
        </w:rPr>
        <w:tab/>
      </w:r>
      <w:r w:rsidR="00033BEB" w:rsidRPr="00033BEB">
        <w:rPr>
          <w:lang w:val="es-ES_tradnl"/>
        </w:rPr>
        <w:t xml:space="preserve">Cuando la administración confirme que el uso se ha reanudado, esa información se publicará en la Parte II-S de la BR IFIC y/o en la página web si se estima oportuno, siempre que la fecha efectiva de reanudación indicada por la administración sea anterior a la fecha límite para la reanudación del uso establecida de conformidad con el número </w:t>
      </w:r>
      <w:r w:rsidR="00033BEB" w:rsidRPr="00A60228">
        <w:rPr>
          <w:b/>
          <w:bCs/>
          <w:lang w:val="es-ES_tradnl"/>
        </w:rPr>
        <w:t>11.49</w:t>
      </w:r>
      <w:r w:rsidR="00033BEB" w:rsidRPr="00033BEB">
        <w:rPr>
          <w:lang w:val="es-ES_tradnl"/>
        </w:rPr>
        <w:t>. Si</w:t>
      </w:r>
      <w:r w:rsidR="00033BEB">
        <w:rPr>
          <w:lang w:val="es-ES_tradnl"/>
        </w:rPr>
        <w:t> </w:t>
      </w:r>
      <w:r w:rsidR="00033BEB" w:rsidRPr="00033BEB">
        <w:rPr>
          <w:lang w:val="es-ES_tradnl"/>
        </w:rPr>
        <w:t xml:space="preserve">la reanudación de las asignaciones de frecuencia se refiere a una red de satélites geoestacionarios, la Oficina publicará la reanudación en la PARTE II-S de la BR IFIC solamente cuando la Administración notificante confirme la entrada en funcionamiento y el mantenimiento de la red de satélites geoestacionarios, de conformidad con lo dispuesto en el número </w:t>
      </w:r>
      <w:r w:rsidR="00033BEB" w:rsidRPr="00033BEB">
        <w:rPr>
          <w:b/>
          <w:bCs/>
          <w:lang w:val="es-ES_tradnl"/>
        </w:rPr>
        <w:t>11.49.1</w:t>
      </w:r>
      <w:r w:rsidR="00033BEB" w:rsidRPr="00033BEB">
        <w:rPr>
          <w:lang w:val="es-ES_tradnl"/>
        </w:rPr>
        <w:t xml:space="preserve">. Véase también la Resolución </w:t>
      </w:r>
      <w:r w:rsidR="00033BEB" w:rsidRPr="00033BEB">
        <w:rPr>
          <w:b/>
          <w:bCs/>
          <w:lang w:val="es-ES_tradnl"/>
        </w:rPr>
        <w:t>40 (</w:t>
      </w:r>
      <w:r w:rsidR="0064339D">
        <w:rPr>
          <w:b/>
          <w:bCs/>
          <w:lang w:val="es-ES_tradnl"/>
        </w:rPr>
        <w:t>Rev.</w:t>
      </w:r>
      <w:r w:rsidR="00033BEB" w:rsidRPr="00033BEB">
        <w:rPr>
          <w:b/>
          <w:bCs/>
          <w:lang w:val="es-ES_tradnl"/>
        </w:rPr>
        <w:t>CMR-1</w:t>
      </w:r>
      <w:r w:rsidR="00771F68">
        <w:rPr>
          <w:b/>
          <w:bCs/>
          <w:lang w:val="es-ES_tradnl"/>
        </w:rPr>
        <w:t>9</w:t>
      </w:r>
      <w:r w:rsidR="00033BEB" w:rsidRPr="00033BEB">
        <w:rPr>
          <w:b/>
          <w:bCs/>
          <w:lang w:val="es-ES_tradnl"/>
        </w:rPr>
        <w:t>)</w:t>
      </w:r>
      <w:r w:rsidR="00033BEB" w:rsidRPr="00033BEB">
        <w:rPr>
          <w:lang w:val="es-ES_tradnl"/>
        </w:rPr>
        <w:t>.</w:t>
      </w:r>
    </w:p>
    <w:p w14:paraId="504AFD39" w14:textId="77777777" w:rsidR="00F23BAE" w:rsidRPr="00E90A91" w:rsidRDefault="00F23BAE" w:rsidP="009243FB">
      <w:pPr>
        <w:spacing w:before="120"/>
        <w:rPr>
          <w:lang w:val="es-ES_tradnl"/>
        </w:rPr>
      </w:pPr>
      <w:r w:rsidRPr="00E90A91">
        <w:rPr>
          <w:lang w:val="es-ES_tradnl"/>
        </w:rPr>
        <w:t>2.4.2</w:t>
      </w:r>
      <w:r w:rsidRPr="00E90A91">
        <w:rPr>
          <w:lang w:val="es-ES_tradnl"/>
        </w:rPr>
        <w:tab/>
      </w:r>
      <w:r w:rsidRPr="00087EB6">
        <w:rPr>
          <w:lang w:val="es-ES_tradnl"/>
        </w:rPr>
        <w:t xml:space="preserve">Cuando la administración comunica que el uso se reanudará en una fecha posterior a la fecha límite para la reanudación del uso establecida de conformidad con el número </w:t>
      </w:r>
      <w:r w:rsidRPr="00A60228">
        <w:rPr>
          <w:b/>
          <w:bCs/>
          <w:lang w:val="es-ES_tradnl"/>
        </w:rPr>
        <w:t>11.49</w:t>
      </w:r>
      <w:r w:rsidRPr="00087EB6">
        <w:rPr>
          <w:lang w:val="es-ES_tradnl"/>
        </w:rPr>
        <w:t>, la asignación se cancelará de acuerdo con las disposiciones del número</w:t>
      </w:r>
      <w:r w:rsidRPr="00087EB6">
        <w:rPr>
          <w:rStyle w:val="Artref"/>
          <w:b/>
          <w:color w:val="000000"/>
          <w:lang w:val="es-ES_tradnl"/>
        </w:rPr>
        <w:t xml:space="preserve"> 11.49</w:t>
      </w:r>
      <w:r w:rsidRPr="00087EB6">
        <w:rPr>
          <w:lang w:val="es-ES_tradnl"/>
        </w:rPr>
        <w:t xml:space="preserve">. Para aquellas asignaciones cuyo uso podría reanudarse pasada la fecha límite establecida de conformidad con el número </w:t>
      </w:r>
      <w:r w:rsidRPr="00A60228">
        <w:rPr>
          <w:b/>
          <w:bCs/>
          <w:lang w:val="es-ES_tradnl"/>
        </w:rPr>
        <w:t>11.49</w:t>
      </w:r>
      <w:r w:rsidRPr="00087EB6">
        <w:rPr>
          <w:lang w:val="es-ES_tradnl"/>
        </w:rPr>
        <w:t>, la administración responsable de la asignación volverá a aplicar los correspondientes procedimientos del Artículo </w:t>
      </w:r>
      <w:r w:rsidRPr="00087EB6">
        <w:rPr>
          <w:rStyle w:val="Artref"/>
          <w:b/>
          <w:color w:val="000000"/>
          <w:lang w:val="es-ES_tradnl"/>
        </w:rPr>
        <w:t>9</w:t>
      </w:r>
      <w:r w:rsidRPr="00087EB6">
        <w:rPr>
          <w:rStyle w:val="Artref"/>
          <w:bCs/>
          <w:color w:val="000000"/>
          <w:lang w:val="es-ES_tradnl"/>
        </w:rPr>
        <w:t xml:space="preserve"> y los Apéndices </w:t>
      </w:r>
      <w:r w:rsidRPr="00087EB6">
        <w:rPr>
          <w:rStyle w:val="Artref"/>
          <w:b/>
          <w:color w:val="000000"/>
          <w:lang w:val="es-ES_tradnl"/>
        </w:rPr>
        <w:t>30</w:t>
      </w:r>
      <w:r w:rsidRPr="00087EB6">
        <w:rPr>
          <w:rStyle w:val="Artref"/>
          <w:bCs/>
          <w:color w:val="000000"/>
          <w:lang w:val="es-ES_tradnl"/>
        </w:rPr>
        <w:t xml:space="preserve">, </w:t>
      </w:r>
      <w:r w:rsidRPr="00087EB6">
        <w:rPr>
          <w:rStyle w:val="Artref"/>
          <w:b/>
          <w:color w:val="000000"/>
          <w:lang w:val="es-ES_tradnl"/>
        </w:rPr>
        <w:t>30A</w:t>
      </w:r>
      <w:r w:rsidRPr="00087EB6">
        <w:rPr>
          <w:rStyle w:val="Artref"/>
          <w:bCs/>
          <w:color w:val="000000"/>
          <w:lang w:val="es-ES_tradnl"/>
        </w:rPr>
        <w:t xml:space="preserve"> y </w:t>
      </w:r>
      <w:r w:rsidRPr="00087EB6">
        <w:rPr>
          <w:rStyle w:val="Artref"/>
          <w:b/>
          <w:color w:val="000000"/>
          <w:lang w:val="es-ES_tradnl"/>
        </w:rPr>
        <w:t>30B</w:t>
      </w:r>
      <w:r w:rsidRPr="00087EB6">
        <w:rPr>
          <w:rStyle w:val="Artref"/>
          <w:bCs/>
          <w:color w:val="000000"/>
          <w:lang w:val="es-ES_tradnl"/>
        </w:rPr>
        <w:t>, según proceda</w:t>
      </w:r>
      <w:r w:rsidRPr="00087EB6">
        <w:rPr>
          <w:lang w:val="es-ES_tradnl"/>
        </w:rPr>
        <w:t>.</w:t>
      </w:r>
    </w:p>
    <w:p w14:paraId="4C348554" w14:textId="4A47115B" w:rsidR="00DE1E30" w:rsidRPr="00DE1E30" w:rsidRDefault="00DE1E30" w:rsidP="00A00B06">
      <w:pPr>
        <w:spacing w:before="120"/>
        <w:rPr>
          <w:lang w:val="es-ES_tradnl"/>
        </w:rPr>
      </w:pPr>
      <w:r w:rsidRPr="00DE1E30">
        <w:rPr>
          <w:b/>
          <w:lang w:val="es-ES_tradnl"/>
        </w:rPr>
        <w:t>Nota</w:t>
      </w:r>
      <w:r w:rsidR="00FB02FE">
        <w:rPr>
          <w:lang w:val="es-ES_tradnl"/>
        </w:rPr>
        <w:t> </w:t>
      </w:r>
      <w:r w:rsidRPr="00DE1E30">
        <w:rPr>
          <w:lang w:val="es-ES_tradnl"/>
        </w:rPr>
        <w:t>–</w:t>
      </w:r>
      <w:r w:rsidR="00FB02FE">
        <w:rPr>
          <w:lang w:val="es-ES_tradnl"/>
        </w:rPr>
        <w:t> </w:t>
      </w:r>
      <w:r w:rsidRPr="00DE1E30">
        <w:rPr>
          <w:lang w:val="es-ES_tradnl"/>
        </w:rPr>
        <w:t xml:space="preserve">La CMR-15 tomó una decisión relacionada con la Regla de Procedimiento relativa a los números </w:t>
      </w:r>
      <w:r w:rsidRPr="00DE1E30">
        <w:rPr>
          <w:b/>
          <w:lang w:val="es-ES_tradnl"/>
        </w:rPr>
        <w:t>11.49</w:t>
      </w:r>
      <w:r w:rsidRPr="00DE1E30">
        <w:rPr>
          <w:lang w:val="es-ES_tradnl"/>
        </w:rPr>
        <w:t xml:space="preserve"> y </w:t>
      </w:r>
      <w:r w:rsidRPr="00DE1E30">
        <w:rPr>
          <w:b/>
          <w:lang w:val="es-ES_tradnl"/>
        </w:rPr>
        <w:t>11.49.1</w:t>
      </w:r>
      <w:r w:rsidRPr="00DE1E30">
        <w:rPr>
          <w:lang w:val="es-ES_tradnl"/>
        </w:rPr>
        <w:t xml:space="preserve"> durante la 12ª Sesión Plenaria (véanse los párrafos 3.1 a 3.8 del Documento 509 de la CMR-15) con la aprobación del Documento 453 de la CMR-15</w:t>
      </w:r>
      <w:r w:rsidRPr="00DE1E30">
        <w:rPr>
          <w:rFonts w:eastAsia="SimSun"/>
          <w:lang w:val="es-ES_tradnl" w:eastAsia="zh-CN"/>
        </w:rPr>
        <w:t xml:space="preserve">, </w:t>
      </w:r>
      <w:r w:rsidRPr="00DE1E30">
        <w:rPr>
          <w:lang w:val="es-ES_tradnl"/>
        </w:rPr>
        <w:t>y estipuló lo siguiente</w:t>
      </w:r>
      <w:r w:rsidRPr="00DE1E30">
        <w:rPr>
          <w:rFonts w:eastAsia="SimSun"/>
          <w:lang w:val="es-ES_tradnl" w:eastAsia="zh-CN"/>
        </w:rPr>
        <w:t>:</w:t>
      </w:r>
    </w:p>
    <w:p w14:paraId="15EBCA93" w14:textId="52D26E42" w:rsidR="00873EF9" w:rsidRDefault="00DE1E30" w:rsidP="006D45DA">
      <w:pPr>
        <w:spacing w:before="60"/>
        <w:rPr>
          <w:i/>
          <w:iCs/>
          <w:lang w:val="es-ES_tradnl"/>
        </w:rPr>
      </w:pPr>
      <w:r w:rsidRPr="00DE1E30">
        <w:rPr>
          <w:i/>
          <w:iCs/>
          <w:lang w:val="es-ES_tradnl"/>
        </w:rPr>
        <w:t xml:space="preserve">«La CMR-15 decidió encargar a la Junta del Reglamento de Radiocomunicaciones, en aplicación del número </w:t>
      </w:r>
      <w:r w:rsidRPr="00DE1E30">
        <w:rPr>
          <w:b/>
          <w:bCs/>
          <w:i/>
          <w:iCs/>
          <w:lang w:val="es-ES_tradnl"/>
        </w:rPr>
        <w:t>11.49</w:t>
      </w:r>
      <w:r w:rsidRPr="00DE1E30">
        <w:rPr>
          <w:i/>
          <w:iCs/>
          <w:lang w:val="es-ES_tradnl"/>
        </w:rPr>
        <w:t xml:space="preserve"> en su forma revisada por la CMR-15, que tenga en cuenta todas las circunstancias atenuantes legítimas que podrían impedir que una Administración notificante cumpliera el plazo de seis meses. Si la Oficina cuenta con información fidedigna sobre la suspensión de la utilización de una asignación de frecuencia, realizada no obstante dentro del periodo de seis meses, se alienta a la Oficina, por cortesía, a que recuerde a la Administración notificante su obligación de informar a la Oficina de la suspensión en virtud del número </w:t>
      </w:r>
      <w:r w:rsidRPr="00DE1E30">
        <w:rPr>
          <w:b/>
          <w:bCs/>
          <w:i/>
          <w:iCs/>
          <w:lang w:val="es-ES_tradnl"/>
        </w:rPr>
        <w:t>11.49</w:t>
      </w:r>
      <w:r w:rsidRPr="00DE1E30">
        <w:rPr>
          <w:rFonts w:asciiTheme="minorHAnsi" w:hAnsiTheme="minorHAnsi"/>
          <w:bCs/>
          <w:i/>
          <w:iCs/>
          <w:color w:val="000000"/>
          <w:szCs w:val="24"/>
          <w:lang w:val="es-ES_tradnl"/>
        </w:rPr>
        <w:t>.</w:t>
      </w:r>
      <w:r w:rsidRPr="00DE1E30">
        <w:rPr>
          <w:i/>
          <w:iCs/>
          <w:lang w:val="es-ES_tradnl"/>
        </w:rPr>
        <w:t>»</w:t>
      </w:r>
    </w:p>
    <w:p w14:paraId="6DDCB1A4" w14:textId="2ADE6458" w:rsidR="00CD7CA4" w:rsidRPr="00D47A90" w:rsidRDefault="00CD7CA4" w:rsidP="006D45DA">
      <w:pPr>
        <w:spacing w:before="60"/>
        <w:rPr>
          <w:lang w:val="es-ES"/>
        </w:rPr>
      </w:pPr>
      <w:r w:rsidRPr="00D47A90">
        <w:rPr>
          <w:lang w:val="es-ES"/>
        </w:rPr>
        <w:br w:type="page"/>
      </w:r>
    </w:p>
    <w:p w14:paraId="11C721D4" w14:textId="77777777" w:rsidR="003011F9" w:rsidRPr="00FB6506" w:rsidRDefault="0066792B" w:rsidP="006D45DA">
      <w:pPr>
        <w:pStyle w:val="Heading8"/>
        <w:spacing w:before="240"/>
        <w:rPr>
          <w:color w:val="000000"/>
          <w:lang w:val="es-ES_tradnl"/>
        </w:rPr>
      </w:pPr>
      <w:r>
        <w:rPr>
          <w:lang w:val="es-ES_tradnl"/>
        </w:rPr>
        <w:lastRenderedPageBreak/>
        <w:t>11.50</w:t>
      </w:r>
    </w:p>
    <w:p w14:paraId="1F696CE0" w14:textId="77777777" w:rsidR="00353B4B" w:rsidRPr="00751400" w:rsidRDefault="00353B4B" w:rsidP="00AF7287">
      <w:pPr>
        <w:rPr>
          <w:szCs w:val="24"/>
          <w:lang w:val="es-ES_tradnl"/>
        </w:rPr>
      </w:pPr>
      <w:r w:rsidRPr="00751400">
        <w:rPr>
          <w:szCs w:val="24"/>
          <w:lang w:val="es-ES_tradnl"/>
        </w:rPr>
        <w:t xml:space="preserve">Esta disposición encarga a la Oficina que revise periódicamente el Registro Internacional de Frecuencias (MIFR) con objeto de mantener o mejorar su exactitud, prestando especial atención al análisis de las conclusiones para adaptarlas a la situación de atribución modificada tras cada Conferencia Mundial de Radiocomunicaciones. Con respecto a la última parte de esta disposición </w:t>
      </w:r>
      <w:r w:rsidRPr="008A04C4">
        <w:rPr>
          <w:i/>
          <w:iCs/>
          <w:szCs w:val="24"/>
          <w:lang w:val="es-ES_tradnl"/>
        </w:rPr>
        <w:t>« … prestando especial atención … »</w:t>
      </w:r>
      <w:r w:rsidRPr="00751400">
        <w:rPr>
          <w:szCs w:val="24"/>
          <w:lang w:val="es-ES_tradnl"/>
        </w:rPr>
        <w:t xml:space="preserve">, dada la amplia variedad de posibles cambios en las situaciones de la atribución y el considerable número de campos utilizados para almacenar la información sobre conclusiones en el MIFR, la Junta llegó a la conclusión de que la forma más adecuada de proporcionar instrucciones a la Oficina relativas al examen de las conclusiones sería determinar los elementos principales de dicho examen. Por tanto, la Junta decidió que, al revisar las conclusiones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11.50</w:t>
      </w:r>
      <w:r w:rsidRPr="00751400">
        <w:rPr>
          <w:szCs w:val="24"/>
          <w:lang w:val="es-ES_tradnl"/>
        </w:rPr>
        <w:t>, deberán aplicarse los siguientes principios, a menos que la Conferencia decida otra cosa:</w:t>
      </w:r>
    </w:p>
    <w:p w14:paraId="2A82A352" w14:textId="77777777" w:rsidR="00353B4B" w:rsidRDefault="00353B4B" w:rsidP="00A00B06">
      <w:pPr>
        <w:spacing w:before="120"/>
        <w:rPr>
          <w:szCs w:val="24"/>
          <w:lang w:val="es-ES_tradnl"/>
        </w:rPr>
      </w:pPr>
      <w:r w:rsidRPr="00751400">
        <w:rPr>
          <w:szCs w:val="24"/>
          <w:lang w:val="es-ES_tradnl"/>
        </w:rPr>
        <w:t>1</w:t>
      </w:r>
      <w:r w:rsidRPr="00751400">
        <w:rPr>
          <w:szCs w:val="24"/>
          <w:lang w:val="es-ES_tradnl"/>
        </w:rPr>
        <w:tab/>
        <w:t>Cuando entren en vigor disposiciones reglamentarias nuevas o modificadas, las conclusiones de las asignaciones inscritas correspondientes deberán ser revisadas y actualizadas por la Oficina con objeto de que reflejen el cumplimiento de las disposiciones/atribuciones reglamentarias modificadas.</w:t>
      </w:r>
    </w:p>
    <w:p w14:paraId="70C04160" w14:textId="321AE346" w:rsidR="00F23BAE" w:rsidRPr="00751400" w:rsidRDefault="00F23BAE" w:rsidP="00340DF3">
      <w:pPr>
        <w:spacing w:before="60"/>
        <w:rPr>
          <w:szCs w:val="24"/>
          <w:lang w:val="es-ES_tradnl"/>
        </w:rPr>
      </w:pPr>
      <w:r w:rsidRPr="00751400">
        <w:rPr>
          <w:szCs w:val="24"/>
          <w:lang w:val="es-ES_tradnl"/>
        </w:rPr>
        <w:t>2</w:t>
      </w:r>
      <w:r w:rsidRPr="00751400">
        <w:rPr>
          <w:szCs w:val="24"/>
          <w:lang w:val="es-ES_tradnl"/>
        </w:rPr>
        <w:tab/>
        <w:t>Antes de tomar cualquier medida, la Oficina se pondrá en contacto con cada una de las Administraciones notificantes implicadas acerca del examen de las conclusiones de las asignaciones correspondientes y proporcionará información sobre las posibles medidas, que se basarán en los principios especificados en los siguientes puntos</w:t>
      </w:r>
      <w:r w:rsidR="00312F2B">
        <w:rPr>
          <w:szCs w:val="24"/>
          <w:lang w:val="es-ES_tradnl"/>
        </w:rPr>
        <w:t> </w:t>
      </w:r>
      <w:r w:rsidRPr="00751400">
        <w:rPr>
          <w:szCs w:val="24"/>
          <w:lang w:val="es-ES_tradnl"/>
        </w:rPr>
        <w:t>3 a 6. Si no se recibe respuesta antes de que transcurra el plazo establecido por la Oficina (normalmente 30</w:t>
      </w:r>
      <w:r w:rsidR="00312F2B">
        <w:rPr>
          <w:szCs w:val="24"/>
          <w:lang w:val="es-ES_tradnl"/>
        </w:rPr>
        <w:t> </w:t>
      </w:r>
      <w:r w:rsidRPr="00751400">
        <w:rPr>
          <w:szCs w:val="24"/>
          <w:lang w:val="es-ES_tradnl"/>
        </w:rPr>
        <w:t xml:space="preserve">días a partir de la fecha de la comunicación de la Oficina), la </w:t>
      </w:r>
      <w:r>
        <w:rPr>
          <w:szCs w:val="24"/>
          <w:lang w:val="es-ES_tradnl"/>
        </w:rPr>
        <w:t>Oficina</w:t>
      </w:r>
      <w:r w:rsidRPr="00751400">
        <w:rPr>
          <w:szCs w:val="24"/>
          <w:lang w:val="es-ES_tradnl"/>
        </w:rPr>
        <w:t xml:space="preserve"> enviará un recordatorio.</w:t>
      </w:r>
      <w:r w:rsidR="00340DF3">
        <w:rPr>
          <w:szCs w:val="24"/>
          <w:lang w:val="es-ES_tradnl"/>
        </w:rPr>
        <w:t xml:space="preserve"> </w:t>
      </w:r>
      <w:r w:rsidRPr="00751400">
        <w:rPr>
          <w:szCs w:val="24"/>
          <w:lang w:val="es-ES_tradnl"/>
        </w:rPr>
        <w:t>Si no se recibe respuesta transcurridos 30</w:t>
      </w:r>
      <w:r w:rsidR="00312F2B">
        <w:rPr>
          <w:szCs w:val="24"/>
          <w:lang w:val="es-ES_tradnl"/>
        </w:rPr>
        <w:t> </w:t>
      </w:r>
      <w:r w:rsidRPr="00751400">
        <w:rPr>
          <w:szCs w:val="24"/>
          <w:lang w:val="es-ES_tradnl"/>
        </w:rPr>
        <w:t xml:space="preserve">días después de la fecha de envío del recordatorio, la </w:t>
      </w:r>
      <w:r>
        <w:rPr>
          <w:szCs w:val="24"/>
          <w:lang w:val="es-ES_tradnl"/>
        </w:rPr>
        <w:t>Oficina</w:t>
      </w:r>
      <w:r w:rsidRPr="00751400">
        <w:rPr>
          <w:szCs w:val="24"/>
          <w:lang w:val="es-ES_tradnl"/>
        </w:rPr>
        <w:t xml:space="preserve"> llevará a cabo las medidas propuestas.</w:t>
      </w:r>
    </w:p>
    <w:p w14:paraId="78322D34" w14:textId="67DF96D6" w:rsidR="00353B4B" w:rsidRPr="00751400" w:rsidRDefault="00353B4B" w:rsidP="00AF7287">
      <w:pPr>
        <w:rPr>
          <w:szCs w:val="24"/>
          <w:lang w:val="es-ES_tradnl"/>
        </w:rPr>
      </w:pPr>
      <w:r w:rsidRPr="00751400">
        <w:rPr>
          <w:szCs w:val="24"/>
          <w:lang w:val="es-ES_tradnl"/>
        </w:rPr>
        <w:t>3</w:t>
      </w:r>
      <w:r w:rsidRPr="00751400">
        <w:rPr>
          <w:szCs w:val="24"/>
          <w:lang w:val="es-ES_tradnl"/>
        </w:rPr>
        <w:tab/>
        <w:t xml:space="preserve">Cuando un cambio del Artículo </w:t>
      </w:r>
      <w:r w:rsidRPr="00A8003B">
        <w:rPr>
          <w:b/>
          <w:bCs/>
          <w:szCs w:val="24"/>
          <w:lang w:val="es-ES_tradnl"/>
        </w:rPr>
        <w:t>5</w:t>
      </w:r>
      <w:r w:rsidRPr="00751400">
        <w:rPr>
          <w:szCs w:val="24"/>
          <w:lang w:val="es-ES_tradnl"/>
        </w:rPr>
        <w:t xml:space="preserve"> tenga como consecuencia la derogación de una atribución a un servicio de radiocomunicaciones, la asignación inscrita correspondiente debe suprimirse del Registro Internacional de Frecuencias. Si la Administración notificante solicita que se mantenga la asignación y señala que funcionará de conformidad con lo dispuesto en el </w:t>
      </w:r>
      <w:r w:rsidR="00AF7287" w:rsidRPr="00AF7287">
        <w:rPr>
          <w:lang w:val="es-ES_tradnl"/>
        </w:rPr>
        <w:t>número</w:t>
      </w:r>
      <w:r w:rsidR="00312F2B">
        <w:rPr>
          <w:i/>
          <w:iCs/>
          <w:lang w:val="es-ES_tradnl"/>
        </w:rPr>
        <w:t> </w:t>
      </w:r>
      <w:r w:rsidRPr="00751400">
        <w:rPr>
          <w:b/>
          <w:bCs/>
          <w:szCs w:val="24"/>
          <w:lang w:val="es-ES_tradnl"/>
        </w:rPr>
        <w:t>4.4</w:t>
      </w:r>
      <w:r w:rsidRPr="00751400">
        <w:rPr>
          <w:szCs w:val="24"/>
          <w:lang w:val="es-ES_tradnl"/>
        </w:rPr>
        <w:t xml:space="preserve">, la asignación se mantendrá en el MIFR a título informativo bajo las condiciones especificadas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p>
    <w:p w14:paraId="37FD1449" w14:textId="3A8AFBA0" w:rsidR="00353B4B" w:rsidRDefault="00353B4B" w:rsidP="00353B4B">
      <w:pPr>
        <w:rPr>
          <w:szCs w:val="24"/>
          <w:lang w:val="es-ES_tradnl"/>
        </w:rPr>
      </w:pPr>
      <w:r w:rsidRPr="00751400">
        <w:rPr>
          <w:szCs w:val="24"/>
          <w:lang w:val="es-ES_tradnl"/>
        </w:rPr>
        <w:t>4</w:t>
      </w:r>
      <w:r w:rsidRPr="00751400">
        <w:rPr>
          <w:szCs w:val="24"/>
          <w:lang w:val="es-ES_tradnl"/>
        </w:rPr>
        <w:tab/>
        <w:t xml:space="preserve">Cuando un cambio en el Artículo </w:t>
      </w:r>
      <w:r w:rsidRPr="00A8003B">
        <w:rPr>
          <w:b/>
          <w:bCs/>
          <w:szCs w:val="24"/>
          <w:lang w:val="es-ES_tradnl"/>
        </w:rPr>
        <w:t>5</w:t>
      </w:r>
      <w:r w:rsidRPr="00751400">
        <w:rPr>
          <w:szCs w:val="24"/>
          <w:lang w:val="es-ES_tradnl"/>
        </w:rPr>
        <w:t xml:space="preserve"> tenga como consecuencia una disminución de la categoría de la atribución y dicha atribución no está sujeta a ninguna condición adicional, o cuando las asignaciones inscritas satisfacen todas las condiciones adicionales a las que está sujeta la atribución cuya categoría se ha disminuido, la categoría de la asignación inscrita implicada disminuirá de la forma correspondiente y la asignación se mantendrá en el Registro Internacional de Frecuencias, a menos que la Administración notificante solicite su supresión.</w:t>
      </w:r>
    </w:p>
    <w:p w14:paraId="00E40BCF" w14:textId="50D7B911" w:rsidR="00CD7CA4" w:rsidRDefault="00CD7CA4" w:rsidP="00353B4B">
      <w:pPr>
        <w:rPr>
          <w:szCs w:val="24"/>
          <w:lang w:val="es-ES_tradnl"/>
        </w:rPr>
      </w:pPr>
      <w:r>
        <w:rPr>
          <w:szCs w:val="24"/>
          <w:lang w:val="es-ES_tradnl"/>
        </w:rPr>
        <w:br w:type="page"/>
      </w:r>
    </w:p>
    <w:p w14:paraId="02FFF9AF" w14:textId="5A1C3C5F" w:rsidR="00353B4B" w:rsidRPr="00751400" w:rsidRDefault="00353B4B" w:rsidP="00AF7287">
      <w:pPr>
        <w:pStyle w:val="enumlev1"/>
        <w:tabs>
          <w:tab w:val="left" w:pos="567"/>
        </w:tabs>
        <w:ind w:left="0" w:firstLine="0"/>
        <w:rPr>
          <w:szCs w:val="24"/>
          <w:lang w:val="es-ES_tradnl"/>
        </w:rPr>
      </w:pPr>
      <w:r w:rsidRPr="00751400">
        <w:rPr>
          <w:szCs w:val="24"/>
          <w:lang w:val="es-ES_tradnl"/>
        </w:rPr>
        <w:lastRenderedPageBreak/>
        <w:t xml:space="preserve">Cuando la atribución degradada esté sujeta a condiciones adicionales y las condiciones relativas al examen reglamentario con arreglo al </w:t>
      </w:r>
      <w:r w:rsidR="00AF7287" w:rsidRPr="00AF7287">
        <w:rPr>
          <w:lang w:val="es-ES_tradnl"/>
        </w:rPr>
        <w:t>número</w:t>
      </w:r>
      <w:r w:rsidR="00B35150">
        <w:rPr>
          <w:i/>
          <w:iCs/>
          <w:lang w:val="es-ES_tradnl"/>
        </w:rPr>
        <w:t> </w:t>
      </w:r>
      <w:r w:rsidRPr="00751400">
        <w:rPr>
          <w:b/>
          <w:bCs/>
          <w:szCs w:val="24"/>
          <w:lang w:val="es-ES_tradnl"/>
        </w:rPr>
        <w:t>11.31</w:t>
      </w:r>
      <w:r w:rsidRPr="00751400">
        <w:rPr>
          <w:szCs w:val="24"/>
          <w:lang w:val="es-ES_tradnl"/>
        </w:rPr>
        <w:t xml:space="preserve"> (por ejemplo, límites de potencia, restricciones al funcionamiento nacional, requisitos para un acuerdo con arreglo al </w:t>
      </w:r>
      <w:r w:rsidR="00AF7287" w:rsidRPr="00AF7287">
        <w:rPr>
          <w:lang w:val="es-ES_tradnl"/>
        </w:rPr>
        <w:t>número</w:t>
      </w:r>
      <w:r w:rsidR="00CD7CA4">
        <w:rPr>
          <w:i/>
          <w:iCs/>
          <w:lang w:val="es-ES_tradnl"/>
        </w:rPr>
        <w:t> </w:t>
      </w:r>
      <w:r w:rsidRPr="00751400">
        <w:rPr>
          <w:b/>
          <w:bCs/>
          <w:szCs w:val="24"/>
          <w:lang w:val="es-ES_tradnl"/>
        </w:rPr>
        <w:t>9.21</w:t>
      </w:r>
      <w:r w:rsidRPr="00751400">
        <w:rPr>
          <w:szCs w:val="24"/>
          <w:lang w:val="es-ES_tradnl"/>
        </w:rPr>
        <w:t xml:space="preserve">, distancias de separación, etc.) no se satisfagan, la Oficina propondrá a la Administración notificante suprimir la asignación, o que modifique sus características para cumplir las nuevas condiciones. Si la Administración solicita mantener la asignación con sus características sin modificar y señala que funcionará de conformidad con el </w:t>
      </w:r>
      <w:r w:rsidR="00AF7287" w:rsidRPr="00AF7287">
        <w:rPr>
          <w:lang w:val="es-ES_tradnl"/>
        </w:rPr>
        <w:t>número</w:t>
      </w:r>
      <w:r w:rsidR="00B35150">
        <w:rPr>
          <w:i/>
          <w:iCs/>
          <w:lang w:val="es-ES_tradnl"/>
        </w:rPr>
        <w:t> </w:t>
      </w:r>
      <w:r w:rsidRPr="00751400">
        <w:rPr>
          <w:b/>
          <w:bCs/>
          <w:szCs w:val="24"/>
          <w:lang w:val="es-ES_tradnl"/>
        </w:rPr>
        <w:t>4.4</w:t>
      </w:r>
      <w:r w:rsidRPr="00751400">
        <w:rPr>
          <w:szCs w:val="24"/>
          <w:lang w:val="es-ES_tradnl"/>
        </w:rPr>
        <w:t xml:space="preserve">, la asignación seguirá inscrita en el MIFR a título informativo bajo las condiciones indicadas en el </w:t>
      </w:r>
      <w:r w:rsidR="00AF7287" w:rsidRPr="00AF7287">
        <w:rPr>
          <w:lang w:val="es-ES_tradnl"/>
        </w:rPr>
        <w:t>número</w:t>
      </w:r>
      <w:r w:rsidR="00B35150">
        <w:rPr>
          <w:i/>
          <w:iCs/>
          <w:lang w:val="es-ES_tradnl"/>
        </w:rPr>
        <w:t> </w:t>
      </w:r>
      <w:r w:rsidRPr="00751400">
        <w:rPr>
          <w:b/>
          <w:bCs/>
          <w:szCs w:val="24"/>
          <w:lang w:val="es-ES_tradnl"/>
        </w:rPr>
        <w:t>8.5</w:t>
      </w:r>
      <w:r w:rsidRPr="00751400">
        <w:rPr>
          <w:szCs w:val="24"/>
          <w:lang w:val="es-ES_tradnl"/>
        </w:rPr>
        <w:t>.</w:t>
      </w:r>
      <w:r w:rsidR="00340DF3">
        <w:rPr>
          <w:szCs w:val="24"/>
          <w:lang w:val="es-ES_tradnl"/>
        </w:rPr>
        <w:t xml:space="preserve"> </w:t>
      </w:r>
      <w:r w:rsidRPr="00751400">
        <w:rPr>
          <w:szCs w:val="24"/>
          <w:lang w:val="es-ES_tradnl"/>
        </w:rPr>
        <w:t xml:space="preserve">Con respecto a la aplicación de los procedimientos de coordinación pertinentes, la Oficina propondrá a la Administración notificante que suprima o vuelva a presentar la asignación para aplicar estos procedimientos. Con relación al examen en virtud del </w:t>
      </w:r>
      <w:r w:rsidR="00AF7287" w:rsidRPr="00AF7287">
        <w:rPr>
          <w:lang w:val="es-ES_tradnl"/>
        </w:rPr>
        <w:t>número</w:t>
      </w:r>
      <w:r w:rsidR="00B35150">
        <w:rPr>
          <w:i/>
          <w:iCs/>
          <w:lang w:val="es-ES_tradnl"/>
        </w:rPr>
        <w:t> </w:t>
      </w:r>
      <w:r w:rsidRPr="00751400">
        <w:rPr>
          <w:b/>
          <w:bCs/>
          <w:szCs w:val="24"/>
          <w:lang w:val="es-ES_tradnl"/>
        </w:rPr>
        <w:t>11.32</w:t>
      </w:r>
      <w:r w:rsidRPr="00751400">
        <w:rPr>
          <w:szCs w:val="24"/>
          <w:lang w:val="es-ES_tradnl"/>
        </w:rPr>
        <w:t>, se considerará que la asignación inscrita, con sus características sin modificar, ha completado satisfactoriamente, en la fecha de su inscripción original en el MIFR, los procedimientos de coordinación aplicables respecto a los servicios que tengan atribuciones con igualdad de derechos.</w:t>
      </w:r>
    </w:p>
    <w:p w14:paraId="311A54CA" w14:textId="5136E83F" w:rsidR="00E41FDD" w:rsidRDefault="00353B4B" w:rsidP="00171097">
      <w:pPr>
        <w:rPr>
          <w:lang w:val="es-ES_tradnl" w:eastAsia="zh-CN"/>
        </w:rPr>
      </w:pPr>
      <w:r w:rsidRPr="00751400">
        <w:rPr>
          <w:szCs w:val="24"/>
          <w:lang w:val="es-ES_tradnl" w:eastAsia="zh-CN"/>
        </w:rPr>
        <w:t>5</w:t>
      </w:r>
      <w:r w:rsidRPr="00751400">
        <w:rPr>
          <w:szCs w:val="24"/>
          <w:lang w:val="es-ES_tradnl"/>
        </w:rPr>
        <w:tab/>
      </w:r>
      <w:r w:rsidR="0062524A" w:rsidRPr="0062524A">
        <w:rPr>
          <w:lang w:val="es-ES_tradnl" w:eastAsia="zh-CN"/>
        </w:rPr>
        <w:t xml:space="preserve">Cuando un cambio en el Artículo </w:t>
      </w:r>
      <w:r w:rsidR="0062524A" w:rsidRPr="0062524A">
        <w:rPr>
          <w:b/>
          <w:bCs/>
          <w:lang w:val="es-ES_tradnl" w:eastAsia="zh-CN"/>
        </w:rPr>
        <w:t>5</w:t>
      </w:r>
      <w:r w:rsidR="0062524A" w:rsidRPr="0062524A">
        <w:rPr>
          <w:lang w:val="es-ES_tradnl" w:eastAsia="zh-CN"/>
        </w:rPr>
        <w:t xml:space="preserve"> tenga como consecuencia la atribución a un nuevo servicio o un incremento de la categoría de un servicio existente, la Oficina llamará la atención de la Administración notificante sobre la asignación inscrita correspondiente, que previamente tenía una categoría inferior o fue inscrita bajo las condiciones del número</w:t>
      </w:r>
      <w:r w:rsidR="00171097">
        <w:rPr>
          <w:lang w:val="es-ES_tradnl" w:eastAsia="zh-CN"/>
        </w:rPr>
        <w:t> </w:t>
      </w:r>
      <w:r w:rsidR="0062524A" w:rsidRPr="0062524A">
        <w:rPr>
          <w:b/>
          <w:bCs/>
          <w:lang w:val="es-ES_tradnl" w:eastAsia="zh-CN"/>
        </w:rPr>
        <w:t>4.4</w:t>
      </w:r>
      <w:r w:rsidR="0062524A" w:rsidRPr="0062524A">
        <w:rPr>
          <w:lang w:val="es-ES_tradnl" w:eastAsia="zh-CN"/>
        </w:rPr>
        <w:t xml:space="preserve"> y propondrá a la administración que presente una nueva asignación o sustituya la anterior. A la nueva asignación presentada se le aplicarán los procedimientos de coordinación correspondientes y no se le dará ninguna prioridad particular en este proceso. La categoría de la asignación debe aumentarse sólo si se satisfacen todas las disposiciones pertinentes del RR. </w:t>
      </w:r>
    </w:p>
    <w:p w14:paraId="07F30271" w14:textId="5578D394" w:rsidR="00E41FDD" w:rsidRDefault="0062524A" w:rsidP="00E41FDD">
      <w:pPr>
        <w:tabs>
          <w:tab w:val="left" w:pos="0"/>
          <w:tab w:val="left" w:pos="709"/>
          <w:tab w:val="left" w:pos="993"/>
        </w:tabs>
        <w:overflowPunct/>
        <w:textAlignment w:val="auto"/>
        <w:rPr>
          <w:lang w:val="es-ES_tradnl" w:eastAsia="zh-CN"/>
        </w:rPr>
      </w:pPr>
      <w:r w:rsidRPr="0062524A">
        <w:rPr>
          <w:lang w:val="es-ES_tradnl" w:eastAsia="zh-CN"/>
        </w:rPr>
        <w:t>Si además de resultar en una nueva atribución o en un incremento de la categoría de un servicio (S2), el cambio en el Artículo</w:t>
      </w:r>
      <w:r w:rsidR="00171097">
        <w:rPr>
          <w:lang w:val="es-ES_tradnl" w:eastAsia="zh-CN"/>
        </w:rPr>
        <w:t> </w:t>
      </w:r>
      <w:r w:rsidRPr="00AF7287">
        <w:rPr>
          <w:b/>
          <w:bCs/>
          <w:lang w:val="es-ES_tradnl" w:eastAsia="zh-CN"/>
        </w:rPr>
        <w:t>5</w:t>
      </w:r>
      <w:r w:rsidRPr="0062524A">
        <w:rPr>
          <w:lang w:val="es-ES_tradnl" w:eastAsia="zh-CN"/>
        </w:rPr>
        <w:t xml:space="preserve"> diese lugar al incremento de la categoría de otro servicio existente (S1) en la misma banda de frecuencias, la Oficina llamará la atención de la administración sobre sus asignaciones para el servicio S1 inscritas previamente en el Registro o recibidas para coordinación antes de la decisión de la Conferencia, y propondrá a la administración que presente una nuevas asignaciones para sustituir las anteriores dentro de un plazo límite de hasta cuatro meses. La Oficina considerará que a estas nuevas notificaciones de asignaciones a S1 recibidas dentro del plazo no se les tiene que aplicar el procedimiento de coordinación pertinente con las asignaciones al servicio S2 nuevo o cuya categoría se ha incrementado.</w:t>
      </w:r>
    </w:p>
    <w:p w14:paraId="10B15244" w14:textId="49F97400" w:rsidR="00353B4B" w:rsidRDefault="00353B4B" w:rsidP="00171097">
      <w:pPr>
        <w:rPr>
          <w:lang w:val="es-ES_tradnl" w:eastAsia="zh-CN"/>
        </w:rPr>
      </w:pPr>
      <w:r w:rsidRPr="00751400">
        <w:rPr>
          <w:lang w:val="es-ES_tradnl" w:eastAsia="zh-CN"/>
        </w:rPr>
        <w:t>6</w:t>
      </w:r>
      <w:r w:rsidRPr="00751400">
        <w:rPr>
          <w:lang w:val="es-ES_tradnl" w:eastAsia="zh-CN"/>
        </w:rPr>
        <w:tab/>
        <w:t xml:space="preserve">Cuando un cambio en el Artículo </w:t>
      </w:r>
      <w:r w:rsidRPr="00A8003B">
        <w:rPr>
          <w:b/>
          <w:bCs/>
          <w:lang w:val="es-ES_tradnl" w:eastAsia="zh-CN"/>
        </w:rPr>
        <w:t xml:space="preserve">5 </w:t>
      </w:r>
      <w:r w:rsidRPr="00751400">
        <w:rPr>
          <w:lang w:val="es-ES_tradnl" w:eastAsia="zh-CN"/>
        </w:rPr>
        <w:t xml:space="preserve">tenga como consecuencia la modificación de las condiciones de una atribución sin modificar la categoría de la misma (por ejemplo, restricciones reglamentarias/técnicas adicionales o procedimientos de coordinación nuevos/modificados), las conclusiones originales de la asignación inscrita pueden mantenerse únicamente sujetas a la conformidad con las nuevas condiciones. </w:t>
      </w:r>
      <w:r>
        <w:rPr>
          <w:lang w:val="es-ES_tradnl" w:eastAsia="zh-CN"/>
        </w:rPr>
        <w:t>En ese caso, la Oficina pedirá a la Administración notificante si las características de la asignación serán modificadas para cumplir las nuevas condiciones. Si la Administración notificante no responde al pedido de la Oficina (véase el apartado</w:t>
      </w:r>
      <w:r w:rsidR="00B35150">
        <w:rPr>
          <w:lang w:val="es-ES_tradnl" w:eastAsia="zh-CN"/>
        </w:rPr>
        <w:t> </w:t>
      </w:r>
      <w:r>
        <w:rPr>
          <w:lang w:val="es-ES_tradnl" w:eastAsia="zh-CN"/>
        </w:rPr>
        <w:t xml:space="preserve">2 </w:t>
      </w:r>
      <w:r w:rsidRPr="00C96384">
        <w:rPr>
          <w:lang w:val="es-ES_tradnl" w:eastAsia="zh-CN"/>
        </w:rPr>
        <w:t>supra</w:t>
      </w:r>
      <w:r>
        <w:rPr>
          <w:lang w:val="es-ES_tradnl" w:eastAsia="zh-CN"/>
        </w:rPr>
        <w:t>) o s</w:t>
      </w:r>
      <w:r w:rsidRPr="00C96384">
        <w:rPr>
          <w:lang w:val="es-ES_tradnl" w:eastAsia="zh-CN"/>
        </w:rPr>
        <w:t>i</w:t>
      </w:r>
      <w:r w:rsidRPr="00751400">
        <w:rPr>
          <w:lang w:val="es-ES_tradnl" w:eastAsia="zh-CN"/>
        </w:rPr>
        <w:t xml:space="preserve"> no se satisfacen las condiciones, la Oficina propondrá a la Administración notificante suprimir la asignación</w:t>
      </w:r>
      <w:r>
        <w:rPr>
          <w:lang w:val="es-ES_tradnl" w:eastAsia="zh-CN"/>
        </w:rPr>
        <w:t>.</w:t>
      </w:r>
      <w:r w:rsidRPr="00751400">
        <w:rPr>
          <w:lang w:val="es-ES_tradnl" w:eastAsia="zh-CN"/>
        </w:rPr>
        <w:t xml:space="preserve">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lang w:val="es-ES_tradnl" w:eastAsia="zh-CN"/>
        </w:rPr>
        <w:t>4.4</w:t>
      </w:r>
      <w:r w:rsidRPr="00751400">
        <w:rPr>
          <w:lang w:val="es-ES_tradnl" w:eastAsia="zh-CN"/>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lang w:val="es-ES_tradnl" w:eastAsia="zh-CN"/>
        </w:rPr>
        <w:t>8.5</w:t>
      </w:r>
      <w:r w:rsidRPr="00751400">
        <w:rPr>
          <w:lang w:val="es-ES_tradnl" w:eastAsia="zh-CN"/>
        </w:rPr>
        <w:t>.</w:t>
      </w:r>
    </w:p>
    <w:p w14:paraId="01E41213" w14:textId="2ADB7FB8" w:rsidR="00B35150" w:rsidRDefault="00B35150" w:rsidP="00B35150">
      <w:pPr>
        <w:tabs>
          <w:tab w:val="left" w:pos="0"/>
          <w:tab w:val="left" w:pos="709"/>
          <w:tab w:val="left" w:pos="993"/>
        </w:tabs>
        <w:overflowPunct/>
        <w:textAlignment w:val="auto"/>
        <w:rPr>
          <w:lang w:val="es-ES_tradnl" w:eastAsia="zh-CN"/>
        </w:rPr>
      </w:pPr>
      <w:r>
        <w:rPr>
          <w:lang w:val="es-ES_tradnl" w:eastAsia="zh-CN"/>
        </w:rPr>
        <w:br w:type="page"/>
      </w:r>
    </w:p>
    <w:p w14:paraId="7DADAA6E" w14:textId="77777777" w:rsidR="00353B4B" w:rsidRPr="00751400" w:rsidRDefault="00353B4B" w:rsidP="00AF7287">
      <w:pPr>
        <w:tabs>
          <w:tab w:val="left" w:pos="0"/>
          <w:tab w:val="left" w:pos="284"/>
        </w:tabs>
        <w:overflowPunct/>
        <w:textAlignment w:val="auto"/>
        <w:rPr>
          <w:szCs w:val="24"/>
          <w:lang w:val="es-ES_tradnl" w:eastAsia="zh-CN"/>
        </w:rPr>
      </w:pPr>
      <w:r w:rsidRPr="00751400">
        <w:rPr>
          <w:szCs w:val="24"/>
          <w:lang w:val="es-ES_tradnl" w:eastAsia="zh-CN"/>
        </w:rPr>
        <w:lastRenderedPageBreak/>
        <w:t xml:space="preserve">En relación al examen de las asignaciones de frecuencia con respeto a su conformidad con un plan mundial o regional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 xml:space="preserve">, cuando las condiciones del plan aplicable se modifican, las conclusiones originales de la asignación inscrita pueden mantenerse únicamente sujetas a la conformidad con las nuevas condiciones. Si no se han satisfecho las condiciones, la asignación correspondiente puede mantenerse en el MIFR con conclusión desfavorable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w:t>
      </w:r>
    </w:p>
    <w:p w14:paraId="0A7032DA" w14:textId="4D391A94" w:rsidR="00353B4B" w:rsidRPr="00751400" w:rsidRDefault="00353B4B" w:rsidP="00171097">
      <w:pPr>
        <w:rPr>
          <w:lang w:val="es-ES_tradnl" w:eastAsia="zh-CN"/>
        </w:rPr>
      </w:pPr>
      <w:r w:rsidRPr="00751400">
        <w:rPr>
          <w:lang w:val="es-ES_tradnl" w:eastAsia="zh-CN"/>
        </w:rPr>
        <w:t>7</w:t>
      </w:r>
      <w:r w:rsidRPr="00751400">
        <w:rPr>
          <w:lang w:val="es-ES_tradnl" w:eastAsia="zh-CN"/>
        </w:rPr>
        <w:tab/>
        <w:t xml:space="preserve">La Junta observó que el Artículo </w:t>
      </w:r>
      <w:r w:rsidRPr="00A8003B">
        <w:rPr>
          <w:b/>
          <w:bCs/>
          <w:lang w:val="es-ES_tradnl" w:eastAsia="zh-CN"/>
        </w:rPr>
        <w:t>5</w:t>
      </w:r>
      <w:r w:rsidRPr="00751400">
        <w:rPr>
          <w:lang w:val="es-ES_tradnl" w:eastAsia="zh-CN"/>
        </w:rPr>
        <w:t xml:space="preserve"> contiene un cierto número de disposiciones bajo las cuales una </w:t>
      </w:r>
      <w:r w:rsidRPr="006050D0">
        <w:rPr>
          <w:lang w:val="es-ES_tradnl" w:eastAsia="zh-CN"/>
        </w:rPr>
        <w:t>atribución</w:t>
      </w:r>
      <w:r w:rsidRPr="00751400">
        <w:rPr>
          <w:lang w:val="es-ES_tradnl" w:eastAsia="zh-CN"/>
        </w:rPr>
        <w:t xml:space="preserve"> a un servicio de radiocomunicaciones está sujeta a la obtención del acuerdo de las administraciones correspondientes, por ejemplo, </w:t>
      </w:r>
      <w:r w:rsidR="00AF7287" w:rsidRPr="00AF7287">
        <w:rPr>
          <w:lang w:val="es-ES_tradnl"/>
        </w:rPr>
        <w:t>número</w:t>
      </w:r>
      <w:r w:rsidR="00171097">
        <w:rPr>
          <w:i/>
          <w:iCs/>
          <w:lang w:val="es-ES_tradnl"/>
        </w:rPr>
        <w:t> </w:t>
      </w:r>
      <w:r w:rsidRPr="00A8003B">
        <w:rPr>
          <w:b/>
          <w:bCs/>
          <w:lang w:val="es-ES_tradnl" w:eastAsia="zh-CN"/>
        </w:rPr>
        <w:t>5.175</w:t>
      </w:r>
      <w:r w:rsidRPr="00751400">
        <w:rPr>
          <w:lang w:val="es-ES_tradnl" w:eastAsia="zh-CN"/>
        </w:rPr>
        <w:t xml:space="preserve">, </w:t>
      </w:r>
      <w:r w:rsidR="00AF7287" w:rsidRPr="00AF7287">
        <w:rPr>
          <w:lang w:val="es-ES_tradnl"/>
        </w:rPr>
        <w:t>número</w:t>
      </w:r>
      <w:r w:rsidR="00171097" w:rsidRPr="00171097">
        <w:rPr>
          <w:lang w:val="es-ES"/>
        </w:rPr>
        <w:t> </w:t>
      </w:r>
      <w:r w:rsidRPr="00A8003B">
        <w:rPr>
          <w:b/>
          <w:bCs/>
          <w:lang w:val="es-ES_tradnl" w:eastAsia="zh-CN"/>
        </w:rPr>
        <w:t>5.188</w:t>
      </w:r>
      <w:r w:rsidRPr="00751400">
        <w:rPr>
          <w:lang w:val="es-ES_tradnl" w:eastAsia="zh-CN"/>
        </w:rPr>
        <w:t xml:space="preserve">, etc., sin </w:t>
      </w:r>
      <w:r>
        <w:rPr>
          <w:lang w:val="es-ES_tradnl" w:eastAsia="zh-CN"/>
        </w:rPr>
        <w:t xml:space="preserve">que se haga mención </w:t>
      </w:r>
      <w:proofErr w:type="gramStart"/>
      <w:r>
        <w:rPr>
          <w:lang w:val="es-ES_tradnl" w:eastAsia="zh-CN"/>
        </w:rPr>
        <w:t>al</w:t>
      </w:r>
      <w:proofErr w:type="gramEnd"/>
      <w:r w:rsidRPr="00751400">
        <w:rPr>
          <w:lang w:val="es-ES_tradnl" w:eastAsia="zh-CN"/>
        </w:rPr>
        <w:t xml:space="preserve"> </w:t>
      </w:r>
      <w:r w:rsidR="00AF7287" w:rsidRPr="00AF7287">
        <w:rPr>
          <w:lang w:val="es-ES_tradnl"/>
        </w:rPr>
        <w:t>número</w:t>
      </w:r>
      <w:r w:rsidR="00AF7287" w:rsidRPr="00DE1E30">
        <w:rPr>
          <w:i/>
          <w:iCs/>
          <w:lang w:val="es-ES_tradnl"/>
        </w:rPr>
        <w:t xml:space="preserve"> </w:t>
      </w:r>
      <w:r w:rsidRPr="00751400">
        <w:rPr>
          <w:b/>
          <w:bCs/>
          <w:lang w:val="es-ES_tradnl" w:eastAsia="zh-CN"/>
        </w:rPr>
        <w:t>9.21</w:t>
      </w:r>
      <w:r w:rsidRPr="00751400">
        <w:rPr>
          <w:lang w:val="es-ES_tradnl" w:eastAsia="zh-CN"/>
        </w:rPr>
        <w:t>. La obtención de dicho acuerdo no está regulada por los procedimientos del Artículo</w:t>
      </w:r>
      <w:r w:rsidR="00171097">
        <w:rPr>
          <w:lang w:val="es-ES_tradnl" w:eastAsia="zh-CN"/>
        </w:rPr>
        <w:t> </w:t>
      </w:r>
      <w:r w:rsidRPr="00A8003B">
        <w:rPr>
          <w:b/>
          <w:bCs/>
          <w:lang w:val="es-ES_tradnl" w:eastAsia="zh-CN"/>
        </w:rPr>
        <w:t>9</w:t>
      </w:r>
      <w:r w:rsidRPr="00751400">
        <w:rPr>
          <w:lang w:val="es-ES_tradnl" w:eastAsia="zh-CN"/>
        </w:rPr>
        <w:t xml:space="preserve"> ni por las Reglas de Procedimiento y debe resolverse directamente entre las administraciones implicadas. Además, al examinar las notificaciones de asignaciones de frecuencia pertinentes, la Oficina no verifica dichos acuerdos. En el contexto anterior, la Junta decidió que en el caso de un examen de las conclusiones sobre las asignaciones pertinentes, la Oficina no deberá tener en cuenta la presencia o ausencia de acuerdos de otras administraciones al formular nuevas conclusiones.</w:t>
      </w:r>
    </w:p>
    <w:p w14:paraId="0D5B9676" w14:textId="3CE51988" w:rsidR="00353B4B" w:rsidRPr="00751400" w:rsidRDefault="00353B4B" w:rsidP="00171097">
      <w:pPr>
        <w:rPr>
          <w:lang w:val="es-ES_tradnl" w:eastAsia="zh-CN"/>
        </w:rPr>
      </w:pPr>
      <w:r w:rsidRPr="00751400">
        <w:rPr>
          <w:lang w:val="es-ES_tradnl" w:eastAsia="zh-CN"/>
        </w:rPr>
        <w:t>8</w:t>
      </w:r>
      <w:r w:rsidRPr="00751400">
        <w:rPr>
          <w:lang w:val="es-ES_tradnl" w:eastAsia="zh-CN"/>
        </w:rPr>
        <w:tab/>
        <w:t>Tras completar la revisión de las conclusiones, las asignaciones de frecuencia correspondientes junto con las conclusiones modificadas se publicarán en las Partes de la BR IFIC pertinentes y se incluirá una nota informativa en la BR IFIC llamando la atención de las administraciones sobre la revisión de las conclusiones y explicando los motivos y el contenido de los cambios.</w:t>
      </w:r>
    </w:p>
    <w:p w14:paraId="0DA7E85D" w14:textId="66376767" w:rsidR="00A60C28" w:rsidRDefault="00A60C28" w:rsidP="00353B4B">
      <w:pPr>
        <w:jc w:val="center"/>
        <w:rPr>
          <w:lang w:val="es-ES_tradnl"/>
        </w:rPr>
      </w:pPr>
      <w:r w:rsidRPr="003667EC">
        <w:rPr>
          <w:lang w:val="es-ES_tradnl"/>
        </w:rPr>
        <w:t>_________________</w:t>
      </w:r>
    </w:p>
    <w:p w14:paraId="7686D320" w14:textId="5C216F22" w:rsidR="00171097" w:rsidRDefault="00171097" w:rsidP="00171097">
      <w:pPr>
        <w:rPr>
          <w:lang w:val="es-ES_tradnl"/>
        </w:rPr>
      </w:pPr>
    </w:p>
    <w:p w14:paraId="09B158AD" w14:textId="3196525A" w:rsidR="00171097" w:rsidRDefault="00171097" w:rsidP="00171097">
      <w:pPr>
        <w:rPr>
          <w:lang w:val="es-ES_tradnl"/>
        </w:rPr>
      </w:pPr>
    </w:p>
    <w:p w14:paraId="6EE21E82" w14:textId="0DE450C0" w:rsidR="00171097" w:rsidRDefault="00171097" w:rsidP="00171097">
      <w:pPr>
        <w:rPr>
          <w:lang w:val="es-ES_tradnl"/>
        </w:rPr>
      </w:pPr>
    </w:p>
    <w:p w14:paraId="0AFA9059" w14:textId="5466FCFF" w:rsidR="00171097" w:rsidRDefault="00171097" w:rsidP="00171097">
      <w:pPr>
        <w:rPr>
          <w:lang w:val="es-ES_tradnl"/>
        </w:rPr>
      </w:pPr>
    </w:p>
    <w:p w14:paraId="0E04991B" w14:textId="52A780DC" w:rsidR="00171097" w:rsidRDefault="00171097" w:rsidP="00171097">
      <w:pPr>
        <w:rPr>
          <w:lang w:val="es-ES_tradnl"/>
        </w:rPr>
      </w:pPr>
    </w:p>
    <w:p w14:paraId="7F0748C4" w14:textId="052B53D2" w:rsidR="00171097" w:rsidRDefault="00171097" w:rsidP="00171097">
      <w:pPr>
        <w:rPr>
          <w:lang w:val="es-ES_tradnl"/>
        </w:rPr>
      </w:pPr>
    </w:p>
    <w:p w14:paraId="4F127B6A" w14:textId="77777777" w:rsidR="00397807" w:rsidRDefault="00397807" w:rsidP="00171097">
      <w:pPr>
        <w:rPr>
          <w:lang w:val="es-ES_tradnl"/>
        </w:rPr>
      </w:pPr>
    </w:p>
    <w:p w14:paraId="130A80A2" w14:textId="3CF0686A" w:rsidR="00171097" w:rsidRDefault="00171097" w:rsidP="00171097">
      <w:pPr>
        <w:rPr>
          <w:lang w:val="es-ES_tradnl"/>
        </w:rPr>
      </w:pPr>
    </w:p>
    <w:p w14:paraId="6DE278CE" w14:textId="38721A1D" w:rsidR="00171097" w:rsidRDefault="00171097" w:rsidP="00171097">
      <w:pPr>
        <w:rPr>
          <w:lang w:val="es-ES_tradnl"/>
        </w:rPr>
      </w:pPr>
    </w:p>
    <w:p w14:paraId="0C609BB0" w14:textId="11071A08" w:rsidR="00171097" w:rsidRDefault="00171097" w:rsidP="00171097">
      <w:pPr>
        <w:rPr>
          <w:lang w:val="es-ES_tradnl"/>
        </w:rPr>
      </w:pPr>
    </w:p>
    <w:p w14:paraId="68E7D28C" w14:textId="77777777" w:rsidR="00171097" w:rsidRPr="003667EC" w:rsidRDefault="00171097" w:rsidP="00171097">
      <w:pPr>
        <w:rPr>
          <w:lang w:val="es-ES_tradnl"/>
        </w:rPr>
      </w:pPr>
    </w:p>
    <w:p w14:paraId="7D89F3CD" w14:textId="77777777" w:rsidR="003667EC" w:rsidRPr="003667EC" w:rsidRDefault="003667EC">
      <w:pPr>
        <w:rPr>
          <w:color w:val="000000"/>
          <w:lang w:val="es-ES_tradnl"/>
        </w:rPr>
      </w:pPr>
    </w:p>
    <w:p w14:paraId="305AEC45" w14:textId="77777777" w:rsidR="00A60C28" w:rsidRPr="003667EC" w:rsidRDefault="00A60C28">
      <w:pPr>
        <w:rPr>
          <w:color w:val="000000"/>
          <w:lang w:val="es-ES_tradnl"/>
        </w:rPr>
        <w:sectPr w:rsidR="00A60C28" w:rsidRPr="003667EC" w:rsidSect="00243C1F">
          <w:headerReference w:type="even" r:id="rId29"/>
          <w:headerReference w:type="default" r:id="rId30"/>
          <w:footnotePr>
            <w:pos w:val="beneathText"/>
            <w:numFmt w:val="chicago"/>
          </w:footnotePr>
          <w:pgSz w:w="11907" w:h="16840" w:code="9"/>
          <w:pgMar w:top="1701" w:right="851" w:bottom="1134" w:left="1985" w:header="720" w:footer="482" w:gutter="0"/>
          <w:cols w:space="720"/>
          <w:vAlign w:val="both"/>
        </w:sectPr>
      </w:pPr>
    </w:p>
    <w:p w14:paraId="2B26E304" w14:textId="77777777" w:rsidR="00A60C28" w:rsidRPr="003667EC" w:rsidRDefault="00A60C28">
      <w:pPr>
        <w:rPr>
          <w:lang w:val="es-ES_tradnl"/>
        </w:rPr>
      </w:pPr>
    </w:p>
    <w:sectPr w:rsidR="00A60C28" w:rsidRPr="003667EC" w:rsidSect="009C54F8">
      <w:headerReference w:type="even" r:id="rId31"/>
      <w:headerReference w:type="default" r:id="rId32"/>
      <w:headerReference w:type="first" r:id="rId3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6351A" w14:textId="77777777" w:rsidR="006278BA" w:rsidRDefault="006278BA">
      <w:r>
        <w:separator/>
      </w:r>
    </w:p>
  </w:endnote>
  <w:endnote w:type="continuationSeparator" w:id="0">
    <w:p w14:paraId="0DD79896" w14:textId="77777777" w:rsidR="006278BA" w:rsidRDefault="0062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40F9F" w14:textId="77777777" w:rsidR="006278BA" w:rsidRDefault="006278BA">
      <w:r>
        <w:rPr>
          <w:b/>
        </w:rPr>
        <w:t>_______________</w:t>
      </w:r>
    </w:p>
  </w:footnote>
  <w:footnote w:type="continuationSeparator" w:id="0">
    <w:p w14:paraId="0FC3817B" w14:textId="77777777" w:rsidR="006278BA" w:rsidRDefault="006278BA">
      <w:r>
        <w:continuationSeparator/>
      </w:r>
    </w:p>
  </w:footnote>
  <w:footnote w:id="1">
    <w:p w14:paraId="3E0905F4" w14:textId="77777777" w:rsidR="007303BC" w:rsidRDefault="007303BC" w:rsidP="007E3FFE">
      <w:pPr>
        <w:pStyle w:val="FootnoteText"/>
        <w:rPr>
          <w:color w:val="000000"/>
          <w:lang w:val="es-ES"/>
        </w:rPr>
      </w:pPr>
      <w:r>
        <w:rPr>
          <w:rStyle w:val="FootnoteReference"/>
          <w:color w:val="000000"/>
          <w:lang w:val="es-ES"/>
        </w:rPr>
        <w:t>1</w:t>
      </w:r>
      <w:r>
        <w:rPr>
          <w:color w:val="000000"/>
          <w:lang w:val="es-ES"/>
        </w:rPr>
        <w:tab/>
        <w:t>No se notificarán las frecuencias de uso común indicadas en el Capítulo VI del Prefacio de la LIF.</w:t>
      </w:r>
    </w:p>
  </w:footnote>
  <w:footnote w:id="2">
    <w:p w14:paraId="7B3631E3" w14:textId="77777777" w:rsidR="007303BC" w:rsidRDefault="007303BC" w:rsidP="007E3FFE">
      <w:pPr>
        <w:pStyle w:val="FootnoteText"/>
        <w:rPr>
          <w:color w:val="000000"/>
          <w:lang w:val="es-ES"/>
        </w:rPr>
      </w:pPr>
      <w:r>
        <w:rPr>
          <w:rStyle w:val="FootnoteReference"/>
          <w:color w:val="000000"/>
          <w:lang w:val="es-ES"/>
        </w:rPr>
        <w:t>2</w:t>
      </w:r>
      <w:r>
        <w:rPr>
          <w:color w:val="000000"/>
          <w:lang w:val="es-ES"/>
        </w:rPr>
        <w:tab/>
        <w:t>No se notificarán las asignaciones de frecuencia a estaciones en el servicio de radioaficionados (número </w:t>
      </w:r>
      <w:r>
        <w:rPr>
          <w:rStyle w:val="Artref"/>
          <w:b/>
          <w:bCs/>
          <w:color w:val="000000"/>
          <w:lang w:val="es-ES"/>
        </w:rPr>
        <w:t>11.14</w:t>
      </w:r>
      <w:r>
        <w:rPr>
          <w:color w:val="000000"/>
          <w:lang w:val="es-ES"/>
        </w:rPr>
        <w:t>).</w:t>
      </w:r>
    </w:p>
  </w:footnote>
  <w:footnote w:id="3">
    <w:p w14:paraId="6924BFE8" w14:textId="77777777" w:rsidR="007303BC" w:rsidRDefault="007303BC">
      <w:pPr>
        <w:pStyle w:val="FootnoteText"/>
        <w:rPr>
          <w:color w:val="000000"/>
          <w:lang w:val="es-ES"/>
        </w:rPr>
      </w:pPr>
      <w:r>
        <w:rPr>
          <w:rStyle w:val="FootnoteReference"/>
          <w:color w:val="000000"/>
          <w:lang w:val="es-ES"/>
        </w:rPr>
        <w:t>3</w:t>
      </w:r>
      <w:r>
        <w:rPr>
          <w:color w:val="000000"/>
          <w:lang w:val="es-ES"/>
        </w:rPr>
        <w:tab/>
        <w:t>No se notificarán, en virtud del Artículo </w:t>
      </w:r>
      <w:r>
        <w:rPr>
          <w:rStyle w:val="Artref"/>
          <w:b/>
          <w:bCs/>
          <w:color w:val="000000"/>
          <w:lang w:val="es-ES"/>
        </w:rPr>
        <w:t>11</w:t>
      </w:r>
      <w:r>
        <w:rPr>
          <w:color w:val="000000"/>
          <w:lang w:val="es-ES"/>
        </w:rPr>
        <w:t>, las asignaciones de frecuencia a las estaciones de radiodifusión en las bandas de alta frecuencia atribuidas al servicio de radiodifusión entre 5</w:t>
      </w:r>
      <w:r>
        <w:rPr>
          <w:rFonts w:ascii="Tms Rmn" w:hAnsi="Tms Rmn"/>
          <w:color w:val="000000"/>
          <w:sz w:val="12"/>
          <w:lang w:val="es-ES"/>
        </w:rPr>
        <w:t> </w:t>
      </w:r>
      <w:r>
        <w:rPr>
          <w:color w:val="000000"/>
          <w:lang w:val="es-ES"/>
        </w:rPr>
        <w:t>900 kHz y 26</w:t>
      </w:r>
      <w:r>
        <w:rPr>
          <w:rFonts w:ascii="Tms Rmn" w:hAnsi="Tms Rmn"/>
          <w:color w:val="000000"/>
          <w:sz w:val="12"/>
          <w:lang w:val="es-ES"/>
        </w:rPr>
        <w:t> </w:t>
      </w:r>
      <w:r>
        <w:rPr>
          <w:color w:val="000000"/>
          <w:lang w:val="es-ES"/>
        </w:rPr>
        <w:t>100 kHz, que están sujetas al procedimiento del Artículo </w:t>
      </w:r>
      <w:r>
        <w:rPr>
          <w:rStyle w:val="Artref"/>
          <w:b/>
          <w:bCs/>
          <w:color w:val="000000"/>
          <w:lang w:val="es-ES"/>
        </w:rPr>
        <w:t>12</w:t>
      </w:r>
      <w:r>
        <w:rPr>
          <w:color w:val="000000"/>
          <w:lang w:val="es-ES"/>
        </w:rPr>
        <w:t xml:space="preserve"> (véase el número </w:t>
      </w:r>
      <w:r>
        <w:rPr>
          <w:rStyle w:val="Artref"/>
          <w:b/>
          <w:bCs/>
          <w:color w:val="000000"/>
          <w:lang w:val="es-ES"/>
        </w:rPr>
        <w:t>11.14</w:t>
      </w:r>
      <w:r>
        <w:rPr>
          <w:color w:val="000000"/>
          <w:lang w:val="es-ES"/>
        </w:rPr>
        <w:t>).</w:t>
      </w:r>
    </w:p>
  </w:footnote>
  <w:footnote w:id="4">
    <w:p w14:paraId="41E31D98" w14:textId="77777777" w:rsidR="007303BC" w:rsidRDefault="007303BC" w:rsidP="007E3FFE">
      <w:pPr>
        <w:pStyle w:val="FootnoteText"/>
        <w:rPr>
          <w:lang w:val="es-ES"/>
        </w:rPr>
      </w:pPr>
      <w:r>
        <w:rPr>
          <w:rStyle w:val="FootnoteReference"/>
          <w:lang w:val="es-ES"/>
        </w:rPr>
        <w:t>4</w:t>
      </w:r>
      <w:r>
        <w:rPr>
          <w:lang w:val="es-ES"/>
        </w:rPr>
        <w:tab/>
      </w:r>
      <w:r>
        <w:rPr>
          <w:color w:val="000000"/>
          <w:lang w:val="es-ES"/>
        </w:rPr>
        <w:t>La p.i.r.e. indicada en los Cuadros 8c y 8d del Apéndice </w:t>
      </w:r>
      <w:r>
        <w:rPr>
          <w:rStyle w:val="Appref"/>
          <w:b/>
          <w:bCs/>
          <w:color w:val="000000"/>
          <w:lang w:val="es-ES"/>
        </w:rPr>
        <w:t>7</w:t>
      </w:r>
      <w:r>
        <w:rPr>
          <w:color w:val="000000"/>
          <w:lang w:val="es-ES"/>
        </w:rPr>
        <w:t xml:space="preserve"> se obtiene a partir de una p.i.r.e. total de 55 dBW.</w:t>
      </w:r>
    </w:p>
  </w:footnote>
  <w:footnote w:id="5">
    <w:p w14:paraId="35BB6336" w14:textId="7E52D31A" w:rsidR="00676A4C" w:rsidRPr="00594CF0" w:rsidRDefault="007303BC" w:rsidP="00594CF0">
      <w:pPr>
        <w:pStyle w:val="FootnoteText"/>
        <w:spacing w:before="0"/>
        <w:rPr>
          <w:color w:val="000000"/>
          <w:lang w:val="es-ES"/>
        </w:rPr>
      </w:pPr>
      <w:r>
        <w:rPr>
          <w:rStyle w:val="FootnoteReference"/>
          <w:lang w:val="es-ES"/>
        </w:rPr>
        <w:t>5</w:t>
      </w:r>
      <w:r>
        <w:rPr>
          <w:lang w:val="es-ES"/>
        </w:rPr>
        <w:tab/>
      </w:r>
      <w:r>
        <w:rPr>
          <w:color w:val="000000"/>
          <w:lang w:val="es-ES"/>
        </w:rPr>
        <w:t xml:space="preserve">Respecto a la aplicación de esta disposición a las asignaciones del SRS, véanse los comentarios de las Reglas de Procedimiento relativas a </w:t>
      </w:r>
      <w:r w:rsidR="001926B4">
        <w:rPr>
          <w:color w:val="000000"/>
          <w:lang w:val="es-ES"/>
        </w:rPr>
        <w:t xml:space="preserve">los </w:t>
      </w:r>
      <w:r>
        <w:rPr>
          <w:color w:val="000000"/>
          <w:lang w:val="es-ES"/>
        </w:rPr>
        <w:t>número</w:t>
      </w:r>
      <w:r w:rsidR="001926B4">
        <w:rPr>
          <w:color w:val="000000"/>
          <w:lang w:val="es-ES"/>
        </w:rPr>
        <w:t>s</w:t>
      </w:r>
      <w:r>
        <w:rPr>
          <w:color w:val="000000"/>
          <w:lang w:val="es-ES"/>
        </w:rPr>
        <w:t> </w:t>
      </w:r>
      <w:r>
        <w:rPr>
          <w:rStyle w:val="Artref"/>
          <w:b/>
          <w:bCs/>
          <w:color w:val="000000"/>
          <w:lang w:val="es-ES"/>
        </w:rPr>
        <w:t>23.13</w:t>
      </w:r>
      <w:r w:rsidR="001926B4">
        <w:rPr>
          <w:rStyle w:val="Artref"/>
          <w:b/>
          <w:bCs/>
          <w:color w:val="000000"/>
          <w:lang w:val="es-ES"/>
        </w:rPr>
        <w:t xml:space="preserve">B </w:t>
      </w:r>
      <w:r w:rsidR="001926B4" w:rsidRPr="001926B4">
        <w:rPr>
          <w:rStyle w:val="Artref"/>
          <w:color w:val="000000"/>
          <w:lang w:val="es-ES"/>
        </w:rPr>
        <w:t>y</w:t>
      </w:r>
      <w:r w:rsidR="001926B4">
        <w:rPr>
          <w:rStyle w:val="Artref"/>
          <w:b/>
          <w:bCs/>
          <w:color w:val="000000"/>
          <w:lang w:val="es-ES"/>
        </w:rPr>
        <w:t xml:space="preserve"> 23.13C</w:t>
      </w:r>
      <w:r>
        <w:rPr>
          <w:color w:val="000000"/>
          <w:lang w:val="es-ES"/>
        </w:rPr>
        <w:t>.</w:t>
      </w:r>
    </w:p>
  </w:footnote>
  <w:footnote w:id="6">
    <w:p w14:paraId="4A8A7FAA" w14:textId="77777777" w:rsidR="007303BC" w:rsidRDefault="007303BC" w:rsidP="00F064A9">
      <w:pPr>
        <w:pStyle w:val="FootnoteText"/>
        <w:rPr>
          <w:lang w:val="es-ES"/>
        </w:rPr>
      </w:pPr>
      <w:r>
        <w:rPr>
          <w:rStyle w:val="FootnoteReference"/>
          <w:lang w:val="es-ES"/>
        </w:rPr>
        <w:t>6</w:t>
      </w:r>
      <w:r>
        <w:rPr>
          <w:lang w:val="es-ES"/>
        </w:rPr>
        <w:t xml:space="preserve"> </w:t>
      </w:r>
      <w:r>
        <w:rPr>
          <w:lang w:val="es-ES"/>
        </w:rPr>
        <w:tab/>
      </w:r>
      <w:r>
        <w:rPr>
          <w:color w:val="000000"/>
          <w:lang w:val="es-ES"/>
        </w:rPr>
        <w:t>En las bandas compartidas por los servicios de radiocomunicaciones terrenales y espaciales, la adminis</w:t>
      </w:r>
      <w:r>
        <w:rPr>
          <w:color w:val="000000"/>
          <w:lang w:val="es-ES"/>
        </w:rPr>
        <w:softHyphen/>
        <w:t>tración puede utilizar repetidores pasivos en el servicio fijo (sistemas de relevadores radioeléctricos). Si bien en general el repetidor pasivo está próximo a la estación transmisora o receptora, normalmente supone un impor</w:t>
      </w:r>
      <w:r>
        <w:rPr>
          <w:color w:val="000000"/>
          <w:lang w:val="es-ES"/>
        </w:rPr>
        <w:softHyphen/>
        <w:t>tante cambio en la orientación de la radiación máxima que puede afectar aún más a la órbita; por este motivo, la Junta decidió que se pedirá a las administraciones que notifiquen ambas partes en el enlace como estaciones separadas, es decir, estaciones transmisoras a repetidor pasivo y repetidor pasivo a estaciones receptoras, y que cada una de estas notificaciones, que contienen información de conformidad con el Apéndice </w:t>
      </w:r>
      <w:r>
        <w:rPr>
          <w:rStyle w:val="Appref"/>
          <w:b/>
          <w:bCs/>
          <w:color w:val="000000"/>
          <w:lang w:val="es-ES"/>
        </w:rPr>
        <w:t>4</w:t>
      </w:r>
      <w:r>
        <w:rPr>
          <w:color w:val="000000"/>
          <w:lang w:val="es-ES"/>
        </w:rPr>
        <w:t>, se trate como una asignación distinta que representa una estación distinta.</w:t>
      </w:r>
    </w:p>
  </w:footnote>
  <w:footnote w:id="7">
    <w:p w14:paraId="3E508642"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7</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21.11</w:t>
      </w:r>
      <w:r w:rsidRPr="002C5784">
        <w:rPr>
          <w:color w:val="000000"/>
          <w:sz w:val="16"/>
          <w:szCs w:val="16"/>
          <w:lang w:val="es-ES"/>
        </w:rPr>
        <w:t>.</w:t>
      </w:r>
    </w:p>
  </w:footnote>
  <w:footnote w:id="8">
    <w:p w14:paraId="323B623A"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8</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21.14</w:t>
      </w:r>
      <w:r w:rsidRPr="002C5784">
        <w:rPr>
          <w:color w:val="000000"/>
          <w:sz w:val="16"/>
          <w:szCs w:val="16"/>
          <w:lang w:val="es-ES"/>
        </w:rPr>
        <w:t>.</w:t>
      </w:r>
    </w:p>
  </w:footnote>
  <w:footnote w:id="9">
    <w:p w14:paraId="4894D2EB" w14:textId="2C77BD6D" w:rsidR="00151019" w:rsidRPr="002C5784" w:rsidRDefault="00151019" w:rsidP="00E30F08">
      <w:pPr>
        <w:spacing w:before="20"/>
        <w:rPr>
          <w:sz w:val="16"/>
          <w:szCs w:val="16"/>
          <w:lang w:val="es-ES"/>
        </w:rPr>
      </w:pPr>
      <w:r w:rsidRPr="00151019">
        <w:rPr>
          <w:rStyle w:val="FootnoteReference"/>
          <w:lang w:val="es-ES"/>
        </w:rPr>
        <w:t>9</w:t>
      </w:r>
      <w:r w:rsidRPr="00E30F08">
        <w:rPr>
          <w:lang w:val="es-ES_tradnl"/>
        </w:rPr>
        <w:t xml:space="preserve"> </w:t>
      </w:r>
      <w:r w:rsidRPr="002C5784">
        <w:rPr>
          <w:b/>
          <w:bCs/>
          <w:sz w:val="16"/>
          <w:szCs w:val="16"/>
          <w:lang w:val="es-ES"/>
        </w:rPr>
        <w:t>Nota</w:t>
      </w:r>
      <w:r w:rsidRPr="002C5784">
        <w:rPr>
          <w:sz w:val="16"/>
          <w:szCs w:val="16"/>
          <w:lang w:val="es-ES"/>
        </w:rPr>
        <w:t>: En su 8ª Sesión Plenaria, la CMR-19 tomó la siguiente decisión con respecto a la adecuación de las asignaciones de frecuencias de los sistemas de satélites no OSG del SFS a los límites de dfp del Artículo </w:t>
      </w:r>
      <w:r w:rsidRPr="002C5784">
        <w:rPr>
          <w:b/>
          <w:bCs/>
          <w:sz w:val="16"/>
          <w:szCs w:val="16"/>
          <w:lang w:val="es-ES"/>
        </w:rPr>
        <w:t>21</w:t>
      </w:r>
      <w:r w:rsidRPr="002C5784">
        <w:rPr>
          <w:sz w:val="16"/>
          <w:szCs w:val="16"/>
          <w:lang w:val="es-ES"/>
        </w:rPr>
        <w:t xml:space="preserve"> del RR aplicables en la banda de frecuencias 17,7-19,3 GHz; véanse los apartados 3.11 a 3.15 del Documento CMR19/569, aprobación del Documento CMR19/451:</w:t>
      </w:r>
    </w:p>
    <w:p w14:paraId="106C6AA6" w14:textId="77777777" w:rsidR="00151019" w:rsidRPr="001926B4" w:rsidRDefault="00151019" w:rsidP="00E30F08">
      <w:pPr>
        <w:pStyle w:val="FootnoteText"/>
        <w:rPr>
          <w:lang w:val="es-ES"/>
        </w:rPr>
      </w:pPr>
      <w:r w:rsidRPr="002C5784">
        <w:rPr>
          <w:sz w:val="16"/>
          <w:szCs w:val="16"/>
          <w:lang w:val="es-ES"/>
        </w:rPr>
        <w:t>«</w:t>
      </w:r>
      <w:r w:rsidRPr="00316036">
        <w:rPr>
          <w:i/>
          <w:iCs/>
          <w:sz w:val="16"/>
          <w:szCs w:val="16"/>
          <w:lang w:val="es-ES"/>
        </w:rPr>
        <w:t>La CMR-19 (...) encarga a la Oficina de Radiocomunicaciones que publique conclusiones favorables cualificadas en virtud de los números </w:t>
      </w:r>
      <w:r w:rsidRPr="00316036">
        <w:rPr>
          <w:b/>
          <w:bCs/>
          <w:i/>
          <w:iCs/>
          <w:sz w:val="16"/>
          <w:szCs w:val="16"/>
          <w:lang w:val="es-ES"/>
        </w:rPr>
        <w:t>9.35/11.31</w:t>
      </w:r>
      <w:r w:rsidRPr="00316036">
        <w:rPr>
          <w:i/>
          <w:iCs/>
          <w:sz w:val="16"/>
          <w:szCs w:val="16"/>
          <w:lang w:val="es-ES"/>
        </w:rPr>
        <w:t xml:space="preserve"> del RR al examinar el cumplimiento de las asignaciones de frecuencias a los sistemas de satélites no OSG del SFS con los límites de dfp del Artículo </w:t>
      </w:r>
      <w:r w:rsidRPr="00316036">
        <w:rPr>
          <w:b/>
          <w:bCs/>
          <w:i/>
          <w:iCs/>
          <w:sz w:val="16"/>
          <w:szCs w:val="16"/>
          <w:lang w:val="es-ES"/>
        </w:rPr>
        <w:t>21</w:t>
      </w:r>
      <w:r w:rsidRPr="00316036">
        <w:rPr>
          <w:i/>
          <w:iCs/>
          <w:sz w:val="16"/>
          <w:szCs w:val="16"/>
          <w:lang w:val="es-ES"/>
        </w:rPr>
        <w:t xml:space="preserve"> del RR que se apliquen en la banda de frecuencias 17,7-19,3 GHz, si la administración notificante así lo solicita. Esta práctica se aplicará a los sistemas de satélites no OSG del SFS para los que se hayan recibido solicitudes de coordinación desde el 23 de noviembre de 2019 hasta el último día de la CMR</w:t>
      </w:r>
      <w:r w:rsidRPr="00316036">
        <w:rPr>
          <w:i/>
          <w:iCs/>
          <w:sz w:val="16"/>
          <w:szCs w:val="16"/>
          <w:lang w:val="es-ES"/>
        </w:rPr>
        <w:noBreakHyphen/>
        <w:t>23</w:t>
      </w:r>
      <w:r w:rsidRPr="002C5784">
        <w:rPr>
          <w:sz w:val="16"/>
          <w:szCs w:val="16"/>
          <w:lang w:val="es-ES"/>
        </w:rPr>
        <w:t>».</w:t>
      </w:r>
    </w:p>
  </w:footnote>
  <w:footnote w:id="10">
    <w:p w14:paraId="0D0E02A4" w14:textId="49832036" w:rsidR="003421C9" w:rsidRDefault="003421C9" w:rsidP="007E3FFE">
      <w:pPr>
        <w:pStyle w:val="FootnoteText"/>
        <w:rPr>
          <w:lang w:val="es-ES"/>
        </w:rPr>
      </w:pPr>
      <w:r w:rsidRPr="003421C9">
        <w:rPr>
          <w:rStyle w:val="FootnoteReference"/>
          <w:lang w:val="es-ES"/>
        </w:rPr>
        <w:t>10</w:t>
      </w:r>
      <w:r w:rsidRPr="003421C9">
        <w:rPr>
          <w:lang w:val="es-ES"/>
        </w:rPr>
        <w:t xml:space="preserve"> </w:t>
      </w:r>
      <w:r>
        <w:rPr>
          <w:lang w:val="es-ES"/>
        </w:rPr>
        <w:tab/>
      </w:r>
      <w:r>
        <w:rPr>
          <w:color w:val="000000"/>
          <w:lang w:val="es-ES"/>
        </w:rPr>
        <w:t xml:space="preserve">Cuando la Oficina no pueda publicar los datos de notificación con arreglo al número </w:t>
      </w:r>
      <w:r>
        <w:rPr>
          <w:rStyle w:val="Artref"/>
          <w:b/>
          <w:bCs/>
          <w:color w:val="000000"/>
          <w:lang w:val="es-ES"/>
        </w:rPr>
        <w:t>11.28</w:t>
      </w:r>
      <w:r>
        <w:rPr>
          <w:color w:val="000000"/>
          <w:lang w:val="es-ES"/>
        </w:rPr>
        <w:t xml:space="preserve"> en el plazo de tres años tras la fecha de notificación, tendrá en cuenta los comentarios recibidos tres meses después de la fecha de publicación.</w:t>
      </w:r>
    </w:p>
  </w:footnote>
  <w:footnote w:id="11">
    <w:p w14:paraId="07CF8EF8" w14:textId="77777777" w:rsidR="007303BC" w:rsidRPr="00C124BB" w:rsidRDefault="007303BC">
      <w:pPr>
        <w:pStyle w:val="FootnoteText"/>
        <w:rPr>
          <w:lang w:val="es-ES_tradnl"/>
        </w:rPr>
      </w:pPr>
      <w:r w:rsidRPr="006B10B0">
        <w:rPr>
          <w:rStyle w:val="FootnoteReference"/>
          <w:lang w:val="es-ES_tradnl"/>
        </w:rPr>
        <w:t>*</w:t>
      </w:r>
      <w:r w:rsidRPr="006B10B0">
        <w:rPr>
          <w:lang w:val="es-ES_tradnl"/>
        </w:rPr>
        <w:t xml:space="preserve"> </w:t>
      </w:r>
      <w:r>
        <w:rPr>
          <w:lang w:val="es-ES_tradnl"/>
        </w:rPr>
        <w:tab/>
      </w:r>
      <w:r w:rsidRPr="00DA47A4">
        <w:rPr>
          <w:i/>
          <w:iCs/>
          <w:lang w:val="es-ES_tradnl"/>
        </w:rPr>
        <w:t>Nota de la Secretaría</w:t>
      </w:r>
      <w:r>
        <w:rPr>
          <w:lang w:val="es-ES_tradnl"/>
        </w:rPr>
        <w:t>: Esta Resolución ha sido abrogada por la CMR-95.</w:t>
      </w:r>
    </w:p>
  </w:footnote>
  <w:footnote w:id="12">
    <w:p w14:paraId="40AC84BA" w14:textId="77777777" w:rsidR="007303BC" w:rsidRPr="00782C00" w:rsidRDefault="007303BC" w:rsidP="00BF0573">
      <w:pPr>
        <w:pStyle w:val="FootnoteText"/>
        <w:rPr>
          <w:lang w:val="es-ES_tradnl"/>
        </w:rPr>
      </w:pPr>
      <w:r w:rsidRPr="005A408A">
        <w:rPr>
          <w:rStyle w:val="FootnoteReference"/>
          <w:lang w:val="es-ES_tradnl"/>
        </w:rPr>
        <w:t>*</w:t>
      </w:r>
      <w:r w:rsidRPr="00782C00">
        <w:rPr>
          <w:lang w:val="es-ES_tradnl"/>
        </w:rPr>
        <w:t xml:space="preserve"> </w:t>
      </w:r>
      <w:r>
        <w:rPr>
          <w:lang w:val="es-ES_tradnl"/>
        </w:rPr>
        <w:tab/>
      </w:r>
      <w:r w:rsidRPr="00A65E00">
        <w:rPr>
          <w:i/>
          <w:iCs/>
          <w:lang w:val="es-ES_tradnl"/>
        </w:rPr>
        <w:t>Nota de la Secretaría</w:t>
      </w:r>
      <w:r>
        <w:rPr>
          <w:lang w:val="es-ES_tradnl"/>
        </w:rPr>
        <w:t>: Esta Resolución ha sido abrogada por la CMR-95.</w:t>
      </w:r>
    </w:p>
  </w:footnote>
  <w:footnote w:id="13">
    <w:p w14:paraId="0B7919F2" w14:textId="478AC73F" w:rsidR="003421C9" w:rsidRPr="005E5EFE" w:rsidRDefault="003421C9" w:rsidP="005E5EFE">
      <w:pPr>
        <w:pStyle w:val="FootnoteText"/>
        <w:rPr>
          <w:lang w:val="es-ES_tradnl"/>
        </w:rPr>
      </w:pPr>
      <w:r w:rsidRPr="003421C9">
        <w:rPr>
          <w:rStyle w:val="FootnoteReference"/>
          <w:lang w:val="es-ES"/>
        </w:rPr>
        <w:t>11</w:t>
      </w:r>
      <w:r w:rsidRPr="005E5EFE">
        <w:rPr>
          <w:lang w:val="es-ES_tradnl"/>
        </w:rPr>
        <w:t xml:space="preserve"> </w:t>
      </w:r>
      <w:r w:rsidRPr="005E5EFE">
        <w:rPr>
          <w:lang w:val="es-ES_tradnl"/>
        </w:rPr>
        <w:tab/>
        <w:t>Igualmente, aplicable al § 4.1.3 ó 4.1.3</w:t>
      </w:r>
      <w:r w:rsidRPr="005E5EFE">
        <w:rPr>
          <w:i/>
          <w:iCs/>
          <w:lang w:val="es-ES_tradnl"/>
        </w:rPr>
        <w:t>bis</w:t>
      </w:r>
      <w:r w:rsidRPr="005E5EFE">
        <w:rPr>
          <w:lang w:val="es-ES_tradnl"/>
        </w:rPr>
        <w:t xml:space="preserve"> ó 4.2.6 ó 4.2.6</w:t>
      </w:r>
      <w:r w:rsidRPr="005E5EFE">
        <w:rPr>
          <w:i/>
          <w:iCs/>
          <w:lang w:val="es-ES_tradnl"/>
        </w:rPr>
        <w:t>bis</w:t>
      </w:r>
      <w:r w:rsidRPr="005E5EFE">
        <w:rPr>
          <w:lang w:val="es-ES_tradnl"/>
        </w:rPr>
        <w:t xml:space="preserve"> del Artículo 4 de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6.1 ó 6.31</w:t>
      </w:r>
      <w:r w:rsidRPr="005E5EFE">
        <w:rPr>
          <w:i/>
          <w:iCs/>
          <w:lang w:val="es-ES_tradnl"/>
        </w:rPr>
        <w:t>bis</w:t>
      </w:r>
      <w:r w:rsidRPr="005E5EFE">
        <w:rPr>
          <w:lang w:val="es-ES_tradnl"/>
        </w:rPr>
        <w:t xml:space="preserve">, y 6.33 del Artículo 6 del Apéndice </w:t>
      </w:r>
      <w:r w:rsidRPr="005E5EFE">
        <w:rPr>
          <w:b/>
          <w:bCs/>
          <w:lang w:val="es-ES_tradnl"/>
        </w:rPr>
        <w:t>30B</w:t>
      </w:r>
      <w:r w:rsidRPr="005E5EFE">
        <w:rPr>
          <w:lang w:val="es-ES_tradnl"/>
        </w:rPr>
        <w:t>.</w:t>
      </w:r>
    </w:p>
  </w:footnote>
  <w:footnote w:id="14">
    <w:p w14:paraId="50B87F2D" w14:textId="7914C133" w:rsidR="003421C9" w:rsidRPr="005E5EFE" w:rsidRDefault="003421C9" w:rsidP="005E5EFE">
      <w:pPr>
        <w:pStyle w:val="FootnoteText"/>
        <w:rPr>
          <w:lang w:val="es-ES_tradnl"/>
        </w:rPr>
      </w:pPr>
      <w:r w:rsidRPr="003421C9">
        <w:rPr>
          <w:rStyle w:val="FootnoteReference"/>
          <w:lang w:val="es-ES"/>
        </w:rPr>
        <w:t>12</w:t>
      </w:r>
      <w:r w:rsidRPr="005E5EFE">
        <w:rPr>
          <w:lang w:val="es-ES_tradnl"/>
        </w:rPr>
        <w:t xml:space="preserve"> </w:t>
      </w:r>
      <w:r w:rsidRPr="005E5EFE">
        <w:rPr>
          <w:lang w:val="es-ES_tradnl"/>
        </w:rPr>
        <w:tab/>
        <w:t xml:space="preserve">Igualmente, aplicable al § 5.3.1 del Artículo 5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8.16 del Artículo 8 del Apéndice </w:t>
      </w:r>
      <w:r w:rsidRPr="005E5EFE">
        <w:rPr>
          <w:b/>
          <w:bCs/>
          <w:lang w:val="es-ES_tradnl"/>
        </w:rPr>
        <w:t>30B</w:t>
      </w:r>
      <w:r w:rsidRPr="005E5EFE">
        <w:rPr>
          <w:lang w:val="es-ES_tradnl"/>
        </w:rPr>
        <w:t>.</w:t>
      </w:r>
    </w:p>
  </w:footnote>
  <w:footnote w:id="15">
    <w:p w14:paraId="2F6CBD35" w14:textId="021BEF48" w:rsidR="003421C9" w:rsidRPr="005E5EFE" w:rsidRDefault="003421C9" w:rsidP="005E5EFE">
      <w:pPr>
        <w:pStyle w:val="FootnoteText"/>
        <w:rPr>
          <w:lang w:val="es-ES_tradnl"/>
        </w:rPr>
      </w:pPr>
      <w:r w:rsidRPr="003421C9">
        <w:rPr>
          <w:rStyle w:val="FootnoteReference"/>
          <w:lang w:val="es-ES"/>
        </w:rPr>
        <w:t>13</w:t>
      </w:r>
      <w:r w:rsidRPr="005E5EFE">
        <w:rPr>
          <w:lang w:val="es-ES_tradnl"/>
        </w:rPr>
        <w:t xml:space="preserve"> </w:t>
      </w:r>
      <w:r w:rsidRPr="005E5EFE">
        <w:rPr>
          <w:lang w:val="es-ES_tradnl"/>
        </w:rPr>
        <w:tab/>
        <w:t>Igualmente, aplicable al § 4.1.3 ó 4.1.3</w:t>
      </w:r>
      <w:r w:rsidRPr="005E5EFE">
        <w:rPr>
          <w:i/>
          <w:iCs/>
          <w:lang w:val="es-ES_tradnl"/>
        </w:rPr>
        <w:t>bis</w:t>
      </w:r>
      <w:r w:rsidRPr="005E5EFE">
        <w:rPr>
          <w:lang w:val="es-ES_tradnl"/>
        </w:rPr>
        <w:t xml:space="preserve"> o 4.2.6 ó 4.2.6</w:t>
      </w:r>
      <w:r w:rsidRPr="005E5EFE">
        <w:rPr>
          <w:i/>
          <w:iCs/>
          <w:lang w:val="es-ES_tradnl"/>
        </w:rPr>
        <w:t>bis</w:t>
      </w:r>
      <w:r w:rsidRPr="005E5EFE">
        <w:rPr>
          <w:lang w:val="es-ES_tradnl"/>
        </w:rPr>
        <w:t xml:space="preserve"> del Artículo 4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6.33 del Artículo 6 del Apéndice </w:t>
      </w:r>
      <w:r w:rsidRPr="005E5EFE">
        <w:rPr>
          <w:b/>
          <w:bCs/>
          <w:lang w:val="es-ES_tradnl"/>
        </w:rPr>
        <w:t>30B</w:t>
      </w:r>
      <w:r w:rsidRPr="005E5EFE">
        <w:rPr>
          <w:lang w:val="es-ES_tradnl"/>
        </w:rPr>
        <w:t>.</w:t>
      </w:r>
    </w:p>
  </w:footnote>
  <w:footnote w:id="16">
    <w:p w14:paraId="1E483746" w14:textId="37FBEA7D" w:rsidR="003421C9" w:rsidRPr="00653B0A" w:rsidRDefault="003421C9" w:rsidP="00653B0A">
      <w:pPr>
        <w:pStyle w:val="FootnoteText"/>
        <w:rPr>
          <w:lang w:val="es-ES_tradnl"/>
        </w:rPr>
      </w:pPr>
      <w:r w:rsidRPr="003421C9">
        <w:rPr>
          <w:rStyle w:val="FootnoteReference"/>
          <w:lang w:val="es-ES"/>
        </w:rPr>
        <w:t>14</w:t>
      </w:r>
      <w:r w:rsidRPr="00653B0A">
        <w:rPr>
          <w:lang w:val="es-ES_tradnl"/>
        </w:rPr>
        <w:t xml:space="preserve"> </w:t>
      </w:r>
      <w:r w:rsidRPr="00653B0A">
        <w:rPr>
          <w:lang w:val="es-ES_tradnl"/>
        </w:rPr>
        <w:tab/>
        <w:t xml:space="preserve">Igualmente aplicable a los §§5.2.10 y 5.2.11 del Artículo 5 de los Apéndices </w:t>
      </w:r>
      <w:r w:rsidRPr="00653B0A">
        <w:rPr>
          <w:b/>
          <w:bCs/>
          <w:lang w:val="es-ES_tradnl"/>
        </w:rPr>
        <w:t>30</w:t>
      </w:r>
      <w:r w:rsidRPr="00653B0A">
        <w:rPr>
          <w:lang w:val="es-ES_tradnl"/>
        </w:rPr>
        <w:t xml:space="preserve"> y </w:t>
      </w:r>
      <w:r w:rsidRPr="00653B0A">
        <w:rPr>
          <w:b/>
          <w:bCs/>
          <w:lang w:val="es-ES_tradnl"/>
        </w:rPr>
        <w:t>30A</w:t>
      </w:r>
      <w:r w:rsidRPr="00653B0A">
        <w:rPr>
          <w:lang w:val="es-ES_tradnl"/>
        </w:rPr>
        <w:t xml:space="preserve">, y al §8.17 del Artículo 8 del Apéndice </w:t>
      </w:r>
      <w:r w:rsidRPr="00FD22D8">
        <w:rPr>
          <w:b/>
          <w:bCs/>
          <w:lang w:val="es-ES_tradnl"/>
        </w:rPr>
        <w:t>30B</w:t>
      </w:r>
      <w:r w:rsidRPr="00653B0A">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30730" w14:paraId="054B48C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87A402" w14:textId="77777777" w:rsidR="00130730" w:rsidRDefault="00130730">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17ABAEE1" w14:textId="6B90DD81" w:rsidR="00130730" w:rsidRDefault="00130730">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1590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60B286" w14:textId="77777777" w:rsidR="00130730" w:rsidRPr="0062524A" w:rsidRDefault="00130730"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AD8EC8" w14:textId="3FD63B43" w:rsidR="00130730" w:rsidRDefault="00130730" w:rsidP="00D70EFE">
          <w:pPr>
            <w:pStyle w:val="HeaderRegProc"/>
            <w:rPr>
              <w:color w:val="000000"/>
              <w:lang w:val="fr-CH"/>
            </w:rPr>
          </w:pPr>
          <w:proofErr w:type="gramStart"/>
          <w:r>
            <w:rPr>
              <w:color w:val="000000"/>
              <w:lang w:val="fr-CH"/>
            </w:rPr>
            <w:t>rev</w:t>
          </w:r>
          <w:proofErr w:type="gramEnd"/>
          <w:r>
            <w:rPr>
              <w:color w:val="000000"/>
              <w:lang w:val="fr-CH"/>
            </w:rPr>
            <w:t xml:space="preserve">. </w:t>
          </w:r>
          <w:r w:rsidR="00D448F7">
            <w:rPr>
              <w:color w:val="000000"/>
              <w:lang w:val="fr-CH"/>
            </w:rPr>
            <w:t>-</w:t>
          </w:r>
        </w:p>
      </w:tc>
    </w:tr>
  </w:tbl>
  <w:p w14:paraId="3434B884" w14:textId="77777777" w:rsidR="00130730" w:rsidRDefault="00130730">
    <w:pPr>
      <w:pStyle w:val="Header"/>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363363CB"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6C0FF742" w14:textId="7DA4B438"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3B8D8C13" w14:textId="323515DA"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15905">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0437A5C" w14:textId="6184CBE4" w:rsidR="007303BC" w:rsidRDefault="007303BC" w:rsidP="00007AA8">
          <w:pPr>
            <w:pStyle w:val="HeaderRegProc"/>
            <w:rPr>
              <w:lang w:val="fr-CH"/>
            </w:rPr>
          </w:pPr>
          <w:proofErr w:type="gramStart"/>
          <w:r>
            <w:rPr>
              <w:lang w:val="fr-CH"/>
            </w:rPr>
            <w:t>p</w:t>
          </w:r>
          <w:r w:rsidR="009E52D0">
            <w:rPr>
              <w:lang w:val="fr-CH"/>
            </w:rPr>
            <w:t>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BA03DE" w14:textId="1B9042E6" w:rsidR="007303BC" w:rsidRDefault="007303BC" w:rsidP="00007AA8">
          <w:pPr>
            <w:pStyle w:val="HeaderRegProc"/>
            <w:rPr>
              <w:lang w:val="fr-CH"/>
            </w:rPr>
          </w:pPr>
          <w:proofErr w:type="gramStart"/>
          <w:r>
            <w:rPr>
              <w:lang w:val="fr-CH"/>
            </w:rPr>
            <w:t>rev</w:t>
          </w:r>
          <w:proofErr w:type="gramEnd"/>
          <w:r>
            <w:rPr>
              <w:lang w:val="fr-CH"/>
            </w:rPr>
            <w:t xml:space="preserve">. </w:t>
          </w:r>
          <w:r>
            <w:t>-</w:t>
          </w:r>
        </w:p>
      </w:tc>
    </w:tr>
  </w:tbl>
  <w:p w14:paraId="6C883E3B" w14:textId="77777777" w:rsidR="007303BC" w:rsidRDefault="007303B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E128E" w14:paraId="6E907B2D"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50017AF1" w14:textId="77777777" w:rsidR="006E128E" w:rsidRDefault="006E128E"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63D64F88" w14:textId="58968D8B" w:rsidR="006E128E" w:rsidRDefault="006E128E"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FB60866" w14:textId="16DCAB1E" w:rsidR="006E128E" w:rsidRPr="006E128E" w:rsidRDefault="006E128E" w:rsidP="00007AA8">
          <w:pPr>
            <w:pStyle w:val="HeaderRegProc"/>
            <w:rPr>
              <w:i/>
              <w:iCs/>
              <w:lang w:val="fr-CH"/>
            </w:rPr>
          </w:pPr>
          <w:proofErr w:type="gramStart"/>
          <w:r w:rsidRPr="009E52D0">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r>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756CEB6C" w14:textId="2B2AD2E2" w:rsidR="006E128E" w:rsidRDefault="006E128E" w:rsidP="00007AA8">
          <w:pPr>
            <w:pStyle w:val="HeaderRegProc"/>
            <w:rPr>
              <w:lang w:val="fr-CH"/>
            </w:rPr>
          </w:pPr>
          <w:proofErr w:type="gramStart"/>
          <w:r>
            <w:rPr>
              <w:lang w:val="fr-CH"/>
            </w:rPr>
            <w:t>rev</w:t>
          </w:r>
          <w:proofErr w:type="gramEnd"/>
          <w:r>
            <w:rPr>
              <w:lang w:val="fr-CH"/>
            </w:rPr>
            <w:t xml:space="preserve">. </w:t>
          </w:r>
          <w:r w:rsidR="00D448F7">
            <w:rPr>
              <w:lang w:val="fr-CH"/>
            </w:rPr>
            <w:t>-</w:t>
          </w:r>
        </w:p>
      </w:tc>
    </w:tr>
  </w:tbl>
  <w:p w14:paraId="37D271BF" w14:textId="77777777" w:rsidR="006E128E" w:rsidRDefault="006E128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55CA5" w14:paraId="28D2A970"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6A6E81FE" w14:textId="77777777" w:rsidR="00355CA5" w:rsidRDefault="00355CA5"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2C7DE576" w14:textId="5CA2E97C" w:rsidR="00355CA5" w:rsidRDefault="00355CA5"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4D8A0D4" w14:textId="2F173562" w:rsidR="00355CA5" w:rsidRPr="006E128E" w:rsidRDefault="00355CA5" w:rsidP="00007AA8">
          <w:pPr>
            <w:pStyle w:val="HeaderRegProc"/>
            <w:rPr>
              <w:i/>
              <w:iCs/>
              <w:lang w:val="fr-CH"/>
            </w:rPr>
          </w:pPr>
          <w:proofErr w:type="gramStart"/>
          <w:r w:rsidRPr="009E52D0">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9ED15D" w14:textId="7564EDE4" w:rsidR="00355CA5" w:rsidRDefault="00355CA5" w:rsidP="00007AA8">
          <w:pPr>
            <w:pStyle w:val="HeaderRegProc"/>
            <w:rPr>
              <w:lang w:val="fr-CH"/>
            </w:rPr>
          </w:pPr>
          <w:proofErr w:type="gramStart"/>
          <w:r>
            <w:rPr>
              <w:lang w:val="fr-CH"/>
            </w:rPr>
            <w:t>rev</w:t>
          </w:r>
          <w:proofErr w:type="gramEnd"/>
          <w:r>
            <w:rPr>
              <w:lang w:val="fr-CH"/>
            </w:rPr>
            <w:t xml:space="preserve">. </w:t>
          </w:r>
          <w:r w:rsidR="00D448F7">
            <w:rPr>
              <w:lang w:val="fr-CH"/>
            </w:rPr>
            <w:t>-</w:t>
          </w:r>
        </w:p>
      </w:tc>
    </w:tr>
  </w:tbl>
  <w:p w14:paraId="34BB008F" w14:textId="77777777" w:rsidR="00355CA5" w:rsidRDefault="00355CA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E128E" w14:paraId="3276FD0D"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4ABC9603" w14:textId="77777777" w:rsidR="006E128E" w:rsidRDefault="006E128E"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3FD3E0A9" w14:textId="4AC0F1E9" w:rsidR="006E128E" w:rsidRDefault="006E128E"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15905">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3E5E78A1" w14:textId="77777777" w:rsidR="006E128E" w:rsidRDefault="006E128E" w:rsidP="00007AA8">
          <w:pPr>
            <w:pStyle w:val="HeaderRegProc"/>
            <w:rPr>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468C08" w14:textId="794EB4E7" w:rsidR="006E128E" w:rsidRDefault="006E128E" w:rsidP="00007AA8">
          <w:pPr>
            <w:pStyle w:val="HeaderRegProc"/>
            <w:rPr>
              <w:lang w:val="fr-CH"/>
            </w:rPr>
          </w:pPr>
          <w:proofErr w:type="gramStart"/>
          <w:r>
            <w:rPr>
              <w:lang w:val="fr-CH"/>
            </w:rPr>
            <w:t>rev</w:t>
          </w:r>
          <w:proofErr w:type="gramEnd"/>
          <w:r>
            <w:rPr>
              <w:lang w:val="fr-CH"/>
            </w:rPr>
            <w:t xml:space="preserve">. </w:t>
          </w:r>
          <w:r w:rsidR="00D448F7">
            <w:rPr>
              <w:lang w:val="fr-CH"/>
            </w:rPr>
            <w:t>-</w:t>
          </w:r>
        </w:p>
      </w:tc>
    </w:tr>
  </w:tbl>
  <w:p w14:paraId="19D6B604" w14:textId="77777777" w:rsidR="006E128E" w:rsidRDefault="006E128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650B3" w14:paraId="74E6F820"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212FF280" w14:textId="77777777" w:rsidR="00A650B3" w:rsidRDefault="00A650B3"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4776D80A" w14:textId="6E7DBF72" w:rsidR="00A650B3" w:rsidRDefault="00A650B3"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54AD2AC" w14:textId="77777777" w:rsidR="00A650B3" w:rsidRPr="006E128E" w:rsidRDefault="00A650B3" w:rsidP="00007AA8">
          <w:pPr>
            <w:pStyle w:val="HeaderRegProc"/>
            <w:rPr>
              <w:i/>
              <w:iCs/>
              <w:lang w:val="fr-CH"/>
            </w:rPr>
          </w:pPr>
          <w:proofErr w:type="gramStart"/>
          <w:r w:rsidRPr="009E52D0">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80DE90" w14:textId="41B34C29" w:rsidR="00A650B3" w:rsidRDefault="00A650B3" w:rsidP="00007AA8">
          <w:pPr>
            <w:pStyle w:val="HeaderRegProc"/>
            <w:rPr>
              <w:lang w:val="fr-CH"/>
            </w:rPr>
          </w:pPr>
          <w:proofErr w:type="gramStart"/>
          <w:r>
            <w:rPr>
              <w:lang w:val="fr-CH"/>
            </w:rPr>
            <w:t>rev</w:t>
          </w:r>
          <w:proofErr w:type="gramEnd"/>
          <w:r>
            <w:rPr>
              <w:lang w:val="fr-CH"/>
            </w:rPr>
            <w:t>. -</w:t>
          </w:r>
        </w:p>
      </w:tc>
    </w:tr>
  </w:tbl>
  <w:p w14:paraId="5BC9DE35" w14:textId="77777777" w:rsidR="00A650B3" w:rsidRDefault="00A650B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650B3" w14:paraId="4F1896D3"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1364D9EF" w14:textId="77777777" w:rsidR="00A650B3" w:rsidRDefault="00A650B3"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1F096CC9" w14:textId="77499E71" w:rsidR="00A650B3" w:rsidRDefault="00A650B3"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15905">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79F0F05" w14:textId="77777777" w:rsidR="00A650B3" w:rsidRDefault="00A650B3" w:rsidP="00007AA8">
          <w:pPr>
            <w:pStyle w:val="HeaderRegProc"/>
            <w:rPr>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100EE7" w14:textId="43EC5F30" w:rsidR="00A650B3" w:rsidRDefault="00A650B3" w:rsidP="00007AA8">
          <w:pPr>
            <w:pStyle w:val="HeaderRegProc"/>
            <w:rPr>
              <w:lang w:val="fr-CH"/>
            </w:rPr>
          </w:pPr>
          <w:proofErr w:type="gramStart"/>
          <w:r>
            <w:rPr>
              <w:lang w:val="fr-CH"/>
            </w:rPr>
            <w:t>rev</w:t>
          </w:r>
          <w:proofErr w:type="gramEnd"/>
          <w:r>
            <w:rPr>
              <w:lang w:val="fr-CH"/>
            </w:rPr>
            <w:t>. -</w:t>
          </w:r>
        </w:p>
      </w:tc>
    </w:tr>
  </w:tbl>
  <w:p w14:paraId="7D5EED7F" w14:textId="77777777" w:rsidR="00A650B3" w:rsidRDefault="00A650B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17FBF" w14:paraId="51E2BCBB"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DEFBEAC" w14:textId="77777777" w:rsidR="00F17FBF" w:rsidRDefault="00F17FBF"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0172B16B" w14:textId="08A33CB7" w:rsidR="00F17FBF" w:rsidRDefault="00F17FBF"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80CFCB0" w14:textId="77777777" w:rsidR="00F17FBF" w:rsidRDefault="00F17FBF" w:rsidP="00007AA8">
          <w:pPr>
            <w:pStyle w:val="HeaderRegProc"/>
            <w:rPr>
              <w:lang w:val="fr-CH"/>
            </w:rPr>
          </w:pPr>
          <w:proofErr w:type="gramStart"/>
          <w:r w:rsidRPr="009E52D0">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46A2DD" w14:textId="580B68FC" w:rsidR="00F17FBF" w:rsidRDefault="00F17FBF" w:rsidP="00007AA8">
          <w:pPr>
            <w:pStyle w:val="HeaderRegProc"/>
            <w:rPr>
              <w:lang w:val="fr-CH"/>
            </w:rPr>
          </w:pPr>
          <w:proofErr w:type="gramStart"/>
          <w:r>
            <w:rPr>
              <w:lang w:val="fr-CH"/>
            </w:rPr>
            <w:t>rev</w:t>
          </w:r>
          <w:proofErr w:type="gramEnd"/>
          <w:r>
            <w:rPr>
              <w:lang w:val="fr-CH"/>
            </w:rPr>
            <w:t xml:space="preserve">. </w:t>
          </w:r>
          <w:r w:rsidR="00D448F7">
            <w:rPr>
              <w:lang w:val="fr-CH"/>
            </w:rPr>
            <w:t>-</w:t>
          </w:r>
        </w:p>
      </w:tc>
    </w:tr>
  </w:tbl>
  <w:p w14:paraId="026F3C39" w14:textId="77777777" w:rsidR="00F17FBF" w:rsidRDefault="00F17FB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17FBF" w14:paraId="560A538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321D0ECC" w14:textId="77777777" w:rsidR="00F17FBF" w:rsidRDefault="00F17FBF"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1FCD6C99" w14:textId="2295ECB4" w:rsidR="00F17FBF" w:rsidRDefault="00F17FBF"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15905">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26CBDDCF" w14:textId="77777777" w:rsidR="00F17FBF" w:rsidRDefault="00F17FBF" w:rsidP="00007AA8">
          <w:pPr>
            <w:pStyle w:val="HeaderRegProc"/>
            <w:rPr>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0918D3" w14:textId="72F2BB3C" w:rsidR="00F17FBF" w:rsidRDefault="00F17FBF" w:rsidP="00007AA8">
          <w:pPr>
            <w:pStyle w:val="HeaderRegProc"/>
            <w:rPr>
              <w:lang w:val="fr-CH"/>
            </w:rPr>
          </w:pPr>
          <w:proofErr w:type="gramStart"/>
          <w:r>
            <w:rPr>
              <w:lang w:val="fr-CH"/>
            </w:rPr>
            <w:t>rev</w:t>
          </w:r>
          <w:proofErr w:type="gramEnd"/>
          <w:r>
            <w:rPr>
              <w:lang w:val="fr-CH"/>
            </w:rPr>
            <w:t xml:space="preserve">. </w:t>
          </w:r>
          <w:r w:rsidR="00D448F7">
            <w:t>-</w:t>
          </w:r>
        </w:p>
      </w:tc>
    </w:tr>
  </w:tbl>
  <w:p w14:paraId="653466FE" w14:textId="77777777" w:rsidR="00F17FBF" w:rsidRDefault="00F17FBF">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15905" w14:paraId="35722DC0"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3D36A218" w14:textId="77777777" w:rsidR="00415905" w:rsidRDefault="00415905"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73F53926" w14:textId="77777777" w:rsidR="00415905" w:rsidRDefault="00415905"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19E5D1E" w14:textId="77777777" w:rsidR="00415905" w:rsidRDefault="00415905" w:rsidP="00007AA8">
          <w:pPr>
            <w:pStyle w:val="HeaderRegProc"/>
            <w:rPr>
              <w:lang w:val="fr-CH"/>
            </w:rPr>
          </w:pPr>
          <w:proofErr w:type="gramStart"/>
          <w:r w:rsidRPr="009E52D0">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671A8B" w14:textId="333790A0" w:rsidR="00415905" w:rsidRDefault="00415905" w:rsidP="00007AA8">
          <w:pPr>
            <w:pStyle w:val="HeaderRegProc"/>
            <w:rPr>
              <w:lang w:val="fr-CH"/>
            </w:rPr>
          </w:pPr>
          <w:proofErr w:type="gramStart"/>
          <w:r>
            <w:rPr>
              <w:lang w:val="fr-CH"/>
            </w:rPr>
            <w:t>rev</w:t>
          </w:r>
          <w:proofErr w:type="gramEnd"/>
          <w:r>
            <w:rPr>
              <w:lang w:val="fr-CH"/>
            </w:rPr>
            <w:t>. 2</w:t>
          </w:r>
        </w:p>
      </w:tc>
    </w:tr>
  </w:tbl>
  <w:p w14:paraId="7851DDC3" w14:textId="77777777" w:rsidR="00415905" w:rsidRDefault="00415905">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65021FB3"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4DC851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AEB3D9D" w14:textId="46377EFC"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1590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A7A3F4" w14:textId="7EF495B2" w:rsidR="007303BC" w:rsidRPr="0062524A" w:rsidRDefault="007303BC" w:rsidP="00E41FDD">
          <w:pPr>
            <w:pStyle w:val="HeaderRegProc"/>
            <w:rPr>
              <w:i/>
              <w:iCs/>
              <w:color w:val="000000"/>
              <w:lang w:val="fr-CH"/>
            </w:rPr>
          </w:pPr>
          <w:proofErr w:type="gramStart"/>
          <w:r>
            <w:rPr>
              <w:lang w:val="fr-CH"/>
            </w:rPr>
            <w:t>p</w:t>
          </w:r>
          <w:r w:rsidR="009E52D0">
            <w:rPr>
              <w:lang w:val="fr-CH"/>
            </w:rPr>
            <w:t>á</w:t>
          </w:r>
          <w:r>
            <w:rPr>
              <w:lang w:val="fr-CH"/>
            </w:rPr>
            <w:t>g</w:t>
          </w:r>
          <w:r w:rsidR="009E52D0">
            <w:rPr>
              <w:lang w:val="fr-CH"/>
            </w:rPr>
            <w:t>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497B0A" w14:textId="5490ED50" w:rsidR="007303BC" w:rsidRDefault="007303BC" w:rsidP="00997054">
          <w:pPr>
            <w:pStyle w:val="HeaderRegProc"/>
            <w:rPr>
              <w:color w:val="000000"/>
              <w:lang w:val="fr-CH"/>
            </w:rPr>
          </w:pPr>
          <w:proofErr w:type="gramStart"/>
          <w:r>
            <w:rPr>
              <w:color w:val="000000"/>
              <w:lang w:val="fr-CH"/>
            </w:rPr>
            <w:t>rev</w:t>
          </w:r>
          <w:proofErr w:type="gramEnd"/>
          <w:r>
            <w:rPr>
              <w:color w:val="000000"/>
              <w:lang w:val="fr-CH"/>
            </w:rPr>
            <w:t xml:space="preserve">. </w:t>
          </w:r>
          <w:r w:rsidR="00243B84">
            <w:rPr>
              <w:color w:val="000000"/>
              <w:lang w:val="fr-CH"/>
            </w:rPr>
            <w:t>-</w:t>
          </w:r>
        </w:p>
      </w:tc>
    </w:tr>
  </w:tbl>
  <w:p w14:paraId="1D86F39D" w14:textId="77777777" w:rsidR="007303BC" w:rsidRDefault="007303BC" w:rsidP="00157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2D2CBFB"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5165F5"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9C16450" w14:textId="1ABDF8AE"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1590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3211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DEDD0B" w14:textId="48CF6CF0" w:rsidR="007303BC" w:rsidRDefault="007303BC" w:rsidP="00E41FDD">
          <w:pPr>
            <w:pStyle w:val="HeaderRegProc"/>
            <w:rPr>
              <w:color w:val="000000"/>
              <w:lang w:val="fr-CH"/>
            </w:rPr>
          </w:pPr>
          <w:proofErr w:type="gramStart"/>
          <w:r>
            <w:rPr>
              <w:color w:val="000000"/>
              <w:lang w:val="fr-CH"/>
            </w:rPr>
            <w:t>rev</w:t>
          </w:r>
          <w:proofErr w:type="gramEnd"/>
          <w:r>
            <w:rPr>
              <w:color w:val="000000"/>
              <w:lang w:val="fr-CH"/>
            </w:rPr>
            <w:t>. -</w:t>
          </w:r>
        </w:p>
      </w:tc>
    </w:tr>
  </w:tbl>
  <w:p w14:paraId="2BE845FC" w14:textId="77777777" w:rsidR="007303BC" w:rsidRDefault="007303BC">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1DD5306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7A4076B5" w14:textId="51FA4EF3" w:rsidR="007303BC" w:rsidRDefault="007303BC" w:rsidP="00007AA8">
          <w:pPr>
            <w:pStyle w:val="HeaderRegProc"/>
            <w:rPr>
              <w:lang w:val="fr-CH"/>
            </w:rPr>
          </w:pPr>
          <w:r>
            <w:rPr>
              <w:lang w:val="fr-CH"/>
            </w:rPr>
            <w:t>Part</w:t>
          </w:r>
          <w:r w:rsidR="001929B4">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16170514" w14:textId="301E2AEF"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15905">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0C2A858B" w14:textId="4ADF626D" w:rsidR="007303BC" w:rsidRDefault="007303BC" w:rsidP="00007AA8">
          <w:pPr>
            <w:pStyle w:val="HeaderRegProc"/>
            <w:rPr>
              <w:lang w:val="fr-CH"/>
            </w:rPr>
          </w:pPr>
          <w:proofErr w:type="gramStart"/>
          <w:r>
            <w:rPr>
              <w:lang w:val="fr-CH"/>
            </w:rPr>
            <w:t>p</w:t>
          </w:r>
          <w:r w:rsidR="009E52D0">
            <w:rPr>
              <w:lang w:val="fr-CH"/>
            </w:rPr>
            <w:t>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51DE97" w14:textId="541516B3" w:rsidR="007303BC" w:rsidRDefault="007303BC" w:rsidP="00007AA8">
          <w:pPr>
            <w:pStyle w:val="HeaderRegProc"/>
            <w:rPr>
              <w:lang w:val="fr-CH"/>
            </w:rPr>
          </w:pPr>
          <w:proofErr w:type="gramStart"/>
          <w:r>
            <w:rPr>
              <w:lang w:val="fr-CH"/>
            </w:rPr>
            <w:t>rev</w:t>
          </w:r>
          <w:proofErr w:type="gramEnd"/>
          <w:r>
            <w:rPr>
              <w:lang w:val="fr-CH"/>
            </w:rPr>
            <w:t xml:space="preserve">. </w:t>
          </w:r>
          <w:r w:rsidR="00243B84">
            <w:t>-</w:t>
          </w:r>
        </w:p>
      </w:tc>
    </w:tr>
  </w:tbl>
  <w:p w14:paraId="16AFC32E" w14:textId="77777777" w:rsidR="007303BC" w:rsidRDefault="007303B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4133909B"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0D26840A" w14:textId="77777777" w:rsidR="00243B84" w:rsidRDefault="00243B84"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19A43379" w14:textId="6C7039F8" w:rsidR="00243B84" w:rsidRDefault="00243B84"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1590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577981" w14:textId="77777777" w:rsidR="00243B84" w:rsidRPr="0062524A" w:rsidRDefault="00243B84" w:rsidP="00E41FDD">
          <w:pPr>
            <w:pStyle w:val="HeaderRegProc"/>
            <w:rPr>
              <w:i/>
              <w:iCs/>
              <w:color w:val="000000"/>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DD2DD1" w14:textId="5938693B" w:rsidR="00243B84" w:rsidRDefault="00243B84" w:rsidP="00997054">
          <w:pPr>
            <w:pStyle w:val="HeaderRegProc"/>
            <w:rPr>
              <w:color w:val="000000"/>
              <w:lang w:val="fr-CH"/>
            </w:rPr>
          </w:pPr>
          <w:proofErr w:type="gramStart"/>
          <w:r>
            <w:rPr>
              <w:color w:val="000000"/>
              <w:lang w:val="fr-CH"/>
            </w:rPr>
            <w:t>rev</w:t>
          </w:r>
          <w:proofErr w:type="gramEnd"/>
          <w:r>
            <w:rPr>
              <w:color w:val="000000"/>
              <w:lang w:val="fr-CH"/>
            </w:rPr>
            <w:t xml:space="preserve">. </w:t>
          </w:r>
          <w:r w:rsidR="00D448F7">
            <w:rPr>
              <w:color w:val="000000"/>
              <w:lang w:val="fr-CH"/>
            </w:rPr>
            <w:t>-</w:t>
          </w:r>
        </w:p>
      </w:tc>
    </w:tr>
  </w:tbl>
  <w:p w14:paraId="723F5083" w14:textId="77777777" w:rsidR="00243B84" w:rsidRDefault="00243B84" w:rsidP="00157BE3">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23478C1C"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07D65F10" w14:textId="77777777" w:rsidR="00243B84" w:rsidRDefault="00243B84"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46098BA7" w14:textId="195C560C" w:rsidR="00243B84" w:rsidRDefault="00243B84"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15905">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773F7143" w14:textId="77777777" w:rsidR="00243B84" w:rsidRDefault="00243B84" w:rsidP="00007AA8">
          <w:pPr>
            <w:pStyle w:val="HeaderRegProc"/>
            <w:rPr>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E9113F" w14:textId="31A86150" w:rsidR="00243B84" w:rsidRDefault="00243B84" w:rsidP="00007AA8">
          <w:pPr>
            <w:pStyle w:val="HeaderRegProc"/>
            <w:rPr>
              <w:lang w:val="fr-CH"/>
            </w:rPr>
          </w:pPr>
          <w:proofErr w:type="gramStart"/>
          <w:r>
            <w:rPr>
              <w:lang w:val="fr-CH"/>
            </w:rPr>
            <w:t>rev</w:t>
          </w:r>
          <w:proofErr w:type="gramEnd"/>
          <w:r>
            <w:rPr>
              <w:lang w:val="fr-CH"/>
            </w:rPr>
            <w:t xml:space="preserve">. </w:t>
          </w:r>
          <w:r w:rsidR="00D448F7">
            <w:t>-</w:t>
          </w:r>
        </w:p>
      </w:tc>
    </w:tr>
  </w:tbl>
  <w:p w14:paraId="0AD6C912" w14:textId="77777777" w:rsidR="00243B84" w:rsidRDefault="00243B8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6004F34C"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1EE4F44" w14:textId="77777777" w:rsidR="00243B84" w:rsidRDefault="00243B84"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6E63B047" w14:textId="4DEB2F62" w:rsidR="00243B84" w:rsidRDefault="00243B84"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1590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6E8610" w14:textId="77777777" w:rsidR="00243B84" w:rsidRPr="0062524A" w:rsidRDefault="00243B84" w:rsidP="00E41FDD">
          <w:pPr>
            <w:pStyle w:val="HeaderRegProc"/>
            <w:rPr>
              <w:i/>
              <w:iCs/>
              <w:color w:val="000000"/>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9C771" w14:textId="77777777" w:rsidR="00243B84" w:rsidRDefault="00243B84" w:rsidP="00997054">
          <w:pPr>
            <w:pStyle w:val="HeaderRegProc"/>
            <w:rPr>
              <w:color w:val="000000"/>
              <w:lang w:val="fr-CH"/>
            </w:rPr>
          </w:pPr>
          <w:proofErr w:type="gramStart"/>
          <w:r>
            <w:rPr>
              <w:color w:val="000000"/>
              <w:lang w:val="fr-CH"/>
            </w:rPr>
            <w:t>rev</w:t>
          </w:r>
          <w:proofErr w:type="gramEnd"/>
          <w:r>
            <w:rPr>
              <w:color w:val="000000"/>
              <w:lang w:val="fr-CH"/>
            </w:rPr>
            <w:t>. -</w:t>
          </w:r>
        </w:p>
      </w:tc>
    </w:tr>
  </w:tbl>
  <w:p w14:paraId="38F68742" w14:textId="77777777" w:rsidR="00243B84" w:rsidRDefault="00243B84" w:rsidP="00157BE3">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741AF855"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74BE130C" w14:textId="77777777" w:rsidR="00243B84" w:rsidRDefault="00243B84"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3AEDB9DB" w14:textId="705DFF5B" w:rsidR="00243B84" w:rsidRDefault="00243B84"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15905">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CFFE232" w14:textId="77777777" w:rsidR="00243B84" w:rsidRDefault="00243B84" w:rsidP="00007AA8">
          <w:pPr>
            <w:pStyle w:val="HeaderRegProc"/>
            <w:rPr>
              <w:lang w:val="fr-CH"/>
            </w:rPr>
          </w:pPr>
          <w:proofErr w:type="gramStart"/>
          <w:r>
            <w:rPr>
              <w:lang w:val="fr-CH"/>
            </w:rPr>
            <w:t>página</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9577A0" w14:textId="77777777" w:rsidR="00243B84" w:rsidRDefault="00243B84" w:rsidP="00007AA8">
          <w:pPr>
            <w:pStyle w:val="HeaderRegProc"/>
            <w:rPr>
              <w:lang w:val="fr-CH"/>
            </w:rPr>
          </w:pPr>
          <w:proofErr w:type="gramStart"/>
          <w:r>
            <w:rPr>
              <w:lang w:val="fr-CH"/>
            </w:rPr>
            <w:t>rev</w:t>
          </w:r>
          <w:proofErr w:type="gramEnd"/>
          <w:r>
            <w:rPr>
              <w:lang w:val="fr-CH"/>
            </w:rPr>
            <w:t xml:space="preserve">. </w:t>
          </w:r>
          <w:r>
            <w:t>-</w:t>
          </w:r>
        </w:p>
      </w:tc>
    </w:tr>
  </w:tbl>
  <w:p w14:paraId="49B5D275" w14:textId="77777777" w:rsidR="00243B84" w:rsidRDefault="00243B84">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43DAE2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31B9A8" w14:textId="158A7D14"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4D455C">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AC49A8" w14:textId="364B5518" w:rsidR="007303BC" w:rsidRDefault="004D455C">
          <w:pPr>
            <w:pStyle w:val="HeaderRegProc"/>
            <w:rPr>
              <w:lang w:val="fr-FR"/>
            </w:rPr>
          </w:pPr>
          <w:fldSimple w:instr=" DOCPROPERTY &quot;Header&quot; \* MERGEFORMAT ">
            <w:r>
              <w:t>AR</w:t>
            </w:r>
          </w:fldSimple>
          <w:r w:rsidR="007303BC">
            <w:fldChar w:fldCharType="begin"/>
          </w:r>
          <w:r w:rsidR="007303BC">
            <w:instrText>styleref href2</w:instrText>
          </w:r>
          <w:r w:rsidR="007303BC">
            <w:fldChar w:fldCharType="separate"/>
          </w:r>
          <w:r>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E9293F6" w14:textId="77777777" w:rsidR="007303BC" w:rsidRDefault="007303BC">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432DB7" w14:textId="0BFC9A78" w:rsidR="007303BC" w:rsidRDefault="007303BC">
          <w:pPr>
            <w:pStyle w:val="HeaderRegProc"/>
            <w:rPr>
              <w:lang w:val="fr-CH"/>
            </w:rPr>
          </w:pPr>
          <w:proofErr w:type="gramStart"/>
          <w:r>
            <w:rPr>
              <w:lang w:val="fr-CH"/>
            </w:rPr>
            <w:t>rev</w:t>
          </w:r>
          <w:proofErr w:type="gramEnd"/>
          <w:r>
            <w:rPr>
              <w:lang w:val="fr-CH"/>
            </w:rPr>
            <w:t>.</w:t>
          </w:r>
          <w:r>
            <w:fldChar w:fldCharType="begin"/>
          </w:r>
          <w:r>
            <w:rPr>
              <w:lang w:val="fr-CH"/>
            </w:rPr>
            <w:instrText xml:space="preserve"> DOCPROPERTY "Header10" \* MERGEFORMAT </w:instrText>
          </w:r>
          <w:r>
            <w:fldChar w:fldCharType="separate"/>
          </w:r>
          <w:r w:rsidR="004D455C">
            <w:rPr>
              <w:lang w:val="fr-CH"/>
            </w:rPr>
            <w:t>-</w:t>
          </w:r>
          <w:r>
            <w:fldChar w:fldCharType="end"/>
          </w:r>
        </w:p>
      </w:tc>
    </w:tr>
  </w:tbl>
  <w:p w14:paraId="7D4F04DA" w14:textId="77777777" w:rsidR="007303BC" w:rsidRDefault="007303BC">
    <w:pPr>
      <w:rPr>
        <w:lang w:val="fr-CH"/>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375F70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75706C" w14:textId="26E4407E"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4D455C">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566D193" w14:textId="1CD95507" w:rsidR="007303BC" w:rsidRDefault="004D455C">
          <w:pPr>
            <w:pStyle w:val="HeaderRegProc"/>
            <w:rPr>
              <w:lang w:val="fr-FR"/>
            </w:rPr>
          </w:pPr>
          <w:fldSimple w:instr=" DOCPROPERTY &quot;Header&quot; \* MERGEFORMAT ">
            <w:r>
              <w:t>AR</w:t>
            </w:r>
          </w:fldSimple>
          <w:r w:rsidR="007303BC">
            <w:fldChar w:fldCharType="begin"/>
          </w:r>
          <w:r w:rsidR="007303BC">
            <w:instrText>styleref href2</w:instrText>
          </w:r>
          <w:r w:rsidR="007303BC">
            <w:fldChar w:fldCharType="separate"/>
          </w:r>
          <w:r>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482D56F" w14:textId="77777777" w:rsidR="007303BC" w:rsidRDefault="007303BC">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42E5C7" w14:textId="7EA931B8" w:rsidR="007303BC" w:rsidRDefault="007303BC">
          <w:pPr>
            <w:pStyle w:val="HeaderRegProc"/>
            <w:rPr>
              <w:lang w:val="fr-CH"/>
            </w:rPr>
          </w:pPr>
          <w:proofErr w:type="gramStart"/>
          <w:r>
            <w:rPr>
              <w:lang w:val="fr-CH"/>
            </w:rPr>
            <w:t>rev</w:t>
          </w:r>
          <w:proofErr w:type="gramEnd"/>
          <w:r>
            <w:rPr>
              <w:lang w:val="fr-CH"/>
            </w:rPr>
            <w:t>.</w:t>
          </w:r>
          <w:r>
            <w:fldChar w:fldCharType="begin"/>
          </w:r>
          <w:r>
            <w:rPr>
              <w:lang w:val="fr-CH"/>
            </w:rPr>
            <w:instrText xml:space="preserve"> DOCPROPERTY "Header10" \* MERGEFORMAT </w:instrText>
          </w:r>
          <w:r>
            <w:fldChar w:fldCharType="separate"/>
          </w:r>
          <w:r w:rsidR="004D455C">
            <w:rPr>
              <w:lang w:val="fr-CH"/>
            </w:rPr>
            <w:t>-</w:t>
          </w:r>
          <w:r>
            <w:fldChar w:fldCharType="end"/>
          </w:r>
        </w:p>
      </w:tc>
    </w:tr>
  </w:tbl>
  <w:p w14:paraId="7F93C646" w14:textId="77777777" w:rsidR="007303BC" w:rsidRDefault="007303BC">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7837E" w14:textId="77777777" w:rsidR="007303BC" w:rsidRDefault="007303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510D799F"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19804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BB4E9" w14:textId="2486A6F5"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1590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380545"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EEB81" w14:textId="7E38B6C5" w:rsidR="007303BC" w:rsidRDefault="007303BC" w:rsidP="00E41FDD">
          <w:pPr>
            <w:pStyle w:val="HeaderRegProc"/>
            <w:rPr>
              <w:color w:val="000000"/>
              <w:lang w:val="fr-CH"/>
            </w:rPr>
          </w:pPr>
          <w:proofErr w:type="gramStart"/>
          <w:r>
            <w:rPr>
              <w:color w:val="000000"/>
              <w:lang w:val="fr-CH"/>
            </w:rPr>
            <w:t>rev</w:t>
          </w:r>
          <w:proofErr w:type="gramEnd"/>
          <w:r>
            <w:rPr>
              <w:color w:val="000000"/>
              <w:lang w:val="fr-CH"/>
            </w:rPr>
            <w:t>.</w:t>
          </w:r>
          <w:r w:rsidR="00C75779">
            <w:rPr>
              <w:color w:val="000000"/>
              <w:lang w:val="fr-CH"/>
            </w:rPr>
            <w:t xml:space="preserve"> </w:t>
          </w:r>
          <w:r>
            <w:rPr>
              <w:color w:val="000000"/>
              <w:lang w:val="fr-CH"/>
            </w:rPr>
            <w:t>-</w:t>
          </w:r>
        </w:p>
      </w:tc>
    </w:tr>
  </w:tbl>
  <w:p w14:paraId="0CFFA6BA" w14:textId="77777777" w:rsidR="007303BC" w:rsidRDefault="007303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577D1" w14:paraId="48AF319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3B71A3A" w14:textId="77777777" w:rsidR="00F577D1" w:rsidRDefault="00F577D1">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275D294" w14:textId="056A235E" w:rsidR="00F577D1" w:rsidRDefault="00F577D1">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1590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1C3163" w14:textId="77777777" w:rsidR="00F577D1" w:rsidRPr="0062524A" w:rsidRDefault="00F577D1"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9F7097" w14:textId="48D9E55F" w:rsidR="00F577D1" w:rsidRDefault="00F577D1" w:rsidP="00D70EFE">
          <w:pPr>
            <w:pStyle w:val="HeaderRegProc"/>
            <w:rPr>
              <w:color w:val="000000"/>
              <w:lang w:val="fr-CH"/>
            </w:rPr>
          </w:pPr>
          <w:proofErr w:type="gramStart"/>
          <w:r>
            <w:rPr>
              <w:color w:val="000000"/>
              <w:lang w:val="fr-CH"/>
            </w:rPr>
            <w:t>rev</w:t>
          </w:r>
          <w:proofErr w:type="gramEnd"/>
          <w:r>
            <w:rPr>
              <w:color w:val="000000"/>
              <w:lang w:val="fr-CH"/>
            </w:rPr>
            <w:t>. -</w:t>
          </w:r>
        </w:p>
      </w:tc>
    </w:tr>
  </w:tbl>
  <w:p w14:paraId="040E3471" w14:textId="77777777" w:rsidR="00F577D1" w:rsidRDefault="00F577D1">
    <w:pPr>
      <w:pStyle w:val="Header"/>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15905" w14:paraId="2AEC226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42B960" w14:textId="77777777" w:rsidR="00415905" w:rsidRDefault="0041590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ECE5C5C" w14:textId="4539F425" w:rsidR="00415905" w:rsidRDefault="00415905">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BA1003" w14:textId="77777777" w:rsidR="00415905" w:rsidRPr="0062524A" w:rsidRDefault="00415905"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050DB8" w14:textId="2A4C0E18" w:rsidR="00415905" w:rsidRDefault="00415905" w:rsidP="00D70EFE">
          <w:pPr>
            <w:pStyle w:val="HeaderRegProc"/>
            <w:rPr>
              <w:color w:val="000000"/>
              <w:lang w:val="fr-CH"/>
            </w:rPr>
          </w:pPr>
          <w:proofErr w:type="gramStart"/>
          <w:r>
            <w:rPr>
              <w:color w:val="000000"/>
              <w:lang w:val="fr-CH"/>
            </w:rPr>
            <w:t>rev</w:t>
          </w:r>
          <w:proofErr w:type="gramEnd"/>
          <w:r>
            <w:rPr>
              <w:color w:val="000000"/>
              <w:lang w:val="fr-CH"/>
            </w:rPr>
            <w:t>. 2</w:t>
          </w:r>
        </w:p>
      </w:tc>
    </w:tr>
  </w:tbl>
  <w:p w14:paraId="3FF001F0" w14:textId="77777777" w:rsidR="00415905" w:rsidRDefault="00415905">
    <w:pPr>
      <w:pStyle w:val="Header"/>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85E51C8"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99DA9C6"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086F3C3" w14:textId="5AE4A6C7"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1590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249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2F56E" w14:textId="3886812C" w:rsidR="007303BC" w:rsidRDefault="007303BC" w:rsidP="00997054">
          <w:pPr>
            <w:pStyle w:val="HeaderRegProc"/>
            <w:rPr>
              <w:color w:val="000000"/>
              <w:lang w:val="fr-CH"/>
            </w:rPr>
          </w:pPr>
          <w:proofErr w:type="gramStart"/>
          <w:r>
            <w:rPr>
              <w:color w:val="000000"/>
              <w:lang w:val="fr-CH"/>
            </w:rPr>
            <w:t>rev</w:t>
          </w:r>
          <w:proofErr w:type="gramEnd"/>
          <w:r>
            <w:rPr>
              <w:color w:val="000000"/>
              <w:lang w:val="fr-CH"/>
            </w:rPr>
            <w:t xml:space="preserve">. </w:t>
          </w:r>
          <w:r w:rsidR="00D448F7">
            <w:rPr>
              <w:color w:val="000000"/>
              <w:lang w:val="fr-CH"/>
            </w:rPr>
            <w:t>-</w:t>
          </w:r>
        </w:p>
      </w:tc>
    </w:tr>
  </w:tbl>
  <w:p w14:paraId="657430CF" w14:textId="77777777" w:rsidR="007303BC" w:rsidRDefault="007303B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CDC4D5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D31805" w14:textId="77777777" w:rsidR="007303BC" w:rsidRDefault="007303BC">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664D4956" w14:textId="54C740AE" w:rsidR="007303BC" w:rsidRDefault="007303BC">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1590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035A0F" w14:textId="77777777" w:rsidR="007303BC" w:rsidRPr="0062524A" w:rsidRDefault="007303BC"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A2C7EB" w14:textId="77777777" w:rsidR="007303BC" w:rsidRDefault="007303BC" w:rsidP="00D70EFE">
          <w:pPr>
            <w:pStyle w:val="HeaderRegProc"/>
            <w:rPr>
              <w:color w:val="000000"/>
              <w:lang w:val="fr-CH"/>
            </w:rPr>
          </w:pPr>
          <w:proofErr w:type="gramStart"/>
          <w:r>
            <w:rPr>
              <w:color w:val="000000"/>
              <w:lang w:val="fr-CH"/>
            </w:rPr>
            <w:t>rev</w:t>
          </w:r>
          <w:proofErr w:type="gramEnd"/>
          <w:r>
            <w:rPr>
              <w:color w:val="000000"/>
              <w:lang w:val="fr-CH"/>
            </w:rPr>
            <w:t>. -</w:t>
          </w:r>
        </w:p>
      </w:tc>
    </w:tr>
  </w:tbl>
  <w:p w14:paraId="2A912EE6" w14:textId="77777777" w:rsidR="007303BC" w:rsidRDefault="007303BC">
    <w:pPr>
      <w:pStyle w:val="Header"/>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B58A910"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A013081"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AAEBDB9" w14:textId="293D66F7"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D455C">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1590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B13B86"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454AF0" w14:textId="4143877E" w:rsidR="007303BC" w:rsidRDefault="007303BC" w:rsidP="00997054">
          <w:pPr>
            <w:pStyle w:val="HeaderRegProc"/>
            <w:rPr>
              <w:color w:val="000000"/>
              <w:lang w:val="fr-CH"/>
            </w:rPr>
          </w:pPr>
          <w:proofErr w:type="gramStart"/>
          <w:r>
            <w:rPr>
              <w:color w:val="000000"/>
              <w:lang w:val="fr-CH"/>
            </w:rPr>
            <w:t>rev</w:t>
          </w:r>
          <w:proofErr w:type="gramEnd"/>
          <w:r>
            <w:rPr>
              <w:color w:val="000000"/>
              <w:lang w:val="fr-CH"/>
            </w:rPr>
            <w:t>. -</w:t>
          </w:r>
        </w:p>
      </w:tc>
    </w:tr>
  </w:tbl>
  <w:p w14:paraId="235A966B" w14:textId="77777777" w:rsidR="007303BC" w:rsidRDefault="007303BC" w:rsidP="006B1FA3">
    <w:pPr>
      <w:pStyle w:val="Header"/>
      <w:spacing w:before="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0AD40F15"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6E587C5" w14:textId="600BFFD1"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6E966455" w14:textId="0FB344E4"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D455C">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A9413EE" w14:textId="3F94100A" w:rsidR="007303BC" w:rsidRDefault="009E52D0" w:rsidP="00007AA8">
          <w:pPr>
            <w:pStyle w:val="HeaderRegProc"/>
            <w:rPr>
              <w:lang w:val="fr-CH"/>
            </w:rPr>
          </w:pPr>
          <w:proofErr w:type="gramStart"/>
          <w:r w:rsidRPr="009E52D0">
            <w:rPr>
              <w:lang w:val="fr-CH"/>
            </w:rPr>
            <w:t>página</w:t>
          </w:r>
          <w:proofErr w:type="gramEnd"/>
          <w:r w:rsidR="007303BC">
            <w:rPr>
              <w:lang w:val="fr-CH"/>
            </w:rPr>
            <w:t xml:space="preserve"> </w:t>
          </w:r>
          <w:r w:rsidR="007303BC">
            <w:rPr>
              <w:rStyle w:val="PageNumber"/>
            </w:rPr>
            <w:fldChar w:fldCharType="begin"/>
          </w:r>
          <w:r w:rsidR="007303BC">
            <w:rPr>
              <w:rStyle w:val="PageNumber"/>
            </w:rPr>
            <w:instrText xml:space="preserve"> PAGE </w:instrText>
          </w:r>
          <w:r w:rsidR="007303BC">
            <w:rPr>
              <w:rStyle w:val="PageNumber"/>
            </w:rPr>
            <w:fldChar w:fldCharType="separate"/>
          </w:r>
          <w:r w:rsidR="007303BC">
            <w:rPr>
              <w:rStyle w:val="PageNumber"/>
              <w:noProof/>
            </w:rPr>
            <w:t>26</w:t>
          </w:r>
          <w:r w:rsidR="007303B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D5F76" w14:textId="1CE97434" w:rsidR="007303BC" w:rsidRDefault="007303BC" w:rsidP="00007AA8">
          <w:pPr>
            <w:pStyle w:val="HeaderRegProc"/>
            <w:rPr>
              <w:lang w:val="fr-CH"/>
            </w:rPr>
          </w:pPr>
          <w:proofErr w:type="gramStart"/>
          <w:r>
            <w:rPr>
              <w:lang w:val="fr-CH"/>
            </w:rPr>
            <w:t>rev</w:t>
          </w:r>
          <w:proofErr w:type="gramEnd"/>
          <w:r>
            <w:rPr>
              <w:lang w:val="fr-CH"/>
            </w:rPr>
            <w:t>.</w:t>
          </w:r>
          <w:r w:rsidR="00C75779">
            <w:rPr>
              <w:lang w:val="fr-CH"/>
            </w:rPr>
            <w:t xml:space="preserve"> </w:t>
          </w:r>
          <w:r>
            <w:rPr>
              <w:lang w:val="fr-CH"/>
            </w:rPr>
            <w:t>-</w:t>
          </w:r>
        </w:p>
      </w:tc>
    </w:tr>
  </w:tbl>
  <w:p w14:paraId="04534A9C" w14:textId="77777777" w:rsidR="007303BC" w:rsidRDefault="007303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C8C"/>
    <w:rsid w:val="00002269"/>
    <w:rsid w:val="00007AA8"/>
    <w:rsid w:val="00014758"/>
    <w:rsid w:val="00025ECD"/>
    <w:rsid w:val="00033BEB"/>
    <w:rsid w:val="000343C9"/>
    <w:rsid w:val="00042807"/>
    <w:rsid w:val="00073433"/>
    <w:rsid w:val="00073763"/>
    <w:rsid w:val="000809F6"/>
    <w:rsid w:val="00084978"/>
    <w:rsid w:val="00087EB6"/>
    <w:rsid w:val="0009055E"/>
    <w:rsid w:val="000A24DA"/>
    <w:rsid w:val="000A6753"/>
    <w:rsid w:val="000D5CB8"/>
    <w:rsid w:val="000E7FB4"/>
    <w:rsid w:val="000F043D"/>
    <w:rsid w:val="000F3E5A"/>
    <w:rsid w:val="00106427"/>
    <w:rsid w:val="00130730"/>
    <w:rsid w:val="00131423"/>
    <w:rsid w:val="00141CA8"/>
    <w:rsid w:val="00145089"/>
    <w:rsid w:val="00151019"/>
    <w:rsid w:val="00157BE3"/>
    <w:rsid w:val="00163294"/>
    <w:rsid w:val="00170AA7"/>
    <w:rsid w:val="00171097"/>
    <w:rsid w:val="0017350B"/>
    <w:rsid w:val="001926B4"/>
    <w:rsid w:val="001929B4"/>
    <w:rsid w:val="001A29BD"/>
    <w:rsid w:val="001A74A8"/>
    <w:rsid w:val="001B34F3"/>
    <w:rsid w:val="001B4FEE"/>
    <w:rsid w:val="001B6F4B"/>
    <w:rsid w:val="001D4D9D"/>
    <w:rsid w:val="001E33F5"/>
    <w:rsid w:val="001E4B6D"/>
    <w:rsid w:val="001E71F0"/>
    <w:rsid w:val="001F528C"/>
    <w:rsid w:val="00202D8A"/>
    <w:rsid w:val="00231A73"/>
    <w:rsid w:val="002400F2"/>
    <w:rsid w:val="00243A7A"/>
    <w:rsid w:val="00243B84"/>
    <w:rsid w:val="00243C1F"/>
    <w:rsid w:val="002606DA"/>
    <w:rsid w:val="002611BA"/>
    <w:rsid w:val="00261E6D"/>
    <w:rsid w:val="00263244"/>
    <w:rsid w:val="00273900"/>
    <w:rsid w:val="00275DC3"/>
    <w:rsid w:val="002855F0"/>
    <w:rsid w:val="00285A0D"/>
    <w:rsid w:val="00290328"/>
    <w:rsid w:val="002956CA"/>
    <w:rsid w:val="0029768E"/>
    <w:rsid w:val="002C5784"/>
    <w:rsid w:val="002E7999"/>
    <w:rsid w:val="002F07F7"/>
    <w:rsid w:val="003011F9"/>
    <w:rsid w:val="00312F2B"/>
    <w:rsid w:val="003155E4"/>
    <w:rsid w:val="00316036"/>
    <w:rsid w:val="00323936"/>
    <w:rsid w:val="00334209"/>
    <w:rsid w:val="00334C36"/>
    <w:rsid w:val="003379CE"/>
    <w:rsid w:val="00340DF3"/>
    <w:rsid w:val="003421C9"/>
    <w:rsid w:val="003511A6"/>
    <w:rsid w:val="00353B4B"/>
    <w:rsid w:val="00354082"/>
    <w:rsid w:val="00355CA5"/>
    <w:rsid w:val="00363FC4"/>
    <w:rsid w:val="00364B5B"/>
    <w:rsid w:val="003667EC"/>
    <w:rsid w:val="00376B7F"/>
    <w:rsid w:val="00380438"/>
    <w:rsid w:val="00384465"/>
    <w:rsid w:val="00397807"/>
    <w:rsid w:val="003A212D"/>
    <w:rsid w:val="003A2B3C"/>
    <w:rsid w:val="003B3F7A"/>
    <w:rsid w:val="003C601A"/>
    <w:rsid w:val="003F178D"/>
    <w:rsid w:val="003F1DCA"/>
    <w:rsid w:val="003F4605"/>
    <w:rsid w:val="003F5E8B"/>
    <w:rsid w:val="003F7F87"/>
    <w:rsid w:val="00402C5C"/>
    <w:rsid w:val="004102CD"/>
    <w:rsid w:val="00415905"/>
    <w:rsid w:val="004270DD"/>
    <w:rsid w:val="004306BF"/>
    <w:rsid w:val="00432D3A"/>
    <w:rsid w:val="00437321"/>
    <w:rsid w:val="00437E8C"/>
    <w:rsid w:val="00443745"/>
    <w:rsid w:val="004609E2"/>
    <w:rsid w:val="004623D9"/>
    <w:rsid w:val="00493826"/>
    <w:rsid w:val="004962F1"/>
    <w:rsid w:val="004B0B17"/>
    <w:rsid w:val="004B74BC"/>
    <w:rsid w:val="004C1035"/>
    <w:rsid w:val="004C365A"/>
    <w:rsid w:val="004C44AE"/>
    <w:rsid w:val="004C6036"/>
    <w:rsid w:val="004C7294"/>
    <w:rsid w:val="004C789C"/>
    <w:rsid w:val="004D2453"/>
    <w:rsid w:val="004D455C"/>
    <w:rsid w:val="00510FE2"/>
    <w:rsid w:val="00514FDE"/>
    <w:rsid w:val="00515A02"/>
    <w:rsid w:val="005164F3"/>
    <w:rsid w:val="005212EF"/>
    <w:rsid w:val="005213D7"/>
    <w:rsid w:val="00525B76"/>
    <w:rsid w:val="0055260C"/>
    <w:rsid w:val="00552F92"/>
    <w:rsid w:val="00580ACB"/>
    <w:rsid w:val="00581AB1"/>
    <w:rsid w:val="00582968"/>
    <w:rsid w:val="00585B28"/>
    <w:rsid w:val="00585E27"/>
    <w:rsid w:val="00587B8C"/>
    <w:rsid w:val="005913DD"/>
    <w:rsid w:val="0059231A"/>
    <w:rsid w:val="00594CF0"/>
    <w:rsid w:val="005A1C6C"/>
    <w:rsid w:val="005A408A"/>
    <w:rsid w:val="005B4993"/>
    <w:rsid w:val="005D3354"/>
    <w:rsid w:val="005D38B8"/>
    <w:rsid w:val="005E5EFE"/>
    <w:rsid w:val="005E750A"/>
    <w:rsid w:val="006050D0"/>
    <w:rsid w:val="006159FB"/>
    <w:rsid w:val="00624015"/>
    <w:rsid w:val="0062524A"/>
    <w:rsid w:val="006278BA"/>
    <w:rsid w:val="0064339D"/>
    <w:rsid w:val="00653B0A"/>
    <w:rsid w:val="006541ED"/>
    <w:rsid w:val="0066792B"/>
    <w:rsid w:val="00671B06"/>
    <w:rsid w:val="006746D2"/>
    <w:rsid w:val="00676A4C"/>
    <w:rsid w:val="00676B57"/>
    <w:rsid w:val="00685DBD"/>
    <w:rsid w:val="006A5246"/>
    <w:rsid w:val="006B10B0"/>
    <w:rsid w:val="006B1FA3"/>
    <w:rsid w:val="006B6892"/>
    <w:rsid w:val="006D45DA"/>
    <w:rsid w:val="006E128E"/>
    <w:rsid w:val="006E3C11"/>
    <w:rsid w:val="00700F38"/>
    <w:rsid w:val="007025D6"/>
    <w:rsid w:val="00710A76"/>
    <w:rsid w:val="007142E9"/>
    <w:rsid w:val="00727D35"/>
    <w:rsid w:val="007303BC"/>
    <w:rsid w:val="007359FE"/>
    <w:rsid w:val="00735FE0"/>
    <w:rsid w:val="007429E4"/>
    <w:rsid w:val="0074662C"/>
    <w:rsid w:val="00756910"/>
    <w:rsid w:val="0077079D"/>
    <w:rsid w:val="00770D86"/>
    <w:rsid w:val="00771F68"/>
    <w:rsid w:val="00774C65"/>
    <w:rsid w:val="00782C00"/>
    <w:rsid w:val="007A21C3"/>
    <w:rsid w:val="007A3BDE"/>
    <w:rsid w:val="007A4CCC"/>
    <w:rsid w:val="007B5234"/>
    <w:rsid w:val="007C0E12"/>
    <w:rsid w:val="007C0F78"/>
    <w:rsid w:val="007E3FFE"/>
    <w:rsid w:val="007F700A"/>
    <w:rsid w:val="008036F8"/>
    <w:rsid w:val="0081048C"/>
    <w:rsid w:val="00820A8C"/>
    <w:rsid w:val="0082172F"/>
    <w:rsid w:val="008254E1"/>
    <w:rsid w:val="00827074"/>
    <w:rsid w:val="0083715B"/>
    <w:rsid w:val="00842CB9"/>
    <w:rsid w:val="008475FA"/>
    <w:rsid w:val="00857FBA"/>
    <w:rsid w:val="00862DC2"/>
    <w:rsid w:val="008709D6"/>
    <w:rsid w:val="00871B18"/>
    <w:rsid w:val="00873EF9"/>
    <w:rsid w:val="0088251D"/>
    <w:rsid w:val="00890F16"/>
    <w:rsid w:val="008A04C4"/>
    <w:rsid w:val="008A4B01"/>
    <w:rsid w:val="008A784F"/>
    <w:rsid w:val="008B66A6"/>
    <w:rsid w:val="008D3F16"/>
    <w:rsid w:val="009056FF"/>
    <w:rsid w:val="009243FB"/>
    <w:rsid w:val="0092491E"/>
    <w:rsid w:val="00934300"/>
    <w:rsid w:val="00947C8C"/>
    <w:rsid w:val="0095388D"/>
    <w:rsid w:val="0097090C"/>
    <w:rsid w:val="009749F0"/>
    <w:rsid w:val="0097772C"/>
    <w:rsid w:val="00997054"/>
    <w:rsid w:val="009A2F2C"/>
    <w:rsid w:val="009A5612"/>
    <w:rsid w:val="009A6831"/>
    <w:rsid w:val="009B0E26"/>
    <w:rsid w:val="009B4895"/>
    <w:rsid w:val="009B7147"/>
    <w:rsid w:val="009C3798"/>
    <w:rsid w:val="009C54F8"/>
    <w:rsid w:val="009C6C75"/>
    <w:rsid w:val="009D0297"/>
    <w:rsid w:val="009E52D0"/>
    <w:rsid w:val="009F15F9"/>
    <w:rsid w:val="00A00B06"/>
    <w:rsid w:val="00A160F1"/>
    <w:rsid w:val="00A36A08"/>
    <w:rsid w:val="00A60C28"/>
    <w:rsid w:val="00A650B3"/>
    <w:rsid w:val="00A76EAD"/>
    <w:rsid w:val="00A80144"/>
    <w:rsid w:val="00A841B7"/>
    <w:rsid w:val="00A84BA2"/>
    <w:rsid w:val="00A8577C"/>
    <w:rsid w:val="00A963AA"/>
    <w:rsid w:val="00AA0190"/>
    <w:rsid w:val="00AA6D4D"/>
    <w:rsid w:val="00AB6150"/>
    <w:rsid w:val="00AB7173"/>
    <w:rsid w:val="00AC3017"/>
    <w:rsid w:val="00AE2C45"/>
    <w:rsid w:val="00AE5F97"/>
    <w:rsid w:val="00AF0BF6"/>
    <w:rsid w:val="00AF7287"/>
    <w:rsid w:val="00B05D12"/>
    <w:rsid w:val="00B0754A"/>
    <w:rsid w:val="00B13390"/>
    <w:rsid w:val="00B35150"/>
    <w:rsid w:val="00B4459B"/>
    <w:rsid w:val="00B643BE"/>
    <w:rsid w:val="00B76760"/>
    <w:rsid w:val="00B90E64"/>
    <w:rsid w:val="00B97C02"/>
    <w:rsid w:val="00BA4474"/>
    <w:rsid w:val="00BA65FC"/>
    <w:rsid w:val="00BB5039"/>
    <w:rsid w:val="00BC75E2"/>
    <w:rsid w:val="00BE0EE8"/>
    <w:rsid w:val="00BF0573"/>
    <w:rsid w:val="00BF2F88"/>
    <w:rsid w:val="00C03BB1"/>
    <w:rsid w:val="00C124BB"/>
    <w:rsid w:val="00C13E79"/>
    <w:rsid w:val="00C23ED0"/>
    <w:rsid w:val="00C30B0F"/>
    <w:rsid w:val="00C522B9"/>
    <w:rsid w:val="00C54CFD"/>
    <w:rsid w:val="00C75779"/>
    <w:rsid w:val="00C93AC2"/>
    <w:rsid w:val="00CA2E46"/>
    <w:rsid w:val="00CA33C4"/>
    <w:rsid w:val="00CD7CA4"/>
    <w:rsid w:val="00CE260D"/>
    <w:rsid w:val="00CE3DE4"/>
    <w:rsid w:val="00CE4342"/>
    <w:rsid w:val="00D00CA3"/>
    <w:rsid w:val="00D01428"/>
    <w:rsid w:val="00D15B32"/>
    <w:rsid w:val="00D16069"/>
    <w:rsid w:val="00D223F5"/>
    <w:rsid w:val="00D2326A"/>
    <w:rsid w:val="00D26314"/>
    <w:rsid w:val="00D405CB"/>
    <w:rsid w:val="00D43A78"/>
    <w:rsid w:val="00D448F7"/>
    <w:rsid w:val="00D47A90"/>
    <w:rsid w:val="00D561C2"/>
    <w:rsid w:val="00D6002A"/>
    <w:rsid w:val="00D70EFE"/>
    <w:rsid w:val="00D71E4B"/>
    <w:rsid w:val="00D72BCF"/>
    <w:rsid w:val="00D74F5F"/>
    <w:rsid w:val="00DA47A4"/>
    <w:rsid w:val="00DB387B"/>
    <w:rsid w:val="00DC5BEC"/>
    <w:rsid w:val="00DD0038"/>
    <w:rsid w:val="00DE1E30"/>
    <w:rsid w:val="00DE2B84"/>
    <w:rsid w:val="00DF5A15"/>
    <w:rsid w:val="00E14361"/>
    <w:rsid w:val="00E20345"/>
    <w:rsid w:val="00E239D8"/>
    <w:rsid w:val="00E30F08"/>
    <w:rsid w:val="00E41412"/>
    <w:rsid w:val="00E41FDD"/>
    <w:rsid w:val="00E52D87"/>
    <w:rsid w:val="00E55618"/>
    <w:rsid w:val="00E573EE"/>
    <w:rsid w:val="00E6127D"/>
    <w:rsid w:val="00E90A91"/>
    <w:rsid w:val="00EA2D8D"/>
    <w:rsid w:val="00EA6945"/>
    <w:rsid w:val="00ED7544"/>
    <w:rsid w:val="00EF41B3"/>
    <w:rsid w:val="00EF6BA1"/>
    <w:rsid w:val="00F01943"/>
    <w:rsid w:val="00F064A9"/>
    <w:rsid w:val="00F07F11"/>
    <w:rsid w:val="00F10B0B"/>
    <w:rsid w:val="00F15E33"/>
    <w:rsid w:val="00F17FBF"/>
    <w:rsid w:val="00F23BAE"/>
    <w:rsid w:val="00F4327C"/>
    <w:rsid w:val="00F5147F"/>
    <w:rsid w:val="00F566E3"/>
    <w:rsid w:val="00F56981"/>
    <w:rsid w:val="00F577D1"/>
    <w:rsid w:val="00F60ECF"/>
    <w:rsid w:val="00F74C0C"/>
    <w:rsid w:val="00FB02FE"/>
    <w:rsid w:val="00FB0FA5"/>
    <w:rsid w:val="00FB2095"/>
    <w:rsid w:val="00FB6506"/>
    <w:rsid w:val="00FB7448"/>
    <w:rsid w:val="00FC293D"/>
    <w:rsid w:val="00FE6D36"/>
    <w:rsid w:val="00FF225F"/>
    <w:rsid w:val="00FF37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555BD5"/>
  <w15:docId w15:val="{5A5FB703-7738-49A9-8FCC-2211DBB5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rsid w:val="00F566E3"/>
    <w:pPr>
      <w:keepNext/>
      <w:keepLines/>
      <w:spacing w:before="720"/>
      <w:jc w:val="center"/>
      <w:outlineLvl w:val="0"/>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odyText">
    <w:name w:val="Body Text"/>
    <w:basedOn w:val="Normal"/>
    <w:rPr>
      <w:color w:val="000000"/>
      <w:lang w:val="es-ES"/>
    </w:rPr>
  </w:style>
  <w:style w:type="character" w:customStyle="1" w:styleId="enumlev1Char">
    <w:name w:val="enumlev1 Char"/>
    <w:basedOn w:val="DefaultParagraphFont"/>
    <w:link w:val="enumlev1"/>
    <w:rsid w:val="00D561C2"/>
    <w:rPr>
      <w:sz w:val="24"/>
      <w:lang w:val="en-GB" w:eastAsia="en-US"/>
    </w:rPr>
  </w:style>
  <w:style w:type="paragraph" w:customStyle="1" w:styleId="Proposal">
    <w:name w:val="Proposal"/>
    <w:basedOn w:val="Normal"/>
    <w:next w:val="Normal"/>
    <w:rsid w:val="00857FBA"/>
    <w:pPr>
      <w:keepNext/>
      <w:spacing w:before="240"/>
      <w:jc w:val="left"/>
    </w:pPr>
    <w:rPr>
      <w:rFonts w:hAnsi="Times New Roman Bold"/>
      <w:lang w:val="es-ES_tradnl"/>
    </w:rPr>
  </w:style>
  <w:style w:type="paragraph" w:styleId="BalloonText">
    <w:name w:val="Balloon Text"/>
    <w:basedOn w:val="Normal"/>
    <w:link w:val="BalloonTextChar"/>
    <w:rsid w:val="00BE0EE8"/>
    <w:pPr>
      <w:spacing w:before="0"/>
    </w:pPr>
    <w:rPr>
      <w:rFonts w:ascii="Tahoma" w:hAnsi="Tahoma" w:cs="Tahoma"/>
      <w:sz w:val="16"/>
      <w:szCs w:val="16"/>
    </w:rPr>
  </w:style>
  <w:style w:type="character" w:customStyle="1" w:styleId="BalloonTextChar">
    <w:name w:val="Balloon Text Char"/>
    <w:basedOn w:val="DefaultParagraphFont"/>
    <w:link w:val="BalloonText"/>
    <w:rsid w:val="00BE0EE8"/>
    <w:rPr>
      <w:rFonts w:ascii="Tahoma" w:hAnsi="Tahoma" w:cs="Tahoma"/>
      <w:sz w:val="16"/>
      <w:szCs w:val="16"/>
      <w:lang w:val="en-GB" w:eastAsia="en-US"/>
    </w:rPr>
  </w:style>
  <w:style w:type="character" w:customStyle="1" w:styleId="HeaderChar">
    <w:name w:val="Header Char"/>
    <w:aliases w:val="encabezado Char"/>
    <w:basedOn w:val="DefaultParagraphFont"/>
    <w:link w:val="Header"/>
    <w:rsid w:val="00BE0EE8"/>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85DBD"/>
    <w:rPr>
      <w:lang w:val="en-GB" w:eastAsia="en-US"/>
    </w:rPr>
  </w:style>
  <w:style w:type="paragraph" w:customStyle="1" w:styleId="Reasons">
    <w:name w:val="Reasons"/>
    <w:basedOn w:val="Normal"/>
    <w:qFormat/>
    <w:rsid w:val="006159FB"/>
    <w:pPr>
      <w:tabs>
        <w:tab w:val="clear" w:pos="1871"/>
        <w:tab w:val="clear" w:pos="2268"/>
        <w:tab w:val="left" w:pos="1588"/>
        <w:tab w:val="left" w:pos="1985"/>
      </w:tabs>
      <w:spacing w:before="120"/>
      <w:jc w:val="lef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20.xml"/><Relationship Id="rId3" Type="http://schemas.openxmlformats.org/officeDocument/2006/relationships/settings" Target="settings.xml"/><Relationship Id="rId21" Type="http://schemas.openxmlformats.org/officeDocument/2006/relationships/header" Target="header15.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9.xml"/><Relationship Id="rId33" Type="http://schemas.openxmlformats.org/officeDocument/2006/relationships/header" Target="header27.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29"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32" Type="http://schemas.openxmlformats.org/officeDocument/2006/relationships/header" Target="header26.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28" Type="http://schemas.openxmlformats.org/officeDocument/2006/relationships/header" Target="header22.xml"/><Relationship Id="rId10" Type="http://schemas.openxmlformats.org/officeDocument/2006/relationships/header" Target="header4.xml"/><Relationship Id="rId19" Type="http://schemas.openxmlformats.org/officeDocument/2006/relationships/header" Target="header13.xml"/><Relationship Id="rId31" Type="http://schemas.openxmlformats.org/officeDocument/2006/relationships/header" Target="header25.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header" Target="header21.xml"/><Relationship Id="rId30" Type="http://schemas.openxmlformats.org/officeDocument/2006/relationships/header" Target="header24.xml"/><Relationship Id="rId35" Type="http://schemas.openxmlformats.org/officeDocument/2006/relationships/theme" Target="theme/theme1.xml"/><Relationship Id="rId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F18DD-2033-415B-B193-A3046157A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1140</TotalTime>
  <Pages>33</Pages>
  <Words>14027</Words>
  <Characters>74064</Characters>
  <Application>Microsoft Office Word</Application>
  <DocSecurity>0</DocSecurity>
  <Lines>1234</Lines>
  <Paragraphs>358</Paragraphs>
  <ScaleCrop>false</ScaleCrop>
  <HeadingPairs>
    <vt:vector size="2" baseType="variant">
      <vt:variant>
        <vt:lpstr>Title</vt:lpstr>
      </vt:variant>
      <vt:variant>
        <vt:i4>1</vt:i4>
      </vt:variant>
    </vt:vector>
  </HeadingPairs>
  <TitlesOfParts>
    <vt:vector size="1" baseType="lpstr">
      <vt:lpstr>Règles de procédures / Edition 20024</vt:lpstr>
    </vt:vector>
  </TitlesOfParts>
  <Manager>C--107223/DD</Manager>
  <Company>ITU</Company>
  <LinksUpToDate>false</LinksUpToDate>
  <CharactersWithSpaces>87733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20024</dc:title>
  <dc:subject>Art. 11</dc:subject>
  <dc:creator>Composition des Publications</dc:creator>
  <cp:keywords>Folios: 1 - 24 (blanc)</cp:keywords>
  <dc:description>Edition 2009:  12.02.2009/DD  (dict. ok)_x000d_
Corr. 1ère interne:  09.03.2009/DD</dc:description>
  <cp:lastModifiedBy>Saez Grau, Ricardo</cp:lastModifiedBy>
  <cp:revision>268</cp:revision>
  <cp:lastPrinted>2025-12-05T10:52:00Z</cp:lastPrinted>
  <dcterms:created xsi:type="dcterms:W3CDTF">2012-10-02T12:17:00Z</dcterms:created>
  <dcterms:modified xsi:type="dcterms:W3CDTF">2026-07-07T13:36:00Z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