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4D52B" w14:textId="52884B2D" w:rsidR="000A14AD" w:rsidRPr="00C86C23" w:rsidRDefault="00C86C23" w:rsidP="000A14AD">
      <w:pPr>
        <w:pStyle w:val="Heading1"/>
        <w:spacing w:before="300"/>
        <w:ind w:left="0" w:firstLine="0"/>
        <w:jc w:val="center"/>
        <w:rPr>
          <w:b w:val="0"/>
          <w:szCs w:val="22"/>
          <w:lang w:val="fr-CH"/>
        </w:rPr>
      </w:pPr>
      <w:r w:rsidRPr="00D57100">
        <w:rPr>
          <w:szCs w:val="22"/>
          <w:lang w:val="fr-CH"/>
        </w:rPr>
        <w:t>Règles relatives à la</w:t>
      </w:r>
    </w:p>
    <w:p w14:paraId="11F2C903" w14:textId="71C03B92" w:rsidR="000A14AD" w:rsidRPr="00C86C23" w:rsidRDefault="00C86C23" w:rsidP="000E7624">
      <w:pPr>
        <w:pStyle w:val="Heading2"/>
        <w:ind w:left="0" w:firstLine="0"/>
        <w:jc w:val="center"/>
        <w:rPr>
          <w:szCs w:val="22"/>
          <w:lang w:val="fr-CH"/>
        </w:rPr>
      </w:pPr>
      <w:r w:rsidRPr="00D57100">
        <w:rPr>
          <w:szCs w:val="22"/>
          <w:lang w:val="fr-CH"/>
        </w:rPr>
        <w:t>RÉSOLUTION</w:t>
      </w:r>
      <w:r w:rsidR="000A14AD" w:rsidRPr="00C86C23">
        <w:rPr>
          <w:szCs w:val="22"/>
          <w:lang w:val="fr-CH"/>
        </w:rPr>
        <w:t xml:space="preserve">  </w:t>
      </w:r>
      <w:r w:rsidR="003D33FD" w:rsidRPr="00C86C23">
        <w:rPr>
          <w:szCs w:val="22"/>
          <w:lang w:val="fr-CH"/>
        </w:rPr>
        <w:t>67</w:t>
      </w:r>
      <w:r w:rsidR="00FC5A5F" w:rsidRPr="00C86C23">
        <w:rPr>
          <w:szCs w:val="22"/>
          <w:lang w:val="fr-CH"/>
        </w:rPr>
        <w:t>9</w:t>
      </w:r>
      <w:r w:rsidR="000A14AD" w:rsidRPr="00C86C23">
        <w:rPr>
          <w:szCs w:val="22"/>
          <w:lang w:val="fr-CH"/>
        </w:rPr>
        <w:t xml:space="preserve"> (</w:t>
      </w:r>
      <w:r>
        <w:rPr>
          <w:szCs w:val="22"/>
          <w:lang w:val="fr-CH"/>
        </w:rPr>
        <w:t>CMR</w:t>
      </w:r>
      <w:r w:rsidR="000A14AD" w:rsidRPr="00C86C23">
        <w:rPr>
          <w:szCs w:val="22"/>
          <w:lang w:val="fr-CH"/>
        </w:rPr>
        <w:t>-</w:t>
      </w:r>
      <w:r w:rsidR="003D33FD" w:rsidRPr="00C86C23">
        <w:rPr>
          <w:szCs w:val="22"/>
          <w:lang w:val="fr-CH"/>
        </w:rPr>
        <w:t>23</w:t>
      </w:r>
      <w:r w:rsidR="000A14AD" w:rsidRPr="00C86C23">
        <w:rPr>
          <w:szCs w:val="22"/>
          <w:lang w:val="fr-CH"/>
        </w:rPr>
        <w:t>)</w:t>
      </w:r>
      <w:proofErr w:type="gramStart"/>
      <w:r w:rsidR="00904444" w:rsidRPr="00C86C23">
        <w:rPr>
          <w:szCs w:val="22"/>
          <w:lang w:val="fr-CH"/>
        </w:rPr>
        <w:t xml:space="preserve">   </w:t>
      </w:r>
      <w:r w:rsidR="00904444" w:rsidRPr="00C86C23">
        <w:rPr>
          <w:b w:val="0"/>
          <w:sz w:val="16"/>
          <w:szCs w:val="16"/>
          <w:lang w:val="fr-CH"/>
        </w:rPr>
        <w:t>(</w:t>
      </w:r>
      <w:proofErr w:type="gramEnd"/>
      <w:r w:rsidR="00904444" w:rsidRPr="00C86C23">
        <w:rPr>
          <w:b w:val="0"/>
          <w:sz w:val="16"/>
          <w:szCs w:val="16"/>
          <w:lang w:val="fr-CH"/>
        </w:rPr>
        <w:t>ADD RRB26/532)</w:t>
      </w:r>
    </w:p>
    <w:p w14:paraId="0C1AC781" w14:textId="1BB4EC49" w:rsidR="003F2AFA" w:rsidRPr="00C86C23" w:rsidRDefault="00C86C23" w:rsidP="000071D0">
      <w:pPr>
        <w:pStyle w:val="Heading1"/>
        <w:spacing w:before="300"/>
        <w:ind w:left="0" w:firstLine="0"/>
        <w:jc w:val="center"/>
        <w:rPr>
          <w:lang w:val="fr-CH"/>
        </w:rPr>
      </w:pPr>
      <w:r w:rsidRPr="00C86C23">
        <w:rPr>
          <w:bCs/>
          <w:lang w:val="fr-FR"/>
        </w:rPr>
        <w:t xml:space="preserve">Utilisation des bandes de fréquences 18,1-18,6 GHz, 18,8-20,2 GHz et </w:t>
      </w:r>
      <w:r w:rsidRPr="00C86C23">
        <w:rPr>
          <w:bCs/>
          <w:lang w:val="fr-FR"/>
        </w:rPr>
        <w:br/>
        <w:t>27,5-30 GHz par le service inter-satellites</w:t>
      </w:r>
    </w:p>
    <w:p w14:paraId="0D333914" w14:textId="01216293" w:rsidR="00C86C23" w:rsidRPr="00C86C23" w:rsidRDefault="00C86C23" w:rsidP="00C86C23">
      <w:pPr>
        <w:rPr>
          <w:lang w:val="fr-CH"/>
        </w:rPr>
      </w:pPr>
      <w:r w:rsidRPr="001A7502">
        <w:rPr>
          <w:lang w:val="fr-FR" w:eastAsia="en-GB"/>
        </w:rPr>
        <w:t xml:space="preserve">Afin de garantir l'application cohérente de la Résolution </w:t>
      </w:r>
      <w:r w:rsidRPr="001A7502">
        <w:rPr>
          <w:b/>
          <w:bCs/>
          <w:lang w:val="fr-FR" w:eastAsia="en-GB"/>
        </w:rPr>
        <w:t>679 (CMR-23)</w:t>
      </w:r>
      <w:r w:rsidRPr="001A7502">
        <w:rPr>
          <w:lang w:val="fr-FR" w:eastAsia="en-GB"/>
        </w:rPr>
        <w:t xml:space="preserve">, le Comité a décidé que la mesure prescrite au point 5 du </w:t>
      </w:r>
      <w:r w:rsidRPr="001A7502">
        <w:rPr>
          <w:i/>
          <w:iCs/>
          <w:lang w:val="fr-FR" w:eastAsia="en-GB"/>
        </w:rPr>
        <w:t>décide en outre</w:t>
      </w:r>
      <w:r w:rsidRPr="001A7502">
        <w:rPr>
          <w:lang w:val="fr-FR" w:eastAsia="en-GB"/>
        </w:rPr>
        <w:t xml:space="preserve"> s'applique également aux renseignements pour la publication anticipée soumis pour un réseau à satellite géostationnaire recevant dans la bande de fréquences 27,5</w:t>
      </w:r>
      <w:r w:rsidRPr="001A7502">
        <w:rPr>
          <w:lang w:val="fr-FR" w:eastAsia="en-GB"/>
        </w:rPr>
        <w:noBreakHyphen/>
        <w:t>30 GHz ou un système à satellites non géostationnaires recevant dans les bandes de fréquences 27,5</w:t>
      </w:r>
      <w:r w:rsidRPr="001A7502">
        <w:rPr>
          <w:lang w:val="fr-FR" w:eastAsia="en-GB"/>
        </w:rPr>
        <w:noBreakHyphen/>
        <w:t>29,1 GHz et 29,5-30 GHz et émettant dans les bandes de fréquences 18,1-18,6 GHz et 18,8-20,2 GHz. En conséquence, le Bureau retournera les renseignements pour la publication anticipée à l'administration notificatrice lorsqu'aucune assignation de fréquence inscrite à des stations terriennes types du service fixe par satellite ne peut être identifiée dans les bandes de fréquences correspondantes pour le réseau à satellite géostationnaire ou le système à satellites non géostationnaires associé, ou lorsque les renseignements pour la publication anticipée ne sont pas soumis conformément à la Résolution </w:t>
      </w:r>
      <w:r w:rsidRPr="001A7502">
        <w:rPr>
          <w:b/>
          <w:bCs/>
          <w:lang w:val="fr-FR" w:eastAsia="en-GB"/>
        </w:rPr>
        <w:t>679 (CMR</w:t>
      </w:r>
      <w:r w:rsidRPr="001A7502">
        <w:rPr>
          <w:b/>
          <w:bCs/>
          <w:lang w:val="fr-FR" w:eastAsia="en-GB"/>
        </w:rPr>
        <w:noBreakHyphen/>
        <w:t>23)</w:t>
      </w:r>
      <w:r w:rsidRPr="001A7502">
        <w:rPr>
          <w:lang w:val="fr-FR" w:eastAsia="en-GB"/>
        </w:rPr>
        <w:t>.</w:t>
      </w:r>
    </w:p>
    <w:p w14:paraId="3370F54D" w14:textId="585010DE" w:rsidR="000E7624" w:rsidRPr="00C86C23" w:rsidRDefault="000E7624" w:rsidP="000E7624">
      <w:pPr>
        <w:spacing w:before="0"/>
        <w:rPr>
          <w:sz w:val="16"/>
          <w:szCs w:val="16"/>
          <w:lang w:val="fr-CH"/>
        </w:rPr>
      </w:pPr>
    </w:p>
    <w:p w14:paraId="01D1B84D" w14:textId="0CD730B2" w:rsidR="00E052A7" w:rsidRDefault="00E052A7" w:rsidP="00D55F11">
      <w:pPr>
        <w:spacing w:before="120"/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896D9C9" w14:textId="77777777" w:rsidR="000071D0" w:rsidRDefault="000071D0" w:rsidP="000071D0"/>
    <w:p w14:paraId="54131F9F" w14:textId="77777777" w:rsidR="000071D0" w:rsidRDefault="000071D0" w:rsidP="000071D0"/>
    <w:p w14:paraId="2E7D8DEA" w14:textId="77777777" w:rsidR="000071D0" w:rsidRDefault="000071D0" w:rsidP="000071D0"/>
    <w:p w14:paraId="7D0F4CB9" w14:textId="77777777" w:rsidR="000071D0" w:rsidRDefault="000071D0" w:rsidP="000071D0"/>
    <w:p w14:paraId="36765821" w14:textId="77777777" w:rsidR="000071D0" w:rsidRDefault="000071D0" w:rsidP="000071D0"/>
    <w:p w14:paraId="602C7C3A" w14:textId="77777777" w:rsidR="000071D0" w:rsidRDefault="000071D0" w:rsidP="000071D0"/>
    <w:p w14:paraId="05C6D9FD" w14:textId="77777777" w:rsidR="000071D0" w:rsidRDefault="000071D0" w:rsidP="000071D0"/>
    <w:p w14:paraId="3EE588D8" w14:textId="77777777" w:rsidR="000071D0" w:rsidRDefault="000071D0" w:rsidP="000071D0"/>
    <w:p w14:paraId="7EA41D51" w14:textId="77777777" w:rsidR="000071D0" w:rsidRDefault="000071D0" w:rsidP="000071D0"/>
    <w:p w14:paraId="6BFB545E" w14:textId="77777777" w:rsidR="000071D0" w:rsidRDefault="000071D0" w:rsidP="000071D0"/>
    <w:p w14:paraId="78C25522" w14:textId="77777777" w:rsidR="000071D0" w:rsidRPr="00D55F11" w:rsidRDefault="000071D0" w:rsidP="000071D0"/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4D9C9" w14:textId="77777777" w:rsidR="00F85847" w:rsidRDefault="00F85847">
      <w:r>
        <w:separator/>
      </w:r>
    </w:p>
  </w:endnote>
  <w:endnote w:type="continuationSeparator" w:id="0">
    <w:p w14:paraId="7DADE63A" w14:textId="77777777" w:rsidR="00F85847" w:rsidRDefault="00F8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973AD" w14:textId="77777777" w:rsidR="00F85847" w:rsidRDefault="00F85847">
      <w:r>
        <w:rPr>
          <w:b/>
        </w:rPr>
        <w:t>_______________</w:t>
      </w:r>
    </w:p>
  </w:footnote>
  <w:footnote w:type="continuationSeparator" w:id="0">
    <w:p w14:paraId="4E39CC2A" w14:textId="77777777" w:rsidR="00F85847" w:rsidRDefault="00F85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071D0" w14:paraId="32CEE82A" w14:textId="77777777" w:rsidTr="000071D0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31F06C" w14:textId="77777777" w:rsidR="000071D0" w:rsidRDefault="000071D0" w:rsidP="000071D0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E1419E" w14:textId="77777777" w:rsidR="000071D0" w:rsidRDefault="000071D0" w:rsidP="000071D0">
          <w:pPr>
            <w:pStyle w:val="HeaderRegProc"/>
            <w:rPr>
              <w:lang w:val="fr-FR"/>
            </w:rPr>
          </w:pPr>
          <w:r>
            <w:t>RES678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9F10D4" w14:textId="77777777" w:rsidR="000071D0" w:rsidRDefault="000071D0" w:rsidP="000071D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558B53" w14:textId="20F92ADF" w:rsidR="000071D0" w:rsidRDefault="000071D0" w:rsidP="000071D0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DE3509">
            <w:rPr>
              <w:lang w:val="fr-CH"/>
            </w:rPr>
            <w:t>-</w:t>
          </w:r>
        </w:p>
      </w:tc>
    </w:tr>
  </w:tbl>
  <w:p w14:paraId="430F01B3" w14:textId="77777777" w:rsidR="000A14AD" w:rsidRPr="000071D0" w:rsidRDefault="000A14AD" w:rsidP="000071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3855B0C5" w:rsidR="000A14AD" w:rsidRDefault="000A14AD" w:rsidP="001221BA">
          <w:pPr>
            <w:pStyle w:val="HeaderRegProc"/>
          </w:pPr>
          <w:r>
            <w:t>Part</w:t>
          </w:r>
          <w:r w:rsidR="00C86C23">
            <w:t>ie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91F9758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3D33FD">
            <w:t>67</w:t>
          </w:r>
          <w:r w:rsidR="00161D07">
            <w:t>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0784861D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C86C23">
            <w:rPr>
              <w:lang w:val="fr-CH"/>
            </w:rPr>
            <w:t>é</w:t>
          </w:r>
          <w:r>
            <w:rPr>
              <w:lang w:val="fr-CH"/>
            </w:rPr>
            <w:t>v</w:t>
          </w:r>
          <w:proofErr w:type="gramEnd"/>
          <w:r>
            <w:rPr>
              <w:lang w:val="fr-CH"/>
            </w:rPr>
            <w:t>.</w:t>
          </w:r>
          <w:r w:rsidR="00161D07">
            <w:rPr>
              <w:lang w:val="fr-CH"/>
            </w:rPr>
            <w:t>2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071D0"/>
    <w:rsid w:val="00055CA1"/>
    <w:rsid w:val="000A14AD"/>
    <w:rsid w:val="000B52F9"/>
    <w:rsid w:val="000D1D6D"/>
    <w:rsid w:val="000E051F"/>
    <w:rsid w:val="000E7624"/>
    <w:rsid w:val="000F7D8B"/>
    <w:rsid w:val="00117C3F"/>
    <w:rsid w:val="001221BA"/>
    <w:rsid w:val="00161D07"/>
    <w:rsid w:val="001A7879"/>
    <w:rsid w:val="001B1BDB"/>
    <w:rsid w:val="00242B06"/>
    <w:rsid w:val="002A688C"/>
    <w:rsid w:val="002E60F1"/>
    <w:rsid w:val="002F6FCF"/>
    <w:rsid w:val="0031098C"/>
    <w:rsid w:val="00382B7D"/>
    <w:rsid w:val="003B50A6"/>
    <w:rsid w:val="003D33FD"/>
    <w:rsid w:val="003D6283"/>
    <w:rsid w:val="003E1D7F"/>
    <w:rsid w:val="003F0B46"/>
    <w:rsid w:val="003F2AFA"/>
    <w:rsid w:val="00442396"/>
    <w:rsid w:val="00461D63"/>
    <w:rsid w:val="004C12AA"/>
    <w:rsid w:val="00526977"/>
    <w:rsid w:val="00545224"/>
    <w:rsid w:val="005525D9"/>
    <w:rsid w:val="00636EA8"/>
    <w:rsid w:val="006948D0"/>
    <w:rsid w:val="006A4C0E"/>
    <w:rsid w:val="0075378D"/>
    <w:rsid w:val="00757481"/>
    <w:rsid w:val="00762ECE"/>
    <w:rsid w:val="00771BBD"/>
    <w:rsid w:val="007E3EEF"/>
    <w:rsid w:val="00824378"/>
    <w:rsid w:val="00825B20"/>
    <w:rsid w:val="00844A76"/>
    <w:rsid w:val="0089365D"/>
    <w:rsid w:val="008A34C6"/>
    <w:rsid w:val="00904444"/>
    <w:rsid w:val="00935263"/>
    <w:rsid w:val="009421B6"/>
    <w:rsid w:val="00955A20"/>
    <w:rsid w:val="0099265C"/>
    <w:rsid w:val="00A70933"/>
    <w:rsid w:val="00AC3C96"/>
    <w:rsid w:val="00AC7611"/>
    <w:rsid w:val="00AE669F"/>
    <w:rsid w:val="00B84975"/>
    <w:rsid w:val="00BA6673"/>
    <w:rsid w:val="00BC68BD"/>
    <w:rsid w:val="00C344DE"/>
    <w:rsid w:val="00C5739F"/>
    <w:rsid w:val="00C73FC1"/>
    <w:rsid w:val="00C86C23"/>
    <w:rsid w:val="00C91547"/>
    <w:rsid w:val="00CC1BC0"/>
    <w:rsid w:val="00D41107"/>
    <w:rsid w:val="00D55F11"/>
    <w:rsid w:val="00DA610C"/>
    <w:rsid w:val="00DE3509"/>
    <w:rsid w:val="00E052A7"/>
    <w:rsid w:val="00E224FB"/>
    <w:rsid w:val="00E40145"/>
    <w:rsid w:val="00E557EE"/>
    <w:rsid w:val="00E70951"/>
    <w:rsid w:val="00F17911"/>
    <w:rsid w:val="00F715D6"/>
    <w:rsid w:val="00F85847"/>
    <w:rsid w:val="00FC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1BDB"/>
    <w:pPr>
      <w:ind w:left="720"/>
      <w:contextualSpacing/>
    </w:pPr>
  </w:style>
  <w:style w:type="paragraph" w:styleId="Revision">
    <w:name w:val="Revision"/>
    <w:hidden/>
    <w:uiPriority w:val="99"/>
    <w:semiHidden/>
    <w:rsid w:val="00161D07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</TotalTime>
  <Pages>2</Pages>
  <Words>200</Words>
  <Characters>1039</Characters>
  <Application>Microsoft Office Word</Application>
  <DocSecurity>0</DocSecurity>
  <Lines>27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 Edition of 2025</vt:lpstr>
    </vt:vector>
  </TitlesOfParts>
  <Manager>CP--107223/DD</Manager>
  <Company>ITU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 édition 2025</dc:title>
  <dc:subject/>
  <dc:creator>Gachet, Christelle</dc:creator>
  <cp:keywords/>
  <dc:description/>
  <cp:lastModifiedBy>Gachet, Christelle</cp:lastModifiedBy>
  <cp:revision>4</cp:revision>
  <cp:lastPrinted>2024-11-28T12:33:00Z</cp:lastPrinted>
  <dcterms:created xsi:type="dcterms:W3CDTF">2026-07-07T10:57:00Z</dcterms:created>
  <dcterms:modified xsi:type="dcterms:W3CDTF">2026-07-07T11:51:00Z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