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BB48C" w14:textId="5D29A0FC" w:rsidR="008C497B" w:rsidRPr="00076E8E" w:rsidRDefault="008C497B" w:rsidP="001E6ED1">
      <w:pPr>
        <w:pStyle w:val="Heading1"/>
        <w:spacing w:before="300"/>
        <w:jc w:val="center"/>
        <w:rPr>
          <w:lang w:val="es-ES"/>
        </w:rPr>
      </w:pPr>
      <w:r w:rsidRPr="00076E8E">
        <w:rPr>
          <w:lang w:val="es-ES"/>
        </w:rPr>
        <w:t>PART</w:t>
      </w:r>
      <w:r w:rsidR="00076E8E" w:rsidRPr="00076E8E">
        <w:rPr>
          <w:lang w:val="es-ES"/>
        </w:rPr>
        <w:t>E</w:t>
      </w:r>
      <w:r w:rsidRPr="00076E8E">
        <w:rPr>
          <w:lang w:val="es-ES"/>
        </w:rPr>
        <w:t xml:space="preserve">  </w:t>
      </w:r>
      <w:r w:rsidRPr="00076E8E">
        <w:rPr>
          <w:rStyle w:val="href"/>
          <w:lang w:val="es-ES"/>
        </w:rPr>
        <w:t>B</w:t>
      </w:r>
    </w:p>
    <w:p w14:paraId="2C1A15EF" w14:textId="24E63B8D" w:rsidR="008C497B" w:rsidRPr="00076E8E" w:rsidRDefault="008C497B">
      <w:pPr>
        <w:pStyle w:val="Heading2"/>
        <w:ind w:left="0" w:firstLine="0"/>
        <w:jc w:val="center"/>
      </w:pPr>
      <w:r w:rsidRPr="00076E8E">
        <w:t>SEC</w:t>
      </w:r>
      <w:r w:rsidR="00076E8E" w:rsidRPr="00076E8E">
        <w:t>CIÓN</w:t>
      </w:r>
      <w:r w:rsidRPr="00076E8E">
        <w:t xml:space="preserve">  </w:t>
      </w:r>
      <w:r w:rsidRPr="00076E8E">
        <w:rPr>
          <w:rStyle w:val="href2"/>
        </w:rPr>
        <w:t>B</w:t>
      </w:r>
      <w:r w:rsidR="002F1B94" w:rsidRPr="00076E8E">
        <w:rPr>
          <w:rStyle w:val="href2"/>
        </w:rPr>
        <w:t>8</w:t>
      </w:r>
    </w:p>
    <w:p w14:paraId="402066F9" w14:textId="7D1F5805" w:rsidR="00076E8E" w:rsidRPr="00A805B4" w:rsidRDefault="00076E8E" w:rsidP="00076E8E">
      <w:pPr>
        <w:pStyle w:val="Sectiontitle"/>
      </w:pPr>
      <w:r w:rsidRPr="00A805B4">
        <w:t xml:space="preserve">Cálculo de los niveles de densidad de flujo de potencia producidos por las estaciones terrenas en movimiento aeronáuticas (ETEM-A) y su validación respecto de los límites especificados en el </w:t>
      </w:r>
      <w:r>
        <w:t>Anexo </w:t>
      </w:r>
      <w:r w:rsidRPr="00A805B4">
        <w:t xml:space="preserve">3 a la </w:t>
      </w:r>
      <w:r>
        <w:t>Resolución </w:t>
      </w:r>
      <w:r w:rsidRPr="00A805B4">
        <w:t>169 (Rev.</w:t>
      </w:r>
      <w:r>
        <w:t>CMR</w:t>
      </w:r>
      <w:r>
        <w:noBreakHyphen/>
      </w:r>
      <w:r w:rsidRPr="00A805B4">
        <w:t xml:space="preserve">23), el </w:t>
      </w:r>
      <w:r>
        <w:t>Anexo </w:t>
      </w:r>
      <w:r w:rsidRPr="00A805B4">
        <w:t xml:space="preserve">2 a la </w:t>
      </w:r>
      <w:r>
        <w:t>Resolución </w:t>
      </w:r>
      <w:r w:rsidRPr="00A805B4">
        <w:t>121 (</w:t>
      </w:r>
      <w:r>
        <w:t>CMR</w:t>
      </w:r>
      <w:r>
        <w:noBreakHyphen/>
      </w:r>
      <w:r w:rsidRPr="00A805B4">
        <w:t xml:space="preserve">23) </w:t>
      </w:r>
      <w:r w:rsidR="0024563E">
        <w:br/>
      </w:r>
      <w:r w:rsidRPr="00A805B4">
        <w:t xml:space="preserve">y el </w:t>
      </w:r>
      <w:r>
        <w:t>Anexo </w:t>
      </w:r>
      <w:r w:rsidRPr="00A805B4">
        <w:t xml:space="preserve">2 a la </w:t>
      </w:r>
      <w:r>
        <w:t>Resolución </w:t>
      </w:r>
      <w:r w:rsidRPr="00A805B4">
        <w:t>123 (</w:t>
      </w:r>
      <w:r>
        <w:t>CMR</w:t>
      </w:r>
      <w:r>
        <w:noBreakHyphen/>
      </w:r>
      <w:r w:rsidRPr="00A805B4">
        <w:t>23)</w:t>
      </w:r>
    </w:p>
    <w:p w14:paraId="361B22DE" w14:textId="2120C4D4" w:rsidR="00076E8E" w:rsidRPr="00A805B4" w:rsidRDefault="00076E8E" w:rsidP="008970B9">
      <w:pPr>
        <w:pStyle w:val="Normalaftertitle0"/>
        <w:jc w:val="both"/>
      </w:pPr>
      <w:r w:rsidRPr="00A805B4">
        <w:t xml:space="preserve">El </w:t>
      </w:r>
      <w:r>
        <w:t>Anexo </w:t>
      </w:r>
      <w:r w:rsidRPr="00A805B4">
        <w:t xml:space="preserve">2 de la </w:t>
      </w:r>
      <w:r>
        <w:t>Resolución </w:t>
      </w:r>
      <w:r w:rsidRPr="00A805B4">
        <w:rPr>
          <w:b/>
          <w:bCs/>
        </w:rPr>
        <w:t>121 (</w:t>
      </w:r>
      <w:r>
        <w:rPr>
          <w:b/>
          <w:bCs/>
        </w:rPr>
        <w:t>CMR</w:t>
      </w:r>
      <w:r>
        <w:rPr>
          <w:b/>
          <w:bCs/>
        </w:rPr>
        <w:noBreakHyphen/>
      </w:r>
      <w:r w:rsidRPr="00A805B4">
        <w:rPr>
          <w:b/>
          <w:bCs/>
        </w:rPr>
        <w:t>23)</w:t>
      </w:r>
      <w:r w:rsidRPr="00A805B4">
        <w:t xml:space="preserve"> y el </w:t>
      </w:r>
      <w:r>
        <w:t>Anexo </w:t>
      </w:r>
      <w:r w:rsidRPr="00A805B4">
        <w:t xml:space="preserve">2 de la </w:t>
      </w:r>
      <w:r>
        <w:t>Resolución </w:t>
      </w:r>
      <w:r w:rsidRPr="00A805B4">
        <w:rPr>
          <w:b/>
          <w:bCs/>
        </w:rPr>
        <w:t>123 (</w:t>
      </w:r>
      <w:r>
        <w:rPr>
          <w:b/>
          <w:bCs/>
        </w:rPr>
        <w:t>CMR</w:t>
      </w:r>
      <w:r>
        <w:rPr>
          <w:b/>
          <w:bCs/>
        </w:rPr>
        <w:noBreakHyphen/>
      </w:r>
      <w:r w:rsidRPr="00A805B4">
        <w:rPr>
          <w:b/>
          <w:bCs/>
        </w:rPr>
        <w:t>23)</w:t>
      </w:r>
      <w:r w:rsidRPr="00A805B4">
        <w:t xml:space="preserve"> contienen los métodos y procedimientos para examinar los niveles de densidad de flujo de potencia en la superficie de la Tierra producidos por las ETEM-A. La metodología correspondiente para la </w:t>
      </w:r>
      <w:r>
        <w:t>Resolución </w:t>
      </w:r>
      <w:r w:rsidRPr="00A805B4">
        <w:rPr>
          <w:b/>
          <w:bCs/>
        </w:rPr>
        <w:t>169 (Rev.</w:t>
      </w:r>
      <w:r>
        <w:rPr>
          <w:b/>
          <w:bCs/>
        </w:rPr>
        <w:t>CMR</w:t>
      </w:r>
      <w:r>
        <w:rPr>
          <w:b/>
          <w:bCs/>
        </w:rPr>
        <w:noBreakHyphen/>
      </w:r>
      <w:r w:rsidRPr="00A805B4">
        <w:rPr>
          <w:b/>
          <w:bCs/>
        </w:rPr>
        <w:t>23)</w:t>
      </w:r>
      <w:r w:rsidRPr="00A805B4">
        <w:t xml:space="preserve"> se incluye en la Recomendación UIT</w:t>
      </w:r>
      <w:r>
        <w:t>−</w:t>
      </w:r>
      <w:r w:rsidRPr="00A805B4">
        <w:t>R S.2158-0.</w:t>
      </w:r>
    </w:p>
    <w:p w14:paraId="4A157245" w14:textId="77777777" w:rsidR="00076E8E" w:rsidRPr="00076E8E" w:rsidRDefault="00076E8E" w:rsidP="00076E8E">
      <w:pPr>
        <w:pStyle w:val="Headingb0"/>
        <w:rPr>
          <w:lang w:val="es-ES"/>
        </w:rPr>
      </w:pPr>
      <w:r w:rsidRPr="00076E8E">
        <w:rPr>
          <w:lang w:val="es-ES"/>
        </w:rPr>
        <w:t>Ancho de banda de referencia del límite de dfp</w:t>
      </w:r>
    </w:p>
    <w:p w14:paraId="33CD8FD1" w14:textId="77777777" w:rsidR="00076E8E" w:rsidRPr="00076E8E" w:rsidRDefault="00076E8E" w:rsidP="00076E8E">
      <w:pPr>
        <w:rPr>
          <w:lang w:val="es-ES"/>
        </w:rPr>
      </w:pPr>
      <w:r w:rsidRPr="00076E8E">
        <w:rPr>
          <w:lang w:val="es-ES"/>
        </w:rPr>
        <w:t>Para calcular la potencia de transmisión a partir de la densidad espectral de potencia máxima o mínima de las ETEM-A, las tres metodologías contienen la misma fórmula.</w:t>
      </w:r>
    </w:p>
    <w:p w14:paraId="70131B17" w14:textId="77777777" w:rsidR="00076E8E" w:rsidRPr="00076E8E" w:rsidRDefault="00076E8E" w:rsidP="00076E8E">
      <w:pPr>
        <w:rPr>
          <w:lang w:val="es-ES"/>
        </w:rPr>
      </w:pPr>
      <w:r w:rsidRPr="00076E8E">
        <w:rPr>
          <w:lang w:val="es-ES"/>
        </w:rPr>
        <w:t>Dependiendo del conjunto de límites de dfp que se considere (es decir, para las altitudes de ETEM</w:t>
      </w:r>
      <w:r w:rsidRPr="00076E8E">
        <w:rPr>
          <w:lang w:val="es-ES"/>
        </w:rPr>
        <w:noBreakHyphen/>
        <w:t>A hasta 3 km o para las superiores a 3 km), habrá que tener en cuenta dos anchos de banda de referencia diferentes: 1 MHz y 14 MHz, respectivamente.</w:t>
      </w:r>
    </w:p>
    <w:p w14:paraId="28033D37" w14:textId="77777777" w:rsidR="00076E8E" w:rsidRPr="00076E8E" w:rsidRDefault="00076E8E" w:rsidP="00076E8E">
      <w:pPr>
        <w:rPr>
          <w:lang w:val="es-ES"/>
        </w:rPr>
      </w:pPr>
      <w:r w:rsidRPr="00076E8E">
        <w:rPr>
          <w:lang w:val="es-ES"/>
        </w:rPr>
        <w:t>La Junta observó que en la Nota 2 de la Recomendación UIT-R S.2158-0 se indica lo siguiente: «Para la utilización de un ancho de banda de emisión menor que el ancho de banda de referencia, esta metodología es aplicable siempre que la administración notificante confirme que la ETEM-A explota una única emisión dentro del ancho de banda de referencia. De no existir tal confirmación, esta metodología no sería aplicable.» Por otra parte, en la Resolución </w:t>
      </w:r>
      <w:r w:rsidRPr="00076E8E">
        <w:rPr>
          <w:b/>
          <w:bCs/>
          <w:lang w:val="es-ES"/>
        </w:rPr>
        <w:t>121 (CMR</w:t>
      </w:r>
      <w:r w:rsidRPr="00076E8E">
        <w:rPr>
          <w:b/>
          <w:bCs/>
          <w:lang w:val="es-ES"/>
        </w:rPr>
        <w:noBreakHyphen/>
        <w:t>23)</w:t>
      </w:r>
      <w:r w:rsidRPr="00076E8E">
        <w:rPr>
          <w:lang w:val="es-ES"/>
        </w:rPr>
        <w:t xml:space="preserve"> se observa que «La metodología supone que las ETEM-A sólo transmiten una emisión dentro del ancho de banda de referencia de 14 MHz».</w:t>
      </w:r>
    </w:p>
    <w:p w14:paraId="1958733A" w14:textId="1F502433" w:rsidR="003A19C7" w:rsidRPr="00076E8E" w:rsidRDefault="00076E8E" w:rsidP="00076E8E">
      <w:pPr>
        <w:rPr>
          <w:lang w:val="es-ES"/>
        </w:rPr>
      </w:pPr>
      <w:r w:rsidRPr="00076E8E">
        <w:rPr>
          <w:lang w:val="es-ES"/>
        </w:rPr>
        <w:t>En consecuencia, la Junta entendió que el objetivo de la Conferencia Mundial de Radiocomunicaciones (Sharm el-Sheikh, 2019) (CMR</w:t>
      </w:r>
      <w:r w:rsidRPr="00076E8E">
        <w:rPr>
          <w:lang w:val="es-ES"/>
        </w:rPr>
        <w:noBreakHyphen/>
        <w:t>19) y de la Conferencia Mundial de Radiocomunicaciones (Dubái, 2023) (CMR</w:t>
      </w:r>
      <w:r w:rsidRPr="00076E8E">
        <w:rPr>
          <w:lang w:val="es-ES"/>
        </w:rPr>
        <w:noBreakHyphen/>
        <w:t>23) era permitir el funcionamiento de una sola emisión portadora dentro del ancho de banda de referencia de 14 MHz para los tres casos contemplados en las Resoluciones </w:t>
      </w:r>
      <w:r w:rsidRPr="00076E8E">
        <w:rPr>
          <w:b/>
          <w:bCs/>
          <w:lang w:val="es-ES"/>
        </w:rPr>
        <w:t>121 (CMR</w:t>
      </w:r>
      <w:r w:rsidRPr="00076E8E">
        <w:rPr>
          <w:b/>
          <w:bCs/>
          <w:lang w:val="es-ES"/>
        </w:rPr>
        <w:noBreakHyphen/>
        <w:t>23)</w:t>
      </w:r>
      <w:r w:rsidRPr="00076E8E">
        <w:rPr>
          <w:lang w:val="es-ES"/>
        </w:rPr>
        <w:t xml:space="preserve">, </w:t>
      </w:r>
      <w:r w:rsidRPr="00076E8E">
        <w:rPr>
          <w:b/>
          <w:bCs/>
          <w:lang w:val="es-ES"/>
        </w:rPr>
        <w:t>123 (CMR</w:t>
      </w:r>
      <w:r w:rsidRPr="00076E8E">
        <w:rPr>
          <w:b/>
          <w:bCs/>
          <w:lang w:val="es-ES"/>
        </w:rPr>
        <w:noBreakHyphen/>
        <w:t>23)</w:t>
      </w:r>
      <w:r w:rsidRPr="00076E8E">
        <w:rPr>
          <w:lang w:val="es-ES"/>
        </w:rPr>
        <w:t xml:space="preserve"> y </w:t>
      </w:r>
      <w:r w:rsidRPr="00076E8E">
        <w:rPr>
          <w:b/>
          <w:bCs/>
          <w:lang w:val="es-ES"/>
        </w:rPr>
        <w:t>169 (Rev.CMR</w:t>
      </w:r>
      <w:r w:rsidRPr="00076E8E">
        <w:rPr>
          <w:b/>
          <w:bCs/>
          <w:lang w:val="es-ES"/>
        </w:rPr>
        <w:noBreakHyphen/>
        <w:t>23)</w:t>
      </w:r>
      <w:r w:rsidRPr="00076E8E">
        <w:rPr>
          <w:lang w:val="es-ES"/>
        </w:rPr>
        <w:t>.</w:t>
      </w:r>
    </w:p>
    <w:p w14:paraId="14026F2B" w14:textId="77777777" w:rsidR="00A53717" w:rsidRPr="00076E8E" w:rsidRDefault="00A53717" w:rsidP="003A19C7">
      <w:pPr>
        <w:spacing w:before="160" w:line="280" w:lineRule="exact"/>
        <w:rPr>
          <w:szCs w:val="22"/>
          <w:lang w:val="es-ES"/>
        </w:rPr>
      </w:pPr>
    </w:p>
    <w:p w14:paraId="1CC398B8" w14:textId="77777777" w:rsidR="00A53717" w:rsidRPr="00076E8E" w:rsidRDefault="00A53717" w:rsidP="003A19C7">
      <w:pPr>
        <w:spacing w:before="160" w:line="280" w:lineRule="exact"/>
        <w:rPr>
          <w:szCs w:val="22"/>
          <w:lang w:val="es-ES"/>
        </w:rPr>
      </w:pPr>
    </w:p>
    <w:p w14:paraId="518E2678" w14:textId="77777777" w:rsidR="00076E8E" w:rsidRDefault="00A53717" w:rsidP="00076E8E">
      <w:pPr>
        <w:rPr>
          <w:lang w:val="es-ES"/>
        </w:rPr>
      </w:pPr>
      <w:r w:rsidRPr="00076E8E">
        <w:rPr>
          <w:lang w:val="es-ES"/>
        </w:rPr>
        <w:br w:type="page"/>
      </w:r>
    </w:p>
    <w:p w14:paraId="724E15B3" w14:textId="77777777" w:rsidR="00B51443" w:rsidRPr="00B51443" w:rsidRDefault="00B51443" w:rsidP="00B51443">
      <w:pPr>
        <w:rPr>
          <w:lang w:val="es-ES"/>
        </w:rPr>
      </w:pPr>
      <w:r w:rsidRPr="00B51443">
        <w:rPr>
          <w:lang w:val="es-ES"/>
        </w:rPr>
        <w:lastRenderedPageBreak/>
        <w:t>Por lo tanto, la Junta llegó a la conclusión de que cuando una Administración presente una asignación de frecuencias a un ETEM-A con un ancho de banda de emisión inferior al ancho de banda de referencia de 14 MHz, también se compromete a utilizar sólo una única emisión con ese ancho de banda de emisión dado en cualquier ancho de banda de 14 MHz.</w:t>
      </w:r>
    </w:p>
    <w:p w14:paraId="38A36B8A" w14:textId="77777777" w:rsidR="00B51443" w:rsidRPr="00B51443" w:rsidRDefault="00B51443" w:rsidP="00B51443">
      <w:pPr>
        <w:rPr>
          <w:lang w:val="es-ES"/>
        </w:rPr>
      </w:pPr>
      <w:r w:rsidRPr="00B51443">
        <w:rPr>
          <w:lang w:val="es-ES"/>
        </w:rPr>
        <w:t>Cuando una Administración desee explotar simultáneamente varias transmisiones con anchos de banda de emisión inferiores a un ancho de banda de referencia de 14 MHz, las características de emisión de la portadora deberán modificarse convenientemente para indicar que se explotarán varios canales por portadora dentro de una única emisión (véase el Apéndice </w:t>
      </w:r>
      <w:r w:rsidRPr="00B51443">
        <w:rPr>
          <w:b/>
          <w:bCs/>
          <w:lang w:val="es-ES"/>
        </w:rPr>
        <w:t>1</w:t>
      </w:r>
      <w:r w:rsidRPr="00B51443">
        <w:rPr>
          <w:lang w:val="es-ES"/>
        </w:rPr>
        <w:t xml:space="preserve"> del Reglamento de Radiocomunicaciones).</w:t>
      </w:r>
    </w:p>
    <w:p w14:paraId="621A42C0" w14:textId="77777777" w:rsidR="00B51443" w:rsidRPr="00B51443" w:rsidRDefault="00B51443" w:rsidP="00B51443">
      <w:pPr>
        <w:pStyle w:val="Headingb0"/>
        <w:rPr>
          <w:lang w:val="es-ES"/>
        </w:rPr>
      </w:pPr>
      <w:r w:rsidRPr="00B51443">
        <w:rPr>
          <w:lang w:val="es-ES"/>
        </w:rPr>
        <w:t>Condiciones para el cumplimiento de los límites de la dfp</w:t>
      </w:r>
    </w:p>
    <w:p w14:paraId="247FAB46" w14:textId="77777777" w:rsidR="00B51443" w:rsidRPr="00B51443" w:rsidRDefault="00B51443" w:rsidP="00B51443">
      <w:pPr>
        <w:rPr>
          <w:lang w:val="es-ES"/>
        </w:rPr>
      </w:pPr>
      <w:r w:rsidRPr="00B51443">
        <w:rPr>
          <w:lang w:val="es-ES"/>
        </w:rPr>
        <w:t>La metodología contenida en el Anexo 2 a la Resolución </w:t>
      </w:r>
      <w:r w:rsidRPr="00B51443">
        <w:rPr>
          <w:b/>
          <w:bCs/>
          <w:lang w:val="es-ES"/>
        </w:rPr>
        <w:t>121 (CMR</w:t>
      </w:r>
      <w:r w:rsidRPr="00B51443">
        <w:rPr>
          <w:b/>
          <w:bCs/>
          <w:lang w:val="es-ES"/>
        </w:rPr>
        <w:noBreakHyphen/>
        <w:t>23)</w:t>
      </w:r>
      <w:r w:rsidRPr="00B51443">
        <w:rPr>
          <w:lang w:val="es-ES"/>
        </w:rPr>
        <w:t>, en el Anexo 2 a la Resolución </w:t>
      </w:r>
      <w:r w:rsidRPr="00B51443">
        <w:rPr>
          <w:b/>
          <w:bCs/>
          <w:lang w:val="es-ES"/>
        </w:rPr>
        <w:t>123 (CMR</w:t>
      </w:r>
      <w:r w:rsidRPr="00B51443">
        <w:rPr>
          <w:b/>
          <w:bCs/>
          <w:lang w:val="es-ES"/>
        </w:rPr>
        <w:noBreakHyphen/>
        <w:t>23)</w:t>
      </w:r>
      <w:r w:rsidRPr="00B51443">
        <w:rPr>
          <w:lang w:val="es-ES"/>
        </w:rPr>
        <w:t xml:space="preserve"> y en la Recomendación UIT-R S.2158-0 permite determinar la máxima potencia admisible </w:t>
      </w:r>
      <w:r w:rsidRPr="00B51443">
        <w:rPr>
          <w:i/>
          <w:iCs/>
          <w:lang w:val="es-ES"/>
        </w:rPr>
        <w:t>P</w:t>
      </w:r>
      <w:r w:rsidRPr="00B51443">
        <w:rPr>
          <w:i/>
          <w:iCs/>
          <w:vertAlign w:val="subscript"/>
          <w:lang w:val="es-ES"/>
        </w:rPr>
        <w:t>j</w:t>
      </w:r>
      <w:r w:rsidRPr="00B51443">
        <w:rPr>
          <w:lang w:val="es-ES"/>
        </w:rPr>
        <w:t xml:space="preserve"> de un transmisor de ETEM-A. </w:t>
      </w:r>
    </w:p>
    <w:p w14:paraId="50DA6901" w14:textId="77777777" w:rsidR="00B51443" w:rsidRPr="00B51443" w:rsidRDefault="00B51443" w:rsidP="00B51443">
      <w:pPr>
        <w:rPr>
          <w:lang w:val="es-ES"/>
        </w:rPr>
      </w:pPr>
      <w:r w:rsidRPr="00B51443">
        <w:rPr>
          <w:lang w:val="es-ES"/>
        </w:rPr>
        <w:t xml:space="preserve">A continuación, se compara el valor de </w:t>
      </w:r>
      <w:r w:rsidRPr="00B51443">
        <w:rPr>
          <w:i/>
          <w:iCs/>
          <w:lang w:val="es-ES"/>
        </w:rPr>
        <w:t>P</w:t>
      </w:r>
      <w:r w:rsidRPr="00B51443">
        <w:rPr>
          <w:i/>
          <w:iCs/>
          <w:vertAlign w:val="subscript"/>
          <w:lang w:val="es-ES"/>
        </w:rPr>
        <w:t>j</w:t>
      </w:r>
      <w:r w:rsidRPr="00B51443">
        <w:rPr>
          <w:lang w:val="es-ES"/>
        </w:rPr>
        <w:t xml:space="preserve"> calculado con la gama de niveles de potencia notificados para la emisión de la ETEM-A. Los valores mínimo y máximo de la potencia de las emisiones de la ETEMA-A, </w:t>
      </w:r>
      <w:r w:rsidRPr="00B51443">
        <w:rPr>
          <w:i/>
          <w:iCs/>
          <w:lang w:val="es-ES"/>
        </w:rPr>
        <w:t>P</w:t>
      </w:r>
      <w:r w:rsidRPr="00B51443">
        <w:rPr>
          <w:vertAlign w:val="subscript"/>
          <w:lang w:val="es-ES"/>
        </w:rPr>
        <w:t>min</w:t>
      </w:r>
      <w:r w:rsidRPr="00B51443">
        <w:rPr>
          <w:i/>
          <w:iCs/>
          <w:vertAlign w:val="subscript"/>
          <w:lang w:val="es-ES"/>
        </w:rPr>
        <w:t>_emisión,j</w:t>
      </w:r>
      <w:r w:rsidRPr="00B51443">
        <w:rPr>
          <w:lang w:val="es-ES"/>
        </w:rPr>
        <w:t xml:space="preserve"> y </w:t>
      </w:r>
      <w:r w:rsidRPr="00B51443">
        <w:rPr>
          <w:i/>
          <w:iCs/>
          <w:lang w:val="es-ES"/>
        </w:rPr>
        <w:t>P</w:t>
      </w:r>
      <w:r w:rsidRPr="00B51443">
        <w:rPr>
          <w:vertAlign w:val="subscript"/>
          <w:lang w:val="es-ES"/>
        </w:rPr>
        <w:t>max</w:t>
      </w:r>
      <w:r w:rsidRPr="00B51443">
        <w:rPr>
          <w:i/>
          <w:iCs/>
          <w:vertAlign w:val="subscript"/>
          <w:lang w:val="es-ES"/>
        </w:rPr>
        <w:t>_emisión,j</w:t>
      </w:r>
      <w:r w:rsidRPr="00B51443">
        <w:rPr>
          <w:lang w:val="es-ES"/>
        </w:rPr>
        <w:t>, se calculan a partir de la densidad espectral de potencia máxima y mínima de emisión de la ETEM-A.</w:t>
      </w:r>
    </w:p>
    <w:p w14:paraId="65FB3DA0" w14:textId="77777777" w:rsidR="00B51443" w:rsidRPr="00B51443" w:rsidRDefault="00B51443" w:rsidP="00B51443">
      <w:pPr>
        <w:rPr>
          <w:lang w:val="es-ES"/>
        </w:rPr>
      </w:pPr>
      <w:r w:rsidRPr="00B51443">
        <w:rPr>
          <w:lang w:val="es-ES"/>
        </w:rPr>
        <w:t xml:space="preserve">Se permite la transmisión de la ETEM-A a una determinada altitud </w:t>
      </w:r>
      <w:r w:rsidRPr="00B51443">
        <w:rPr>
          <w:i/>
          <w:iCs/>
          <w:lang w:val="es-ES"/>
        </w:rPr>
        <w:t>j</w:t>
      </w:r>
      <w:r w:rsidRPr="00B51443">
        <w:rPr>
          <w:lang w:val="es-ES"/>
        </w:rPr>
        <w:t>, si se cumplen la siguiente condición:</w:t>
      </w:r>
    </w:p>
    <w:p w14:paraId="72782366" w14:textId="77777777" w:rsidR="00B51443" w:rsidRPr="00A805B4" w:rsidRDefault="00B51443" w:rsidP="00B51443">
      <w:pPr>
        <w:pStyle w:val="Equation"/>
      </w:pPr>
      <w:r w:rsidRPr="00B51443">
        <w:rPr>
          <w:lang w:val="es-ES"/>
        </w:rPr>
        <w:tab/>
      </w:r>
      <w:r w:rsidRPr="00B51443">
        <w:rPr>
          <w:lang w:val="es-ES"/>
        </w:rPr>
        <w:tab/>
      </w:r>
      <w:r w:rsidRPr="00A805B4">
        <w:object w:dxaOrig="3660" w:dyaOrig="400" w14:anchorId="4FE41B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7.2pt;height:21.3pt;mso-width-percent:0;mso-height-percent:0;mso-width-percent:0;mso-height-percent:0" o:ole="">
            <v:imagedata r:id="rId6" o:title=""/>
          </v:shape>
          <o:OLEObject Type="Embed" ProgID="Equation.DSMT4" ShapeID="_x0000_i1025" DrawAspect="Content" ObjectID="_1825859855" r:id="rId7"/>
        </w:object>
      </w:r>
    </w:p>
    <w:p w14:paraId="05F2FF10" w14:textId="77777777" w:rsidR="00B51443" w:rsidRPr="00B51443" w:rsidRDefault="00B51443" w:rsidP="00B51443">
      <w:pPr>
        <w:rPr>
          <w:lang w:val="es-ES"/>
        </w:rPr>
      </w:pPr>
      <w:r w:rsidRPr="00B51443">
        <w:rPr>
          <w:lang w:val="es-ES"/>
        </w:rPr>
        <w:t xml:space="preserve">Habida cuenta de que la citada condición impedirá el uso de la altitud </w:t>
      </w:r>
      <w:r w:rsidRPr="00B51443">
        <w:rPr>
          <w:i/>
          <w:iCs/>
          <w:lang w:val="es-ES"/>
        </w:rPr>
        <w:t>j</w:t>
      </w:r>
      <w:r w:rsidRPr="00B51443">
        <w:rPr>
          <w:lang w:val="es-ES"/>
        </w:rPr>
        <w:t xml:space="preserve"> en los casos en que la potencia admisible sea lo suficientemente elevada como para permitir el funcionamiento de las ETEM-A con su densidad espectral de potencia máxima notificada, la Junta concluyó que la Oficina debería comprobar también la siguiente condición:</w:t>
      </w:r>
    </w:p>
    <w:p w14:paraId="562FB7CB" w14:textId="77777777" w:rsidR="00B51443" w:rsidRPr="00A805B4" w:rsidRDefault="00B51443" w:rsidP="00B51443">
      <w:pPr>
        <w:pStyle w:val="Equation"/>
      </w:pPr>
      <w:r w:rsidRPr="00B51443">
        <w:rPr>
          <w:lang w:val="es-ES"/>
        </w:rPr>
        <w:tab/>
      </w:r>
      <w:r w:rsidRPr="00B51443">
        <w:rPr>
          <w:lang w:val="es-ES"/>
        </w:rPr>
        <w:tab/>
      </w:r>
      <w:r w:rsidRPr="00A805B4">
        <w:object w:dxaOrig="2079" w:dyaOrig="400" w14:anchorId="7D098C08">
          <v:shape id="_x0000_i1026" type="#_x0000_t75" alt="" style="width:100.8pt;height:21.3pt;mso-width-percent:0;mso-height-percent:0;mso-width-percent:0;mso-height-percent:0" o:ole="">
            <v:imagedata r:id="rId8" o:title=""/>
          </v:shape>
          <o:OLEObject Type="Embed" ProgID="Equation.DSMT4" ShapeID="_x0000_i1026" DrawAspect="Content" ObjectID="_1825859856" r:id="rId9"/>
        </w:object>
      </w:r>
    </w:p>
    <w:p w14:paraId="1ACC1345" w14:textId="7FAABC50" w:rsidR="00D20D95" w:rsidRDefault="00B51443" w:rsidP="00B51443">
      <w:pPr>
        <w:rPr>
          <w:lang w:val="es-ES"/>
        </w:rPr>
      </w:pPr>
      <w:r w:rsidRPr="00B51443">
        <w:rPr>
          <w:lang w:val="es-ES"/>
        </w:rPr>
        <w:t>Siempre que se cumpla esa condición, se entiende que podrá utilizarse toda la gama de niveles de potencia de las ETEM-A.</w:t>
      </w:r>
    </w:p>
    <w:p w14:paraId="156E8754" w14:textId="77777777" w:rsidR="00F1499C" w:rsidRPr="00B51443" w:rsidRDefault="00F1499C" w:rsidP="00B51443">
      <w:pPr>
        <w:rPr>
          <w:lang w:val="es-ES"/>
        </w:rPr>
      </w:pPr>
    </w:p>
    <w:p w14:paraId="3226E2D6" w14:textId="4D9CFE14" w:rsidR="002D62BE" w:rsidRDefault="002D62BE" w:rsidP="002D62BE">
      <w:pPr>
        <w:jc w:val="center"/>
      </w:pPr>
      <w:r>
        <w:t>______________</w:t>
      </w:r>
    </w:p>
    <w:p w14:paraId="561FF4AD" w14:textId="77777777" w:rsidR="002D62BE" w:rsidRDefault="002D62BE" w:rsidP="002D62BE">
      <w:pPr>
        <w:pStyle w:val="TableText"/>
        <w:rPr>
          <w:lang w:val="en-US"/>
        </w:rPr>
      </w:pPr>
    </w:p>
    <w:p w14:paraId="22FA631F" w14:textId="77777777" w:rsidR="002D62BE" w:rsidRDefault="002D62BE" w:rsidP="002D62BE">
      <w:pPr>
        <w:pStyle w:val="TableText"/>
        <w:rPr>
          <w:lang w:val="en-US"/>
        </w:rPr>
      </w:pPr>
    </w:p>
    <w:p w14:paraId="48D19464" w14:textId="77777777" w:rsidR="002D62BE" w:rsidRDefault="002D62BE" w:rsidP="002D62BE">
      <w:pPr>
        <w:pStyle w:val="TableText"/>
        <w:rPr>
          <w:lang w:val="en-US"/>
        </w:rPr>
      </w:pPr>
    </w:p>
    <w:p w14:paraId="043D9AB4" w14:textId="77777777" w:rsidR="002D62BE" w:rsidRDefault="002D62BE" w:rsidP="002D62BE">
      <w:pPr>
        <w:pStyle w:val="TableText"/>
        <w:rPr>
          <w:lang w:val="en-US"/>
        </w:rPr>
      </w:pPr>
    </w:p>
    <w:p w14:paraId="4A64AB9B" w14:textId="77777777" w:rsidR="008C497B" w:rsidRDefault="008C497B" w:rsidP="001E6ED1"/>
    <w:p w14:paraId="58B1B892" w14:textId="77777777" w:rsidR="00CB06A1" w:rsidRDefault="00CB06A1" w:rsidP="00A53717">
      <w:pPr>
        <w:sectPr w:rsidR="00CB06A1" w:rsidSect="003F4E3E">
          <w:headerReference w:type="even" r:id="rId10"/>
          <w:headerReference w:type="first" r:id="rId11"/>
          <w:footnotePr>
            <w:pos w:val="beneathText"/>
          </w:footnotePr>
          <w:pgSz w:w="11907" w:h="16840" w:code="9"/>
          <w:pgMar w:top="1701" w:right="851" w:bottom="1134" w:left="1985" w:header="720" w:footer="482" w:gutter="0"/>
          <w:cols w:space="720"/>
          <w:vAlign w:val="both"/>
          <w:titlePg/>
        </w:sectPr>
      </w:pPr>
    </w:p>
    <w:p w14:paraId="6FE90867" w14:textId="77777777" w:rsidR="008C497B" w:rsidRDefault="008C497B" w:rsidP="00A53717"/>
    <w:sectPr w:rsidR="008C497B" w:rsidSect="003F4E3E">
      <w:headerReference w:type="first" r:id="rId12"/>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227EF" w14:textId="77777777" w:rsidR="00B611BD" w:rsidRDefault="00B611BD">
      <w:r>
        <w:separator/>
      </w:r>
    </w:p>
  </w:endnote>
  <w:endnote w:type="continuationSeparator" w:id="0">
    <w:p w14:paraId="1D881605" w14:textId="77777777" w:rsidR="00B611BD" w:rsidRDefault="00B61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41397" w14:textId="77777777" w:rsidR="00B611BD" w:rsidRDefault="00B611BD">
      <w:r>
        <w:rPr>
          <w:b/>
        </w:rPr>
        <w:t>_______________</w:t>
      </w:r>
    </w:p>
  </w:footnote>
  <w:footnote w:type="continuationSeparator" w:id="0">
    <w:p w14:paraId="116758E2" w14:textId="77777777" w:rsidR="00B611BD" w:rsidRDefault="00B61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8156F" w14:paraId="219CF64E" w14:textId="77777777" w:rsidTr="0068156F">
      <w:trPr>
        <w:cantSplit/>
      </w:trPr>
      <w:tc>
        <w:tcPr>
          <w:tcW w:w="1701" w:type="dxa"/>
          <w:tcBorders>
            <w:top w:val="single" w:sz="6" w:space="0" w:color="auto"/>
            <w:left w:val="single" w:sz="6" w:space="0" w:color="auto"/>
            <w:bottom w:val="single" w:sz="6" w:space="0" w:color="auto"/>
            <w:right w:val="single" w:sz="6" w:space="0" w:color="auto"/>
          </w:tcBorders>
        </w:tcPr>
        <w:p w14:paraId="6C831AC6" w14:textId="470073ED" w:rsidR="0068156F" w:rsidRDefault="0068156F" w:rsidP="0068156F">
          <w:pPr>
            <w:pStyle w:val="HeaderRegProc"/>
          </w:pPr>
          <w:r>
            <w:t>Part</w:t>
          </w:r>
          <w:r w:rsidR="00076E8E">
            <w:t>e</w:t>
          </w:r>
          <w:r>
            <w:t xml:space="preserve"> B</w:t>
          </w:r>
        </w:p>
      </w:tc>
      <w:tc>
        <w:tcPr>
          <w:tcW w:w="1701" w:type="dxa"/>
          <w:tcBorders>
            <w:top w:val="single" w:sz="6" w:space="0" w:color="auto"/>
            <w:left w:val="single" w:sz="6" w:space="0" w:color="auto"/>
            <w:bottom w:val="single" w:sz="6" w:space="0" w:color="auto"/>
            <w:right w:val="single" w:sz="6" w:space="0" w:color="auto"/>
          </w:tcBorders>
        </w:tcPr>
        <w:p w14:paraId="7CA7185C" w14:textId="75F4108E" w:rsidR="0068156F" w:rsidRDefault="0068156F" w:rsidP="0068156F">
          <w:pPr>
            <w:pStyle w:val="HeaderRegProc"/>
            <w:rPr>
              <w:lang w:val="fr-FR"/>
            </w:rPr>
          </w:pPr>
          <w:r>
            <w:fldChar w:fldCharType="begin"/>
          </w:r>
          <w:r>
            <w:instrText>styleref href2</w:instrText>
          </w:r>
          <w:r>
            <w:fldChar w:fldCharType="separate"/>
          </w:r>
          <w:r w:rsidR="00F5174D">
            <w:rPr>
              <w:noProof/>
            </w:rPr>
            <w:t>B8</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15E7A22" w14:textId="78A63B6C" w:rsidR="0068156F" w:rsidRDefault="00076E8E" w:rsidP="0068156F">
          <w:pPr>
            <w:pStyle w:val="HeaderRegProc"/>
            <w:rPr>
              <w:lang w:val="fr-CH"/>
            </w:rPr>
          </w:pPr>
          <w:r>
            <w:rPr>
              <w:lang w:val="fr-FR"/>
            </w:rPr>
            <w:t>página</w:t>
          </w:r>
          <w:r w:rsidR="0068156F">
            <w:rPr>
              <w:lang w:val="fr-FR"/>
            </w:rPr>
            <w:t xml:space="preserve"> </w:t>
          </w:r>
          <w:r w:rsidR="0068156F">
            <w:rPr>
              <w:rStyle w:val="PageNumber"/>
            </w:rPr>
            <w:fldChar w:fldCharType="begin"/>
          </w:r>
          <w:r w:rsidR="0068156F">
            <w:rPr>
              <w:rStyle w:val="PageNumber"/>
            </w:rPr>
            <w:instrText xml:space="preserve"> PAGE </w:instrText>
          </w:r>
          <w:r w:rsidR="0068156F">
            <w:rPr>
              <w:rStyle w:val="PageNumber"/>
            </w:rPr>
            <w:fldChar w:fldCharType="separate"/>
          </w:r>
          <w:r w:rsidR="0068156F">
            <w:rPr>
              <w:rStyle w:val="PageNumber"/>
              <w:noProof/>
            </w:rPr>
            <w:t>5</w:t>
          </w:r>
          <w:r w:rsidR="0068156F">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08035CF" w14:textId="2691120B" w:rsidR="0068156F" w:rsidRDefault="0068156F" w:rsidP="0068156F">
          <w:pPr>
            <w:pStyle w:val="HeaderRegProc"/>
            <w:rPr>
              <w:lang w:val="fr-CH"/>
            </w:rPr>
          </w:pPr>
          <w:r>
            <w:rPr>
              <w:lang w:val="fr-CH"/>
            </w:rPr>
            <w:t xml:space="preserve">rev. </w:t>
          </w:r>
          <w:r w:rsidR="00820D9C">
            <w:t>-</w:t>
          </w:r>
        </w:p>
      </w:tc>
    </w:tr>
  </w:tbl>
  <w:p w14:paraId="1854335D" w14:textId="77777777" w:rsidR="0068156F" w:rsidRDefault="006815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8156F" w14:paraId="510436C8" w14:textId="77777777" w:rsidTr="000008A2">
      <w:trPr>
        <w:cantSplit/>
        <w:jc w:val="right"/>
      </w:trPr>
      <w:tc>
        <w:tcPr>
          <w:tcW w:w="1701" w:type="dxa"/>
          <w:tcBorders>
            <w:top w:val="single" w:sz="6" w:space="0" w:color="auto"/>
            <w:left w:val="single" w:sz="6" w:space="0" w:color="auto"/>
            <w:bottom w:val="single" w:sz="6" w:space="0" w:color="auto"/>
            <w:right w:val="single" w:sz="6" w:space="0" w:color="auto"/>
          </w:tcBorders>
        </w:tcPr>
        <w:p w14:paraId="56809263" w14:textId="6532C74F" w:rsidR="0068156F" w:rsidRDefault="0068156F" w:rsidP="0068156F">
          <w:pPr>
            <w:pStyle w:val="HeaderRegProc"/>
          </w:pPr>
          <w:r>
            <w:t>Part</w:t>
          </w:r>
          <w:r w:rsidR="00076E8E">
            <w:t>e</w:t>
          </w:r>
          <w:r>
            <w:t xml:space="preserve"> B</w:t>
          </w:r>
        </w:p>
      </w:tc>
      <w:tc>
        <w:tcPr>
          <w:tcW w:w="1701" w:type="dxa"/>
          <w:tcBorders>
            <w:top w:val="single" w:sz="6" w:space="0" w:color="auto"/>
            <w:left w:val="single" w:sz="6" w:space="0" w:color="auto"/>
            <w:bottom w:val="single" w:sz="6" w:space="0" w:color="auto"/>
            <w:right w:val="single" w:sz="6" w:space="0" w:color="auto"/>
          </w:tcBorders>
        </w:tcPr>
        <w:p w14:paraId="1D7CC379" w14:textId="3BF9EF35" w:rsidR="0068156F" w:rsidRDefault="0068156F" w:rsidP="0068156F">
          <w:pPr>
            <w:pStyle w:val="HeaderRegProc"/>
            <w:rPr>
              <w:lang w:val="fr-FR"/>
            </w:rPr>
          </w:pPr>
          <w:r>
            <w:fldChar w:fldCharType="begin"/>
          </w:r>
          <w:r>
            <w:instrText>styleref href2</w:instrText>
          </w:r>
          <w:r>
            <w:fldChar w:fldCharType="separate"/>
          </w:r>
          <w:r w:rsidR="00F5174D">
            <w:rPr>
              <w:noProof/>
            </w:rPr>
            <w:t>B8</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663B4D3" w14:textId="040F73B8" w:rsidR="0068156F" w:rsidRDefault="00076E8E" w:rsidP="0068156F">
          <w:pPr>
            <w:pStyle w:val="HeaderRegProc"/>
            <w:rPr>
              <w:lang w:val="fr-CH"/>
            </w:rPr>
          </w:pPr>
          <w:r>
            <w:rPr>
              <w:lang w:val="fr-FR"/>
            </w:rPr>
            <w:t>página</w:t>
          </w:r>
          <w:r w:rsidR="0068156F">
            <w:rPr>
              <w:lang w:val="fr-FR"/>
            </w:rPr>
            <w:t xml:space="preserve"> </w:t>
          </w:r>
          <w:r w:rsidR="0068156F">
            <w:rPr>
              <w:rStyle w:val="PageNumber"/>
            </w:rPr>
            <w:fldChar w:fldCharType="begin"/>
          </w:r>
          <w:r w:rsidR="0068156F">
            <w:rPr>
              <w:rStyle w:val="PageNumber"/>
            </w:rPr>
            <w:instrText xml:space="preserve"> PAGE </w:instrText>
          </w:r>
          <w:r w:rsidR="0068156F">
            <w:rPr>
              <w:rStyle w:val="PageNumber"/>
            </w:rPr>
            <w:fldChar w:fldCharType="separate"/>
          </w:r>
          <w:r w:rsidR="0068156F">
            <w:rPr>
              <w:rStyle w:val="PageNumber"/>
              <w:noProof/>
            </w:rPr>
            <w:t>5</w:t>
          </w:r>
          <w:r w:rsidR="0068156F">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A1CE183" w14:textId="6A3E0F6C" w:rsidR="0068156F" w:rsidRDefault="0068156F" w:rsidP="0068156F">
          <w:pPr>
            <w:pStyle w:val="HeaderRegProc"/>
            <w:rPr>
              <w:lang w:val="fr-CH"/>
            </w:rPr>
          </w:pPr>
          <w:r>
            <w:rPr>
              <w:lang w:val="fr-CH"/>
            </w:rPr>
            <w:t xml:space="preserve">rev. </w:t>
          </w:r>
          <w:r w:rsidR="00820D9C">
            <w:t>-</w:t>
          </w:r>
        </w:p>
      </w:tc>
    </w:tr>
  </w:tbl>
  <w:p w14:paraId="5A135DAD" w14:textId="77777777" w:rsidR="003F4E3E" w:rsidRDefault="003F4E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44B2E" w14:textId="77777777" w:rsidR="00CB06A1" w:rsidRDefault="00CB06A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2"/>
  </w:hdrShapeDefaults>
  <w:footnotePr>
    <w:pos w:val="beneathTex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497B"/>
    <w:rsid w:val="000349FB"/>
    <w:rsid w:val="00076E8E"/>
    <w:rsid w:val="0008403B"/>
    <w:rsid w:val="00091804"/>
    <w:rsid w:val="000B423B"/>
    <w:rsid w:val="000B4FD4"/>
    <w:rsid w:val="00177017"/>
    <w:rsid w:val="001879DD"/>
    <w:rsid w:val="001E6ED1"/>
    <w:rsid w:val="0024563E"/>
    <w:rsid w:val="00254F75"/>
    <w:rsid w:val="00291B32"/>
    <w:rsid w:val="002D62BE"/>
    <w:rsid w:val="002F1B94"/>
    <w:rsid w:val="002F6FCF"/>
    <w:rsid w:val="003061FA"/>
    <w:rsid w:val="00331CD4"/>
    <w:rsid w:val="003632A2"/>
    <w:rsid w:val="003A19C7"/>
    <w:rsid w:val="003F2D4A"/>
    <w:rsid w:val="003F4E3E"/>
    <w:rsid w:val="00433573"/>
    <w:rsid w:val="00482885"/>
    <w:rsid w:val="004B034C"/>
    <w:rsid w:val="004C7EAF"/>
    <w:rsid w:val="004E6CE6"/>
    <w:rsid w:val="00627E24"/>
    <w:rsid w:val="00650922"/>
    <w:rsid w:val="00653CBA"/>
    <w:rsid w:val="0068156F"/>
    <w:rsid w:val="006F26AF"/>
    <w:rsid w:val="00721254"/>
    <w:rsid w:val="007A5970"/>
    <w:rsid w:val="007F0B48"/>
    <w:rsid w:val="00820D9C"/>
    <w:rsid w:val="00826A17"/>
    <w:rsid w:val="00845C9A"/>
    <w:rsid w:val="0089302D"/>
    <w:rsid w:val="00894163"/>
    <w:rsid w:val="008970B9"/>
    <w:rsid w:val="008A2011"/>
    <w:rsid w:val="008C497B"/>
    <w:rsid w:val="00901C6C"/>
    <w:rsid w:val="00924A26"/>
    <w:rsid w:val="009C7EA3"/>
    <w:rsid w:val="009D5C48"/>
    <w:rsid w:val="00A53717"/>
    <w:rsid w:val="00A643E4"/>
    <w:rsid w:val="00A70933"/>
    <w:rsid w:val="00A842D5"/>
    <w:rsid w:val="00AB14F3"/>
    <w:rsid w:val="00AF1C6C"/>
    <w:rsid w:val="00B104FC"/>
    <w:rsid w:val="00B1708E"/>
    <w:rsid w:val="00B34D59"/>
    <w:rsid w:val="00B51443"/>
    <w:rsid w:val="00B517A2"/>
    <w:rsid w:val="00B611BD"/>
    <w:rsid w:val="00C67B98"/>
    <w:rsid w:val="00C8511F"/>
    <w:rsid w:val="00CA0E7E"/>
    <w:rsid w:val="00CB06A1"/>
    <w:rsid w:val="00CF02DE"/>
    <w:rsid w:val="00D20D95"/>
    <w:rsid w:val="00D32D08"/>
    <w:rsid w:val="00D37662"/>
    <w:rsid w:val="00DA1FCB"/>
    <w:rsid w:val="00E70951"/>
    <w:rsid w:val="00EA5EFB"/>
    <w:rsid w:val="00F1499C"/>
    <w:rsid w:val="00F5174D"/>
    <w:rsid w:val="00FF7A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62BD1EC"/>
  <w15:docId w15:val="{FA87E9DD-E4E4-4C80-9F76-5BF4C72D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eastAsia="en-US"/>
    </w:rPr>
  </w:style>
  <w:style w:type="paragraph" w:styleId="Heading1">
    <w:name w:val="heading 1"/>
    <w:aliases w:val="h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aliases w:val="3,Titre 3,1,h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val="en-US"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rPr>
      <w:b/>
      <w:color w:val="FFCC00"/>
    </w:rPr>
  </w:style>
  <w:style w:type="character" w:customStyle="1" w:styleId="Appref">
    <w:name w:val="App_ref"/>
    <w:rPr>
      <w:color w:val="3366FF"/>
    </w:rPr>
  </w:style>
  <w:style w:type="character" w:customStyle="1" w:styleId="Artdef">
    <w:name w:val="Art_def"/>
    <w:rPr>
      <w:b/>
      <w:color w:val="FFCC00"/>
    </w:rPr>
  </w:style>
  <w:style w:type="character" w:customStyle="1" w:styleId="Artref">
    <w:name w:val="Art_ref"/>
    <w:rPr>
      <w:color w:val="3366FF"/>
    </w:rPr>
  </w:style>
  <w:style w:type="character" w:customStyle="1" w:styleId="Recdef">
    <w:name w:val="Rec_def"/>
    <w:rPr>
      <w:b/>
      <w:color w:val="FFCC00"/>
    </w:rPr>
  </w:style>
  <w:style w:type="character" w:customStyle="1" w:styleId="Recref">
    <w:name w:val="Rec_ref"/>
    <w:rPr>
      <w:color w:val="3366FF"/>
    </w:rPr>
  </w:style>
  <w:style w:type="character" w:customStyle="1" w:styleId="Resdef">
    <w:name w:val="Res_def"/>
    <w:rPr>
      <w:b/>
      <w:color w:val="FFCC00"/>
    </w:rPr>
  </w:style>
  <w:style w:type="character" w:customStyle="1" w:styleId="Resref">
    <w:name w:val="Res_ref"/>
    <w:rPr>
      <w:color w:val="3366FF"/>
    </w:rPr>
  </w:style>
  <w:style w:type="character" w:customStyle="1" w:styleId="Tableref0">
    <w:name w:val="Table_ref"/>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Artdef0">
    <w:name w:val="Art#_def"/>
    <w:rPr>
      <w:rFonts w:ascii="Times New Roman" w:hAnsi="Times New Roman"/>
      <w:b/>
    </w:rPr>
  </w:style>
  <w:style w:type="character" w:customStyle="1" w:styleId="Appdef0">
    <w:name w:val="App#_def"/>
    <w:rPr>
      <w:rFonts w:ascii="Times New Roman" w:hAnsi="Times New Roman"/>
      <w:b/>
    </w:rPr>
  </w:style>
  <w:style w:type="character" w:customStyle="1" w:styleId="Recdef0">
    <w:name w:val="Rec#_def"/>
    <w:basedOn w:val="DefaultParagraphFont"/>
  </w:style>
  <w:style w:type="character" w:customStyle="1" w:styleId="Recref0">
    <w:name w:val="Rec#_ref"/>
    <w:basedOn w:val="DefaultParagraphFont"/>
  </w:style>
  <w:style w:type="character" w:customStyle="1" w:styleId="Resdef0">
    <w:name w:val="Res#_def"/>
    <w:rPr>
      <w:rFonts w:ascii="Times New Roman" w:hAnsi="Times New Roman"/>
      <w:b/>
    </w:rPr>
  </w:style>
  <w:style w:type="character" w:customStyle="1" w:styleId="Resref0">
    <w:name w:val="Res#_ref"/>
    <w:basedOn w:val="DefaultParagraphFont"/>
  </w:style>
  <w:style w:type="paragraph" w:customStyle="1" w:styleId="Headingi0">
    <w:name w:val="Heading_i"/>
    <w:basedOn w:val="Heading3"/>
    <w:next w:val="Normal"/>
    <w:pPr>
      <w:tabs>
        <w:tab w:val="clear" w:pos="1134"/>
        <w:tab w:val="clear" w:pos="1871"/>
        <w:tab w:val="left" w:pos="794"/>
        <w:tab w:val="left" w:pos="1191"/>
        <w:tab w:val="left" w:pos="1588"/>
        <w:tab w:val="left" w:pos="1985"/>
      </w:tabs>
      <w:spacing w:before="160"/>
      <w:ind w:left="0" w:firstLine="0"/>
      <w:jc w:val="left"/>
    </w:pPr>
    <w:rPr>
      <w:b w:val="0"/>
      <w:i/>
    </w:rPr>
  </w:style>
  <w:style w:type="paragraph" w:customStyle="1" w:styleId="Head0">
    <w:name w:val="Head"/>
    <w:basedOn w:val="Normal"/>
    <w:pPr>
      <w:tabs>
        <w:tab w:val="clear" w:pos="1134"/>
        <w:tab w:val="clear" w:pos="1871"/>
        <w:tab w:val="clear" w:pos="2268"/>
        <w:tab w:val="left" w:pos="6663"/>
      </w:tabs>
      <w:overflowPunct/>
      <w:autoSpaceDE/>
      <w:autoSpaceDN/>
      <w:adjustRightInd/>
      <w:spacing w:before="0"/>
      <w:jc w:val="left"/>
      <w:textAlignment w:val="auto"/>
    </w:pPr>
  </w:style>
  <w:style w:type="paragraph" w:customStyle="1" w:styleId="FooterQP">
    <w:name w:val="Footer_QP"/>
    <w:basedOn w:val="Normal"/>
    <w:rsid w:val="00924A26"/>
    <w:pPr>
      <w:tabs>
        <w:tab w:val="clear" w:pos="1134"/>
        <w:tab w:val="clear" w:pos="1871"/>
        <w:tab w:val="clear" w:pos="2268"/>
        <w:tab w:val="left" w:pos="907"/>
        <w:tab w:val="right" w:pos="8789"/>
        <w:tab w:val="right" w:pos="9639"/>
      </w:tabs>
      <w:spacing w:before="0"/>
      <w:jc w:val="left"/>
    </w:pPr>
    <w:rPr>
      <w:b/>
      <w:sz w:val="22"/>
    </w:rPr>
  </w:style>
  <w:style w:type="character" w:customStyle="1" w:styleId="Heading1Char">
    <w:name w:val="Heading 1 Char"/>
    <w:aliases w:val="h1 Char"/>
    <w:link w:val="Heading1"/>
    <w:rsid w:val="002D62BE"/>
    <w:rPr>
      <w:b/>
      <w:sz w:val="28"/>
      <w:lang w:val="en-GB" w:eastAsia="en-US"/>
    </w:rPr>
  </w:style>
  <w:style w:type="character" w:customStyle="1" w:styleId="TabletextChar">
    <w:name w:val="Table_text Char"/>
    <w:link w:val="Tabletext0"/>
    <w:rsid w:val="002D62BE"/>
    <w:rPr>
      <w:sz w:val="22"/>
      <w:lang w:val="fr-FR" w:eastAsia="en-US"/>
    </w:rPr>
  </w:style>
  <w:style w:type="paragraph" w:customStyle="1" w:styleId="Normalaftertitle0">
    <w:name w:val="Normal_after_title"/>
    <w:basedOn w:val="Normal"/>
    <w:next w:val="Normal"/>
    <w:rsid w:val="00076E8E"/>
    <w:pPr>
      <w:tabs>
        <w:tab w:val="clear" w:pos="1134"/>
        <w:tab w:val="clear" w:pos="1871"/>
        <w:tab w:val="clear" w:pos="2268"/>
        <w:tab w:val="left" w:pos="794"/>
        <w:tab w:val="left" w:pos="1191"/>
        <w:tab w:val="left" w:pos="1588"/>
        <w:tab w:val="left" w:pos="1985"/>
      </w:tabs>
      <w:spacing w:before="360"/>
      <w:jc w:val="left"/>
    </w:pPr>
    <w:rPr>
      <w:lang w:val="es-ES_tradnl"/>
    </w:rPr>
  </w:style>
  <w:style w:type="paragraph" w:customStyle="1" w:styleId="Sectiontitle">
    <w:name w:val="Section_title"/>
    <w:basedOn w:val="Normal"/>
    <w:next w:val="Normalaftertitle0"/>
    <w:rsid w:val="00076E8E"/>
    <w:pPr>
      <w:keepNext/>
      <w:keepLines/>
      <w:tabs>
        <w:tab w:val="clear" w:pos="1134"/>
        <w:tab w:val="clear" w:pos="1871"/>
        <w:tab w:val="clear" w:pos="2268"/>
        <w:tab w:val="left" w:pos="794"/>
        <w:tab w:val="left" w:pos="1191"/>
        <w:tab w:val="left" w:pos="1588"/>
        <w:tab w:val="left" w:pos="1985"/>
      </w:tabs>
      <w:spacing w:before="240" w:after="280"/>
      <w:jc w:val="center"/>
    </w:pPr>
    <w:rPr>
      <w:b/>
      <w:sz w:val="28"/>
      <w:lang w:val="es-ES_tradnl"/>
    </w:rPr>
  </w:style>
  <w:style w:type="paragraph" w:customStyle="1" w:styleId="Reasons">
    <w:name w:val="Reasons"/>
    <w:basedOn w:val="Normal"/>
    <w:qFormat/>
    <w:rsid w:val="00B51443"/>
    <w:pPr>
      <w:tabs>
        <w:tab w:val="clear" w:pos="1871"/>
        <w:tab w:val="clear" w:pos="2268"/>
        <w:tab w:val="left" w:pos="1588"/>
        <w:tab w:val="left" w:pos="1985"/>
      </w:tabs>
      <w:spacing w:before="120"/>
      <w:jc w:val="left"/>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ucasi\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13</TotalTime>
  <Pages>3</Pages>
  <Words>679</Words>
  <Characters>3509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Règles de procédures / Edition 2021</vt:lpstr>
    </vt:vector>
  </TitlesOfParts>
  <Manager>CP--107223/DD</Manager>
  <Company>ITU</Company>
  <LinksUpToDate>false</LinksUpToDate>
  <CharactersWithSpaces>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2024</dc:title>
  <dc:subject>SECB6 du RR</dc:subject>
  <dc:creator>Composition des Publications</dc:creator>
  <cp:keywords/>
  <dc:description/>
  <cp:lastModifiedBy>Saez Grau, Ricardo</cp:lastModifiedBy>
  <cp:revision>17</cp:revision>
  <cp:lastPrinted>2025-11-28T17:25:00Z</cp:lastPrinted>
  <dcterms:created xsi:type="dcterms:W3CDTF">2024-11-28T09:32:00Z</dcterms:created>
  <dcterms:modified xsi:type="dcterms:W3CDTF">2025-11-28T17:25:00Z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