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21489" w14:textId="77777777" w:rsidR="00361A40" w:rsidRPr="005C7612" w:rsidRDefault="00361A40" w:rsidP="005C7612">
      <w:pPr>
        <w:pStyle w:val="Heading1"/>
        <w:spacing w:before="300"/>
        <w:jc w:val="center"/>
        <w:rPr>
          <w:color w:val="000000"/>
          <w:lang w:val="es-ES_tradnl"/>
        </w:rPr>
      </w:pPr>
      <w:r w:rsidRPr="005C7612">
        <w:rPr>
          <w:color w:val="000000"/>
          <w:lang w:val="es-ES_tradnl"/>
        </w:rPr>
        <w:t xml:space="preserve">PARTE  </w:t>
      </w:r>
      <w:r w:rsidRPr="005C7612">
        <w:rPr>
          <w:rStyle w:val="href"/>
          <w:lang w:val="es-ES_tradnl"/>
        </w:rPr>
        <w:t>B</w:t>
      </w:r>
    </w:p>
    <w:p w14:paraId="4BCAB531" w14:textId="648FDF5E" w:rsidR="00361A40" w:rsidRDefault="00361A40">
      <w:pPr>
        <w:pStyle w:val="Heading2"/>
        <w:ind w:left="0" w:firstLine="0"/>
        <w:jc w:val="center"/>
        <w:rPr>
          <w:rStyle w:val="href2"/>
          <w:color w:val="000000"/>
          <w:lang w:val="es-ES_tradnl"/>
        </w:rPr>
      </w:pPr>
      <w:r w:rsidRPr="005C7612">
        <w:rPr>
          <w:color w:val="000000"/>
          <w:lang w:val="es-ES_tradnl"/>
        </w:rPr>
        <w:t xml:space="preserve">SECCIÓN  </w:t>
      </w:r>
      <w:r w:rsidRPr="005C7612">
        <w:rPr>
          <w:rStyle w:val="href2"/>
          <w:color w:val="000000"/>
          <w:lang w:val="es-ES_tradnl"/>
        </w:rPr>
        <w:t>B3</w:t>
      </w:r>
    </w:p>
    <w:p w14:paraId="3A960885" w14:textId="5D599CD0" w:rsidR="00361A40" w:rsidRDefault="00AA05C7" w:rsidP="00AC02D7">
      <w:pPr>
        <w:pStyle w:val="Heading1"/>
        <w:ind w:left="0" w:firstLine="0"/>
        <w:jc w:val="center"/>
        <w:rPr>
          <w:color w:val="000000"/>
          <w:lang w:val="es-ES"/>
        </w:rPr>
      </w:pPr>
      <w:r w:rsidRPr="002148C9">
        <w:rPr>
          <w:color w:val="000000"/>
          <w:lang w:val="es-ES"/>
        </w:rPr>
        <w:t>Reglas relativas al método para calcular la probabilidad</w:t>
      </w:r>
      <w:r w:rsidR="00217F12">
        <w:rPr>
          <w:color w:val="000000"/>
          <w:lang w:val="es-ES"/>
        </w:rPr>
        <w:br/>
      </w:r>
      <w:r w:rsidRPr="002148C9">
        <w:rPr>
          <w:color w:val="000000"/>
          <w:lang w:val="es-ES"/>
        </w:rPr>
        <w:t>de interferencia perjudicial entre redes de satélites</w:t>
      </w:r>
      <w:r w:rsidR="00217F12">
        <w:rPr>
          <w:color w:val="000000"/>
          <w:lang w:val="es-ES"/>
        </w:rPr>
        <w:br/>
      </w:r>
      <w:r w:rsidRPr="002148C9">
        <w:rPr>
          <w:color w:val="000000"/>
          <w:lang w:val="es-ES"/>
        </w:rPr>
        <w:t xml:space="preserve">(relaciones </w:t>
      </w:r>
      <w:r w:rsidRPr="002148C9">
        <w:rPr>
          <w:i/>
          <w:iCs/>
          <w:color w:val="000000"/>
          <w:lang w:val="es-ES"/>
        </w:rPr>
        <w:t>C</w:t>
      </w:r>
      <w:r w:rsidRPr="00F835BE">
        <w:rPr>
          <w:color w:val="000000"/>
          <w:lang w:val="es-ES"/>
        </w:rPr>
        <w:t>/</w:t>
      </w:r>
      <w:r w:rsidRPr="002148C9">
        <w:rPr>
          <w:i/>
          <w:iCs/>
          <w:color w:val="000000"/>
          <w:lang w:val="es-ES"/>
        </w:rPr>
        <w:t>I</w:t>
      </w:r>
      <w:r w:rsidRPr="002148C9">
        <w:rPr>
          <w:color w:val="000000"/>
          <w:lang w:val="es-ES"/>
        </w:rPr>
        <w:t>)</w:t>
      </w:r>
    </w:p>
    <w:p w14:paraId="28D1A97D" w14:textId="77777777" w:rsidR="00361A40" w:rsidRPr="005C7612" w:rsidRDefault="00361A40">
      <w:pPr>
        <w:pStyle w:val="Heading1"/>
        <w:rPr>
          <w:color w:val="000000"/>
          <w:lang w:val="es-ES_tradnl"/>
        </w:rPr>
      </w:pPr>
      <w:r w:rsidRPr="005C7612">
        <w:rPr>
          <w:rStyle w:val="href"/>
          <w:color w:val="000000"/>
          <w:lang w:val="es-ES_tradnl"/>
        </w:rPr>
        <w:t>1</w:t>
      </w:r>
      <w:r w:rsidRPr="005C7612">
        <w:rPr>
          <w:color w:val="000000"/>
          <w:lang w:val="es-ES_tradnl"/>
        </w:rPr>
        <w:tab/>
        <w:t>Introducción</w:t>
      </w:r>
    </w:p>
    <w:p w14:paraId="0E5FEBB7" w14:textId="7BC6A3AF" w:rsidR="00361A40" w:rsidRPr="005C7612" w:rsidRDefault="00361A40" w:rsidP="005C7612">
      <w:pPr>
        <w:rPr>
          <w:color w:val="000000"/>
          <w:lang w:val="es-ES_tradnl"/>
        </w:rPr>
      </w:pPr>
      <w:r w:rsidRPr="005C7612">
        <w:rPr>
          <w:color w:val="000000"/>
          <w:lang w:val="es-ES_tradnl"/>
        </w:rPr>
        <w:t xml:space="preserve">En aplicación de las disposiciones del número </w:t>
      </w:r>
      <w:r w:rsidRPr="005C7612">
        <w:rPr>
          <w:rStyle w:val="Artref"/>
          <w:b/>
          <w:color w:val="000000"/>
          <w:lang w:val="es-ES_tradnl"/>
        </w:rPr>
        <w:t>11.32A</w:t>
      </w:r>
      <w:r w:rsidRPr="005C7612">
        <w:rPr>
          <w:color w:val="000000"/>
          <w:lang w:val="es-ES_tradnl"/>
        </w:rPr>
        <w:t>, cuando, como consecuencia de un desacuerdo persistente (números</w:t>
      </w:r>
      <w:r w:rsidR="00973109">
        <w:rPr>
          <w:color w:val="000000"/>
          <w:lang w:val="es-ES_tradnl"/>
        </w:rPr>
        <w:t> </w:t>
      </w:r>
      <w:r w:rsidRPr="005C7612">
        <w:rPr>
          <w:rStyle w:val="Artref"/>
          <w:b/>
          <w:color w:val="000000"/>
          <w:lang w:val="es-ES_tradnl"/>
        </w:rPr>
        <w:t>9.63</w:t>
      </w:r>
      <w:r w:rsidRPr="005C7612">
        <w:rPr>
          <w:color w:val="000000"/>
          <w:lang w:val="es-ES_tradnl"/>
        </w:rPr>
        <w:t xml:space="preserve"> a </w:t>
      </w:r>
      <w:r w:rsidRPr="005C7612">
        <w:rPr>
          <w:rStyle w:val="Artref"/>
          <w:b/>
          <w:color w:val="000000"/>
          <w:lang w:val="es-ES_tradnl"/>
        </w:rPr>
        <w:t>9.65</w:t>
      </w:r>
      <w:r w:rsidRPr="005C7612">
        <w:rPr>
          <w:color w:val="000000"/>
          <w:lang w:val="es-ES_tradnl"/>
        </w:rPr>
        <w:t xml:space="preserve">) entre dos administraciones (o un número limitado de ellas) respecto a la coordinación de sus redes conforme al número </w:t>
      </w:r>
      <w:r w:rsidRPr="005C7612">
        <w:rPr>
          <w:rStyle w:val="Artref"/>
          <w:b/>
          <w:color w:val="000000"/>
          <w:lang w:val="es-ES_tradnl"/>
        </w:rPr>
        <w:t>9.7</w:t>
      </w:r>
      <w:r w:rsidRPr="005C7612">
        <w:rPr>
          <w:color w:val="000000"/>
          <w:lang w:val="es-ES_tradnl"/>
        </w:rPr>
        <w:t>, la adminis</w:t>
      </w:r>
      <w:r w:rsidR="005C7612" w:rsidRPr="005C7612">
        <w:rPr>
          <w:color w:val="000000"/>
          <w:lang w:val="es-ES_tradnl"/>
        </w:rPr>
        <w:softHyphen/>
      </w:r>
      <w:r w:rsidRPr="005C7612">
        <w:rPr>
          <w:color w:val="000000"/>
          <w:lang w:val="es-ES_tradnl"/>
        </w:rPr>
        <w:t xml:space="preserve">tración notificante así lo pide a la Oficina de Radiocomunicaciones, ésta efectúa un examen de la probabilidad de interferencia perjudicial de acuerdo con el número </w:t>
      </w:r>
      <w:r w:rsidRPr="005C7612">
        <w:rPr>
          <w:rStyle w:val="Artref"/>
          <w:b/>
          <w:color w:val="000000"/>
          <w:lang w:val="es-ES_tradnl"/>
        </w:rPr>
        <w:t>11.32A</w:t>
      </w:r>
      <w:r w:rsidRPr="005C7612">
        <w:rPr>
          <w:color w:val="000000"/>
          <w:lang w:val="es-ES_tradnl"/>
        </w:rPr>
        <w:t>. La Oficina seguirá las presentes Reglas con respecto al método y los criterios de cálculo que han de aplicarse para evaluar la interferencia, así como para las conclusiones que han de formularse.</w:t>
      </w:r>
    </w:p>
    <w:p w14:paraId="10E29404" w14:textId="77777777" w:rsidR="00361A40" w:rsidRPr="005C7612" w:rsidRDefault="00361A40">
      <w:pPr>
        <w:pStyle w:val="Heading1"/>
        <w:rPr>
          <w:color w:val="000000"/>
          <w:u w:val="single"/>
          <w:lang w:val="es-ES_tradnl"/>
        </w:rPr>
      </w:pPr>
      <w:r w:rsidRPr="005C7612">
        <w:rPr>
          <w:color w:val="000000"/>
          <w:lang w:val="es-ES_tradnl"/>
        </w:rPr>
        <w:t>2</w:t>
      </w:r>
      <w:r w:rsidRPr="005C7612">
        <w:rPr>
          <w:color w:val="000000"/>
          <w:lang w:val="es-ES_tradnl"/>
        </w:rPr>
        <w:tab/>
        <w:t>Probabilidad de interferencia perjudicial</w:t>
      </w:r>
    </w:p>
    <w:p w14:paraId="5F550A55" w14:textId="77777777" w:rsidR="00361A40" w:rsidRPr="005C7612" w:rsidRDefault="00361A40">
      <w:pPr>
        <w:rPr>
          <w:color w:val="000000"/>
          <w:lang w:val="es-ES_tradnl"/>
        </w:rPr>
      </w:pPr>
      <w:r w:rsidRPr="005C7612">
        <w:rPr>
          <w:color w:val="000000"/>
          <w:lang w:val="es-ES_tradnl"/>
        </w:rPr>
        <w:t>Al realizar sus tareas estatutarias relativas a la aplicación de las disposiciones antes mencionadas, la Oficina procederá del siguiente modo:</w:t>
      </w:r>
    </w:p>
    <w:p w14:paraId="5C7A5783" w14:textId="19E55391" w:rsidR="00361A40" w:rsidRDefault="00361A40">
      <w:pPr>
        <w:rPr>
          <w:rStyle w:val="Artref0"/>
          <w:color w:val="000000"/>
          <w:lang w:val="es-ES_tradnl"/>
        </w:rPr>
      </w:pPr>
      <w:r w:rsidRPr="005C7612">
        <w:rPr>
          <w:color w:val="000000"/>
          <w:lang w:val="es-ES_tradnl"/>
        </w:rPr>
        <w:t>2.1</w:t>
      </w:r>
      <w:r w:rsidRPr="005C7612">
        <w:rPr>
          <w:color w:val="000000"/>
          <w:lang w:val="es-ES_tradnl"/>
        </w:rPr>
        <w:tab/>
        <w:t>Se utilizará la Recomendación UIT-R S.741-2, para examinar las asignaciones en cuestión en lo que respecta a las disposiciones del número </w:t>
      </w:r>
      <w:r w:rsidRPr="005C7612">
        <w:rPr>
          <w:rStyle w:val="Artref"/>
          <w:b/>
          <w:color w:val="000000"/>
          <w:lang w:val="es-ES_tradnl"/>
        </w:rPr>
        <w:t>11.32A</w:t>
      </w:r>
      <w:r w:rsidRPr="005C7612">
        <w:rPr>
          <w:rStyle w:val="Artref0"/>
          <w:color w:val="000000"/>
          <w:lang w:val="es-ES_tradnl"/>
        </w:rPr>
        <w:t>.</w:t>
      </w:r>
    </w:p>
    <w:p w14:paraId="5C7C275C" w14:textId="77777777" w:rsidR="00361A40" w:rsidRPr="005C7612" w:rsidRDefault="00361A40" w:rsidP="00425D0C">
      <w:pPr>
        <w:rPr>
          <w:color w:val="000000"/>
          <w:lang w:val="es-ES_tradnl"/>
        </w:rPr>
      </w:pPr>
      <w:r w:rsidRPr="005C7612">
        <w:rPr>
          <w:color w:val="000000"/>
          <w:lang w:val="es-ES_tradnl"/>
        </w:rPr>
        <w:t>2.2</w:t>
      </w:r>
      <w:r w:rsidRPr="005C7612">
        <w:rPr>
          <w:color w:val="000000"/>
          <w:lang w:val="es-ES_tradnl"/>
        </w:rPr>
        <w:tab/>
        <w:t>La Oficina utilizará los criterios mutuamente acordados que le faciliten las administraciones interesadas para la interferencia aceptada, en el formato que aparece en el Cuadro 2 de la Recomendación UIT</w:t>
      </w:r>
      <w:r w:rsidRPr="005C7612">
        <w:rPr>
          <w:color w:val="000000"/>
          <w:lang w:val="es-ES_tradnl"/>
        </w:rPr>
        <w:noBreakHyphen/>
        <w:t>R S.741</w:t>
      </w:r>
      <w:r w:rsidRPr="005C7612">
        <w:rPr>
          <w:color w:val="000000"/>
          <w:lang w:val="es-ES_tradnl"/>
        </w:rPr>
        <w:noBreakHyphen/>
        <w:t>2 o, a falta de dicha información, la Oficina utilizará los límites de una sola fuente definidos en el Cuadro 2 del § 3.2 siguiente, que se obtiene del Cuadro 2 de la Recomendación UIT</w:t>
      </w:r>
      <w:r w:rsidRPr="005C7612">
        <w:rPr>
          <w:color w:val="000000"/>
          <w:lang w:val="es-ES_tradnl"/>
        </w:rPr>
        <w:noBreakHyphen/>
        <w:t>R S.741</w:t>
      </w:r>
      <w:r w:rsidRPr="005C7612">
        <w:rPr>
          <w:color w:val="000000"/>
          <w:lang w:val="es-ES_tradnl"/>
        </w:rPr>
        <w:noBreakHyphen/>
        <w:t>2, junto con la información presentada conforme al Apéndice </w:t>
      </w:r>
      <w:r w:rsidRPr="005C7612">
        <w:rPr>
          <w:rStyle w:val="Appref"/>
          <w:b/>
          <w:bCs/>
          <w:color w:val="000000"/>
          <w:lang w:val="es-ES_tradnl"/>
        </w:rPr>
        <w:t>4</w:t>
      </w:r>
      <w:r w:rsidRPr="005C7612">
        <w:rPr>
          <w:color w:val="000000"/>
          <w:lang w:val="es-ES_tradnl"/>
        </w:rPr>
        <w:t>.</w:t>
      </w:r>
    </w:p>
    <w:p w14:paraId="21FEEE68" w14:textId="77777777" w:rsidR="00361A40" w:rsidRPr="005C7612" w:rsidRDefault="00361A40" w:rsidP="005C7612">
      <w:pPr>
        <w:pStyle w:val="enumlev1"/>
        <w:ind w:left="0" w:firstLine="0"/>
        <w:rPr>
          <w:color w:val="000000"/>
          <w:lang w:val="es-ES_tradnl"/>
        </w:rPr>
      </w:pPr>
      <w:r w:rsidRPr="005C7612">
        <w:rPr>
          <w:color w:val="000000"/>
          <w:lang w:val="es-ES_tradnl"/>
        </w:rPr>
        <w:t>2.2.1</w:t>
      </w:r>
      <w:r w:rsidRPr="005C7612">
        <w:rPr>
          <w:color w:val="000000"/>
          <w:lang w:val="es-ES_tradnl"/>
        </w:rPr>
        <w:tab/>
        <w:t>En el caso de que esa información sea proporcionada por las administraciones interesadas:</w:t>
      </w:r>
    </w:p>
    <w:p w14:paraId="4C0CDA88" w14:textId="77777777" w:rsidR="00361A40" w:rsidRPr="005C7612" w:rsidRDefault="00361A40">
      <w:pPr>
        <w:pStyle w:val="enumlev1"/>
        <w:rPr>
          <w:color w:val="000000"/>
          <w:lang w:val="es-ES_tradnl"/>
        </w:rPr>
      </w:pPr>
      <w:r w:rsidRPr="005C7612">
        <w:rPr>
          <w:i/>
          <w:color w:val="000000"/>
          <w:lang w:val="es-ES_tradnl"/>
        </w:rPr>
        <w:t>a)</w:t>
      </w:r>
      <w:r w:rsidRPr="005C7612">
        <w:rPr>
          <w:color w:val="000000"/>
          <w:lang w:val="es-ES_tradnl"/>
        </w:rPr>
        <w:tab/>
        <w:t xml:space="preserve">La probabilidad de interferencia perjudicial se considera despreciable si el cálculo de la relación </w:t>
      </w:r>
      <w:r w:rsidRPr="00BC1DDE">
        <w:rPr>
          <w:i/>
          <w:color w:val="000000"/>
          <w:lang w:val="es-ES_tradnl"/>
        </w:rPr>
        <w:t>C</w:t>
      </w:r>
      <w:r w:rsidRPr="00BC1DDE">
        <w:rPr>
          <w:iCs/>
          <w:color w:val="000000"/>
          <w:lang w:val="es-ES_tradnl"/>
        </w:rPr>
        <w:t>/</w:t>
      </w:r>
      <w:r w:rsidRPr="00BC1DDE">
        <w:rPr>
          <w:i/>
          <w:color w:val="000000"/>
          <w:lang w:val="es-ES_tradnl"/>
        </w:rPr>
        <w:t>I</w:t>
      </w:r>
      <w:r w:rsidRPr="005C7612">
        <w:rPr>
          <w:color w:val="000000"/>
          <w:lang w:val="es-ES_tradnl"/>
        </w:rPr>
        <w:t xml:space="preserve"> muestra que se satisfacen los criterios aplicables para el examen en cuestión entre las dos redes interesadas. La conclusión de la Columna 13A3 será así favorable.</w:t>
      </w:r>
    </w:p>
    <w:p w14:paraId="24286993" w14:textId="2A84CE49" w:rsidR="00361A40" w:rsidRDefault="00361A40">
      <w:pPr>
        <w:pStyle w:val="enumlev1"/>
        <w:rPr>
          <w:color w:val="000000"/>
          <w:lang w:val="es-ES_tradnl"/>
        </w:rPr>
      </w:pPr>
      <w:r w:rsidRPr="005C7612">
        <w:rPr>
          <w:i/>
          <w:color w:val="000000"/>
          <w:lang w:val="es-ES_tradnl"/>
        </w:rPr>
        <w:t>b)</w:t>
      </w:r>
      <w:r w:rsidRPr="005C7612">
        <w:rPr>
          <w:color w:val="000000"/>
          <w:lang w:val="es-ES_tradnl"/>
        </w:rPr>
        <w:tab/>
        <w:t xml:space="preserve">La probabilidad de interferencia perjudicial no se considera despreciable si el cálculo de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muestra que no se satisfacen los criterios aplicables para el examen en cuestión entre las dos redes interesadas. La conclusión de la Columna</w:t>
      </w:r>
      <w:r w:rsidR="00DF0DD1">
        <w:rPr>
          <w:color w:val="000000"/>
          <w:lang w:val="es-ES_tradnl"/>
        </w:rPr>
        <w:t> </w:t>
      </w:r>
      <w:r w:rsidRPr="005C7612">
        <w:rPr>
          <w:color w:val="000000"/>
          <w:lang w:val="es-ES_tradnl"/>
        </w:rPr>
        <w:t>13A3 será desfavorable.</w:t>
      </w:r>
    </w:p>
    <w:p w14:paraId="2E7FDE64" w14:textId="63CDB225" w:rsidR="005074D9" w:rsidRDefault="005074D9">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3D6701E5" w14:textId="13FF5ADD" w:rsidR="00361A40" w:rsidRPr="005C7612" w:rsidRDefault="00361A40">
      <w:pPr>
        <w:pStyle w:val="enumlev1"/>
        <w:ind w:left="0" w:firstLine="0"/>
        <w:rPr>
          <w:color w:val="000000"/>
          <w:lang w:val="es-ES_tradnl"/>
        </w:rPr>
      </w:pPr>
      <w:r w:rsidRPr="005C7612">
        <w:rPr>
          <w:color w:val="000000"/>
          <w:lang w:val="es-ES_tradnl"/>
        </w:rPr>
        <w:lastRenderedPageBreak/>
        <w:t>2.2.2</w:t>
      </w:r>
      <w:r w:rsidRPr="005C7612">
        <w:rPr>
          <w:color w:val="000000"/>
          <w:lang w:val="es-ES_tradnl"/>
        </w:rPr>
        <w:tab/>
        <w:t>En el caso de que esta información no sea facilitada por las administraciones interesadas:</w:t>
      </w:r>
    </w:p>
    <w:p w14:paraId="33C091B2" w14:textId="77777777" w:rsidR="00361A40" w:rsidRPr="005C7612" w:rsidRDefault="00361A40">
      <w:pPr>
        <w:pStyle w:val="enumlev1"/>
        <w:spacing w:before="100"/>
        <w:rPr>
          <w:color w:val="000000"/>
          <w:lang w:val="es-ES_tradnl"/>
        </w:rPr>
      </w:pPr>
      <w:r w:rsidRPr="005C7612">
        <w:rPr>
          <w:i/>
          <w:color w:val="000000"/>
          <w:lang w:val="es-ES_tradnl"/>
        </w:rPr>
        <w:t>a)</w:t>
      </w:r>
      <w:r w:rsidRPr="005C7612">
        <w:rPr>
          <w:color w:val="000000"/>
          <w:lang w:val="es-ES_tradnl"/>
        </w:rPr>
        <w:tab/>
        <w:t>La probabilidad de interferencia perjudicial se considera despreciable si la interferencia es inferior o igual a los límites de interferencia de una sola fuente indicados en el Cuadro 2 del § 3.2 infra. La conclusión de la Columna 13A3 será favorable.</w:t>
      </w:r>
    </w:p>
    <w:p w14:paraId="7DA23BE4" w14:textId="77777777" w:rsidR="00361A40" w:rsidRPr="005C7612" w:rsidRDefault="00361A40" w:rsidP="005C7612">
      <w:pPr>
        <w:pStyle w:val="enumlev1"/>
        <w:spacing w:before="100"/>
        <w:rPr>
          <w:color w:val="000000"/>
          <w:lang w:val="es-ES_tradnl"/>
        </w:rPr>
      </w:pPr>
      <w:r w:rsidRPr="005C7612">
        <w:rPr>
          <w:i/>
          <w:color w:val="000000"/>
          <w:lang w:val="es-ES_tradnl"/>
        </w:rPr>
        <w:t>b)</w:t>
      </w:r>
      <w:r w:rsidRPr="005C7612">
        <w:rPr>
          <w:color w:val="000000"/>
          <w:lang w:val="es-ES_tradnl"/>
        </w:rPr>
        <w:tab/>
        <w:t>La probabilidad de interferencia perjudicial no se considera despreciable si la inter</w:t>
      </w:r>
      <w:r w:rsidRPr="005C7612">
        <w:rPr>
          <w:color w:val="000000"/>
          <w:lang w:val="es-ES_tradnl"/>
        </w:rPr>
        <w:softHyphen/>
        <w:t>ferencia es superior a los límites de interferencia de una sola fuente indicados en el Cuadro 2 del § 3.2 infra. La conclusión de la Columna 13A3 será desfavorable.</w:t>
      </w:r>
    </w:p>
    <w:p w14:paraId="53E09F0D" w14:textId="77777777" w:rsidR="00361A40" w:rsidRPr="005C7612" w:rsidRDefault="00361A40">
      <w:pPr>
        <w:pStyle w:val="Heading1"/>
        <w:rPr>
          <w:color w:val="000000"/>
          <w:lang w:val="es-ES_tradnl"/>
        </w:rPr>
      </w:pPr>
      <w:r w:rsidRPr="005C7612">
        <w:rPr>
          <w:color w:val="000000"/>
          <w:lang w:val="es-ES_tradnl"/>
        </w:rPr>
        <w:t>3</w:t>
      </w:r>
      <w:r w:rsidRPr="005C7612">
        <w:rPr>
          <w:color w:val="000000"/>
          <w:lang w:val="es-ES_tradnl"/>
        </w:rPr>
        <w:tab/>
        <w:t>Metodología</w:t>
      </w:r>
    </w:p>
    <w:p w14:paraId="6B428E10" w14:textId="77777777"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Para efectuar el análisis de compatibilidad antes citado se empleará la siguiente metodología.</w:t>
      </w:r>
    </w:p>
    <w:p w14:paraId="7350DB91" w14:textId="2B380466"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La metodología se basa en la Recomendación UIT-R S.741-2. Se efectúa una serie de cálculos de la relación portadora/interferencia</w:t>
      </w:r>
      <w:r w:rsidRPr="00B45729">
        <w:rPr>
          <w:rFonts w:asciiTheme="majorBidi" w:hAnsiTheme="majorBidi" w:cstheme="majorBidi"/>
          <w:i/>
          <w:color w:val="000000"/>
          <w:szCs w:val="24"/>
          <w:lang w:val="es-ES"/>
        </w:rPr>
        <w:t xml:space="preserve"> </w:t>
      </w:r>
      <w:r w:rsidRPr="00B45729">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C</w:t>
      </w:r>
      <w:r w:rsidRPr="00B45729">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iCs/>
          <w:color w:val="000000"/>
          <w:szCs w:val="24"/>
          <w:lang w:val="es-ES"/>
        </w:rPr>
        <w:t> ), utilizando los valores de potencia facilitados por las administraciones notificantes en los puntos C.8.a.1/C.8.b.1 (es decir, el valor máximo de la potencia en la cresta de la envolvente /la potencia total en la cresta de la envolvente) del Apéndice</w:t>
      </w:r>
      <w:r w:rsidR="00973109">
        <w:rPr>
          <w:rFonts w:asciiTheme="majorBidi" w:hAnsiTheme="majorBidi" w:cstheme="majorBidi"/>
          <w:iCs/>
          <w:color w:val="000000"/>
          <w:szCs w:val="24"/>
          <w:lang w:val="es-ES"/>
        </w:rPr>
        <w:t> </w:t>
      </w:r>
      <w:r w:rsidRPr="00B45729">
        <w:rPr>
          <w:rFonts w:asciiTheme="majorBidi" w:hAnsiTheme="majorBidi" w:cstheme="majorBidi"/>
          <w:b/>
          <w:bCs/>
          <w:iCs/>
          <w:color w:val="000000"/>
          <w:szCs w:val="24"/>
          <w:lang w:val="es-ES"/>
        </w:rPr>
        <w:t>4</w:t>
      </w:r>
      <w:r w:rsidRPr="00B45729">
        <w:rPr>
          <w:rFonts w:asciiTheme="majorBidi" w:hAnsiTheme="majorBidi" w:cstheme="majorBidi"/>
          <w:iCs/>
          <w:color w:val="000000"/>
          <w:szCs w:val="24"/>
          <w:lang w:val="es-ES"/>
        </w:rPr>
        <w:t xml:space="preserve"> tanto para la portadora deseada como para la portadora interferente,</w:t>
      </w:r>
      <w:r w:rsidRPr="00B45729">
        <w:rPr>
          <w:rFonts w:asciiTheme="majorBidi" w:hAnsiTheme="majorBidi" w:cstheme="majorBidi"/>
          <w:i/>
          <w:color w:val="000000"/>
          <w:szCs w:val="24"/>
          <w:lang w:val="es-ES"/>
        </w:rPr>
        <w:t xml:space="preserve"> </w:t>
      </w:r>
      <w:r w:rsidRPr="00B45729">
        <w:rPr>
          <w:rFonts w:asciiTheme="majorBidi" w:hAnsiTheme="majorBidi" w:cstheme="majorBidi"/>
          <w:iCs/>
          <w:color w:val="000000"/>
          <w:szCs w:val="24"/>
          <w:lang w:val="es-ES"/>
        </w:rPr>
        <w:t>siguiendo las consideraciones geométricas de la Recomendación UIT</w:t>
      </w:r>
      <w:r w:rsidRPr="00B45729">
        <w:rPr>
          <w:rFonts w:asciiTheme="majorBidi" w:hAnsiTheme="majorBidi" w:cstheme="majorBidi"/>
          <w:color w:val="000000"/>
          <w:szCs w:val="24"/>
          <w:lang w:val="es-ES"/>
        </w:rPr>
        <w:t xml:space="preserve">-R S.740 y se calcula un factor de ajuste de la interferencia, como se indica más adelante, para tomar en cuenta las situaciones de desplazamiento de frecuencia, así como la diferencia en la anchura de banda entre las portadoras deseada e interferente. Entonces se comparan esos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con los valores de</w:t>
      </w:r>
      <w:r w:rsidRPr="00B45729">
        <w:rPr>
          <w:rFonts w:asciiTheme="majorBidi" w:hAnsiTheme="majorBidi" w:cstheme="majorBidi"/>
          <w:i/>
          <w:color w:val="000000"/>
          <w:szCs w:val="24"/>
          <w:lang w:val="es-ES"/>
        </w:rPr>
        <w:t xml:space="preserve"> C</w:t>
      </w:r>
      <w:r w:rsidRPr="00B45729">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 xml:space="preserve">I </w:t>
      </w:r>
      <w:r w:rsidRPr="00B45729">
        <w:rPr>
          <w:rFonts w:asciiTheme="majorBidi" w:hAnsiTheme="majorBidi" w:cstheme="majorBidi"/>
          <w:iCs/>
          <w:color w:val="000000"/>
          <w:szCs w:val="24"/>
          <w:lang w:val="es-ES"/>
        </w:rPr>
        <w:t>requeridos derivados de los criterios que aparecen en el Cuadro 2 del</w:t>
      </w:r>
      <w:r w:rsidRPr="00B45729">
        <w:rPr>
          <w:rFonts w:asciiTheme="majorBidi" w:hAnsiTheme="majorBidi" w:cstheme="majorBidi"/>
          <w:color w:val="000000"/>
          <w:szCs w:val="24"/>
          <w:lang w:val="es-ES"/>
        </w:rPr>
        <w:t xml:space="preserve"> § 3.2 infra, que comprenden una serie de criterios de interferencia de una sola fuente destinados a proteger distintos tipos de portadoras. En el caso de los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requeridos acordados por las administraciones y comunicados a la Oficina, los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calculados se compararán con esos valores de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mutuamente acordados.</w:t>
      </w:r>
    </w:p>
    <w:p w14:paraId="00044F47" w14:textId="62F05413"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 xml:space="preserve">Después se deducen una serie de márgenes </w:t>
      </w:r>
      <w:r w:rsidRPr="00B45729">
        <w:rPr>
          <w:rFonts w:asciiTheme="majorBidi" w:hAnsiTheme="majorBidi" w:cstheme="majorBidi"/>
          <w:i/>
          <w:color w:val="000000"/>
          <w:szCs w:val="24"/>
          <w:lang w:val="es-ES"/>
        </w:rPr>
        <w:t>M</w:t>
      </w:r>
      <w:r w:rsidRPr="00B45729">
        <w:rPr>
          <w:rFonts w:asciiTheme="majorBidi" w:hAnsiTheme="majorBidi" w:cstheme="majorBidi"/>
          <w:color w:val="000000"/>
          <w:szCs w:val="24"/>
          <w:lang w:val="es-ES"/>
        </w:rPr>
        <w:t xml:space="preserv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calculada –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requerida). Conviene señalar que para evaluar la relación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requerida, se utiliza una serie de objetivos de relaciones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(calidad de funcionamiento) y se añade un valor </w:t>
      </w:r>
      <w:r w:rsidRPr="00B45729">
        <w:rPr>
          <w:rFonts w:asciiTheme="majorBidi" w:hAnsiTheme="majorBidi" w:cstheme="majorBidi"/>
          <w:i/>
          <w:color w:val="000000"/>
          <w:szCs w:val="24"/>
          <w:lang w:val="es-ES"/>
        </w:rPr>
        <w:t>K,</w:t>
      </w:r>
      <w:r w:rsidRPr="00B45729">
        <w:rPr>
          <w:rFonts w:asciiTheme="majorBidi" w:hAnsiTheme="majorBidi" w:cstheme="majorBidi"/>
          <w:color w:val="000000"/>
          <w:szCs w:val="24"/>
          <w:lang w:val="es-ES"/>
        </w:rPr>
        <w:t xml:space="preserve"> generalmente de 12,2 </w:t>
      </w:r>
      <w:r w:rsidR="00DF0DD1">
        <w:rPr>
          <w:rFonts w:asciiTheme="majorBidi" w:hAnsiTheme="majorBidi" w:cstheme="majorBidi"/>
          <w:color w:val="000000"/>
          <w:szCs w:val="24"/>
          <w:lang w:val="es-ES"/>
        </w:rPr>
        <w:t>ó</w:t>
      </w:r>
      <w:r w:rsidR="00BC1DDE">
        <w:rPr>
          <w:rFonts w:asciiTheme="majorBidi" w:hAnsiTheme="majorBidi" w:cstheme="majorBidi"/>
          <w:color w:val="000000"/>
          <w:szCs w:val="24"/>
          <w:lang w:val="es-ES"/>
        </w:rPr>
        <w:t> </w:t>
      </w:r>
      <w:r w:rsidRPr="00B45729">
        <w:rPr>
          <w:rFonts w:asciiTheme="majorBidi" w:hAnsiTheme="majorBidi" w:cstheme="majorBidi"/>
          <w:color w:val="000000"/>
          <w:szCs w:val="24"/>
          <w:lang w:val="es-ES"/>
        </w:rPr>
        <w:t>14,0</w:t>
      </w:r>
      <w:r w:rsidR="00DF0DD1">
        <w:rPr>
          <w:rFonts w:asciiTheme="majorBidi" w:hAnsiTheme="majorBidi" w:cstheme="majorBidi"/>
          <w:color w:val="000000"/>
          <w:szCs w:val="24"/>
          <w:lang w:val="es-ES"/>
        </w:rPr>
        <w:t> </w:t>
      </w:r>
      <w:r w:rsidRPr="00B45729">
        <w:rPr>
          <w:rFonts w:asciiTheme="majorBidi" w:hAnsiTheme="majorBidi" w:cstheme="majorBidi"/>
          <w:color w:val="000000"/>
          <w:szCs w:val="24"/>
          <w:lang w:val="es-ES"/>
        </w:rPr>
        <w:t xml:space="preserve">dB, de acuerdo con el mencionado Cuadro 2 del § 3.2 infra. Conviene también observar que estos valores corresponden a una interferencia admisible máxima del 6% o el 4% de la potencia de ruido total, </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de las asignaciones protegidas (calidad de funcionamiento).</w:t>
      </w:r>
    </w:p>
    <w:p w14:paraId="4062052D" w14:textId="77777777" w:rsidR="00B45729" w:rsidRPr="00B45729" w:rsidRDefault="00B45729" w:rsidP="00B45729">
      <w:pPr>
        <w:rPr>
          <w:rFonts w:asciiTheme="majorBidi" w:hAnsiTheme="majorBidi" w:cstheme="majorBidi"/>
          <w:szCs w:val="24"/>
          <w:lang w:val="es-ES"/>
        </w:rPr>
      </w:pPr>
      <w:r w:rsidRPr="00B45729">
        <w:rPr>
          <w:rFonts w:asciiTheme="majorBidi" w:hAnsiTheme="majorBidi" w:cstheme="majorBidi"/>
          <w:szCs w:val="24"/>
          <w:lang w:val="es-ES"/>
        </w:rPr>
        <w:t xml:space="preserve">Para identificar la </w:t>
      </w:r>
      <w:r w:rsidRPr="00B45729">
        <w:rPr>
          <w:rFonts w:asciiTheme="majorBidi" w:hAnsiTheme="majorBidi" w:cstheme="majorBidi"/>
          <w:i/>
          <w:iCs/>
          <w:szCs w:val="24"/>
          <w:lang w:val="es-ES"/>
        </w:rPr>
        <w:t>C</w:t>
      </w:r>
      <w:r w:rsidRPr="000A25DF">
        <w:rPr>
          <w:rFonts w:asciiTheme="majorBidi" w:hAnsiTheme="majorBidi" w:cstheme="majorBidi"/>
          <w:szCs w:val="24"/>
          <w:lang w:val="es-ES"/>
        </w:rPr>
        <w:t>/</w:t>
      </w:r>
      <w:r w:rsidRPr="00B45729">
        <w:rPr>
          <w:rFonts w:asciiTheme="majorBidi" w:hAnsiTheme="majorBidi" w:cstheme="majorBidi"/>
          <w:i/>
          <w:iCs/>
          <w:szCs w:val="24"/>
          <w:lang w:val="es-ES"/>
        </w:rPr>
        <w:t>I</w:t>
      </w:r>
      <w:r w:rsidRPr="00B45729">
        <w:rPr>
          <w:rFonts w:asciiTheme="majorBidi" w:hAnsiTheme="majorBidi" w:cstheme="majorBidi"/>
          <w:szCs w:val="24"/>
          <w:lang w:val="es-ES"/>
        </w:rPr>
        <w:t xml:space="preserve"> requerida que se utilizará en el cálculo, se analizan dos casos:</w:t>
      </w:r>
    </w:p>
    <w:p w14:paraId="0B6D538A" w14:textId="77777777" w:rsidR="00B45729" w:rsidRPr="00B45729" w:rsidRDefault="00B45729" w:rsidP="00B45729">
      <w:pPr>
        <w:pStyle w:val="enumlev1"/>
        <w:rPr>
          <w:rFonts w:asciiTheme="majorBidi" w:hAnsiTheme="majorBidi" w:cstheme="majorBidi"/>
          <w:lang w:val="es-ES"/>
        </w:rPr>
      </w:pPr>
      <w:r w:rsidRPr="00B45729">
        <w:rPr>
          <w:rFonts w:asciiTheme="majorBidi" w:hAnsiTheme="majorBidi" w:cstheme="majorBidi"/>
          <w:lang w:val="es-ES"/>
        </w:rPr>
        <w:t>I</w:t>
      </w:r>
      <w:r w:rsidR="000A25DF">
        <w:rPr>
          <w:rFonts w:asciiTheme="majorBidi" w:hAnsiTheme="majorBidi" w:cstheme="majorBidi"/>
          <w:lang w:val="es-ES"/>
        </w:rPr>
        <w:t>.</w:t>
      </w:r>
      <w:r w:rsidRPr="00B45729">
        <w:rPr>
          <w:rFonts w:asciiTheme="majorBidi" w:hAnsiTheme="majorBidi" w:cstheme="majorBidi"/>
          <w:lang w:val="es-ES"/>
        </w:rPr>
        <w:tab/>
        <w:t xml:space="preserve">Evaluación de la interferencia causada por las redes existentes a la red notificada para su examen en virtud del número </w:t>
      </w:r>
      <w:r w:rsidRPr="00B45729">
        <w:rPr>
          <w:rFonts w:asciiTheme="majorBidi" w:hAnsiTheme="majorBidi" w:cstheme="majorBidi"/>
          <w:b/>
          <w:bCs/>
          <w:lang w:val="es-ES"/>
        </w:rPr>
        <w:t>11.32A</w:t>
      </w:r>
      <w:r w:rsidRPr="00B45729">
        <w:rPr>
          <w:rFonts w:asciiTheme="majorBidi" w:hAnsiTheme="majorBidi" w:cstheme="majorBidi"/>
          <w:lang w:val="es-ES"/>
        </w:rPr>
        <w:t xml:space="preserve"> del RR:</w:t>
      </w:r>
    </w:p>
    <w:p w14:paraId="7C2A7B58" w14:textId="55F6587E" w:rsidR="00B45729" w:rsidRDefault="00B45729" w:rsidP="00B45729">
      <w:pPr>
        <w:pStyle w:val="enumlev2"/>
        <w:rPr>
          <w:rFonts w:asciiTheme="majorBidi" w:hAnsiTheme="majorBidi" w:cstheme="majorBidi"/>
          <w:lang w:val="es-ES"/>
        </w:rPr>
      </w:pPr>
      <w:r w:rsidRPr="00B45729">
        <w:rPr>
          <w:rFonts w:asciiTheme="majorBidi" w:hAnsiTheme="majorBidi" w:cstheme="majorBidi"/>
          <w:lang w:val="es-ES"/>
        </w:rPr>
        <w:tab/>
        <w:t xml:space="preserve">En este caso, para calcular la C/I requerida de la red examinada, se utiliza la </w:t>
      </w:r>
      <w:r w:rsidRPr="00B45729">
        <w:rPr>
          <w:rFonts w:asciiTheme="majorBidi" w:hAnsiTheme="majorBidi" w:cstheme="majorBidi"/>
          <w:i/>
          <w:iCs/>
          <w:lang w:val="es-ES"/>
        </w:rPr>
        <w:t>C</w:t>
      </w:r>
      <w:r w:rsidRPr="000A25DF">
        <w:rPr>
          <w:rFonts w:asciiTheme="majorBidi" w:hAnsiTheme="majorBidi" w:cstheme="majorBidi"/>
          <w:lang w:val="es-ES"/>
        </w:rPr>
        <w:t>/</w:t>
      </w:r>
      <w:r w:rsidRPr="00B45729">
        <w:rPr>
          <w:rFonts w:asciiTheme="majorBidi" w:hAnsiTheme="majorBidi" w:cstheme="majorBidi"/>
          <w:i/>
          <w:iCs/>
          <w:lang w:val="es-ES"/>
        </w:rPr>
        <w:t xml:space="preserve">N </w:t>
      </w:r>
      <w:r w:rsidRPr="00B45729">
        <w:rPr>
          <w:rFonts w:asciiTheme="majorBidi" w:hAnsiTheme="majorBidi" w:cstheme="majorBidi"/>
          <w:lang w:val="es-ES"/>
        </w:rPr>
        <w:t xml:space="preserve">objetivo de la red (véase el punto C.8.e.1 del Anexo 2 al Apéndice </w:t>
      </w:r>
      <w:r w:rsidRPr="00B45729">
        <w:rPr>
          <w:rFonts w:asciiTheme="majorBidi" w:hAnsiTheme="majorBidi" w:cstheme="majorBidi"/>
          <w:b/>
          <w:bCs/>
          <w:lang w:val="es-ES"/>
        </w:rPr>
        <w:t>4</w:t>
      </w:r>
      <w:r w:rsidRPr="00B45729">
        <w:rPr>
          <w:rFonts w:asciiTheme="majorBidi" w:hAnsiTheme="majorBidi" w:cstheme="majorBidi"/>
          <w:lang w:val="es-ES"/>
        </w:rPr>
        <w:t xml:space="preserve">) presentada por la administración notificante para el examen en virtud del número </w:t>
      </w:r>
      <w:r w:rsidRPr="00B45729">
        <w:rPr>
          <w:rFonts w:asciiTheme="majorBidi" w:hAnsiTheme="majorBidi" w:cstheme="majorBidi"/>
          <w:b/>
          <w:bCs/>
          <w:lang w:val="es-ES"/>
        </w:rPr>
        <w:t>11.32A</w:t>
      </w:r>
      <w:r w:rsidRPr="00B45729">
        <w:rPr>
          <w:rFonts w:asciiTheme="majorBidi" w:hAnsiTheme="majorBidi" w:cstheme="majorBidi"/>
          <w:lang w:val="es-ES"/>
        </w:rPr>
        <w:t>.</w:t>
      </w:r>
    </w:p>
    <w:p w14:paraId="66ADB63C" w14:textId="14F60A6B" w:rsidR="00DF0DD1" w:rsidRDefault="00DF0DD1" w:rsidP="00B45729">
      <w:pPr>
        <w:pStyle w:val="enumlev2"/>
        <w:rPr>
          <w:rFonts w:asciiTheme="majorBidi" w:hAnsiTheme="majorBidi" w:cstheme="majorBidi"/>
          <w:lang w:val="es-ES"/>
        </w:rPr>
      </w:pPr>
      <w:r>
        <w:rPr>
          <w:rFonts w:asciiTheme="majorBidi" w:hAnsiTheme="majorBidi" w:cstheme="majorBidi"/>
          <w:lang w:val="es-ES"/>
        </w:rPr>
        <w:br w:type="page"/>
      </w:r>
    </w:p>
    <w:p w14:paraId="73C9C4C8" w14:textId="77777777" w:rsidR="00B45729" w:rsidRPr="00B45729" w:rsidRDefault="00B45729" w:rsidP="00B45729">
      <w:pPr>
        <w:pStyle w:val="enumlev1"/>
        <w:rPr>
          <w:rFonts w:asciiTheme="majorBidi" w:hAnsiTheme="majorBidi" w:cstheme="majorBidi"/>
          <w:szCs w:val="24"/>
          <w:lang w:val="es-ES"/>
        </w:rPr>
      </w:pPr>
      <w:r w:rsidRPr="00B45729">
        <w:rPr>
          <w:rFonts w:asciiTheme="majorBidi" w:hAnsiTheme="majorBidi" w:cstheme="majorBidi"/>
          <w:szCs w:val="24"/>
          <w:lang w:val="es-ES"/>
        </w:rPr>
        <w:lastRenderedPageBreak/>
        <w:t>II</w:t>
      </w:r>
      <w:r w:rsidR="000A25DF">
        <w:rPr>
          <w:rFonts w:asciiTheme="majorBidi" w:hAnsiTheme="majorBidi" w:cstheme="majorBidi"/>
          <w:szCs w:val="24"/>
          <w:lang w:val="es-ES"/>
        </w:rPr>
        <w:t>.</w:t>
      </w:r>
      <w:r w:rsidRPr="00B45729">
        <w:rPr>
          <w:rFonts w:asciiTheme="majorBidi" w:hAnsiTheme="majorBidi" w:cstheme="majorBidi"/>
          <w:szCs w:val="24"/>
          <w:lang w:val="es-ES"/>
        </w:rPr>
        <w:tab/>
        <w:t xml:space="preserve">Evaluación de la interferencia causada por la red notificada para su examen en virtud del número </w:t>
      </w:r>
      <w:r w:rsidRPr="00B45729">
        <w:rPr>
          <w:rFonts w:asciiTheme="majorBidi" w:hAnsiTheme="majorBidi" w:cstheme="majorBidi"/>
          <w:b/>
          <w:bCs/>
          <w:szCs w:val="24"/>
          <w:lang w:val="es-ES"/>
        </w:rPr>
        <w:t>11.32A</w:t>
      </w:r>
      <w:r w:rsidRPr="00B45729">
        <w:rPr>
          <w:rFonts w:asciiTheme="majorBidi" w:hAnsiTheme="majorBidi" w:cstheme="majorBidi"/>
          <w:szCs w:val="24"/>
          <w:lang w:val="es-ES"/>
        </w:rPr>
        <w:t xml:space="preserve"> del RR a las redes existentes:</w:t>
      </w:r>
    </w:p>
    <w:p w14:paraId="1E8F32A1" w14:textId="38D64AF9" w:rsidR="00B45729" w:rsidRPr="00B45729" w:rsidRDefault="00B45729" w:rsidP="00B45729">
      <w:pPr>
        <w:pStyle w:val="enumlev2"/>
        <w:rPr>
          <w:rFonts w:asciiTheme="majorBidi" w:hAnsiTheme="majorBidi" w:cstheme="majorBidi"/>
          <w:szCs w:val="24"/>
          <w:lang w:val="es-ES"/>
        </w:rPr>
      </w:pPr>
      <w:r w:rsidRPr="00B45729">
        <w:rPr>
          <w:rFonts w:asciiTheme="majorBidi" w:hAnsiTheme="majorBidi" w:cstheme="majorBidi"/>
          <w:szCs w:val="24"/>
          <w:lang w:val="es-ES"/>
        </w:rPr>
        <w:tab/>
        <w:t xml:space="preserve">En este caso, para calcular la </w:t>
      </w:r>
      <w:r w:rsidRPr="00BC1DDE">
        <w:rPr>
          <w:rFonts w:asciiTheme="majorBidi" w:hAnsiTheme="majorBidi" w:cstheme="majorBidi"/>
          <w:i/>
          <w:iCs/>
          <w:szCs w:val="24"/>
          <w:lang w:val="es-ES"/>
        </w:rPr>
        <w:t>C</w:t>
      </w:r>
      <w:r w:rsidRPr="00BC1DDE">
        <w:rPr>
          <w:rFonts w:asciiTheme="majorBidi" w:hAnsiTheme="majorBidi" w:cstheme="majorBidi"/>
          <w:szCs w:val="24"/>
          <w:lang w:val="es-ES"/>
        </w:rPr>
        <w:t>/</w:t>
      </w:r>
      <w:r w:rsidRPr="00BC1DDE">
        <w:rPr>
          <w:rFonts w:asciiTheme="majorBidi" w:hAnsiTheme="majorBidi" w:cstheme="majorBidi"/>
          <w:i/>
          <w:iCs/>
          <w:szCs w:val="24"/>
          <w:lang w:val="es-ES"/>
        </w:rPr>
        <w:t>I</w:t>
      </w:r>
      <w:r w:rsidRPr="00B45729">
        <w:rPr>
          <w:rFonts w:asciiTheme="majorBidi" w:hAnsiTheme="majorBidi" w:cstheme="majorBidi"/>
          <w:szCs w:val="24"/>
          <w:lang w:val="es-ES"/>
        </w:rPr>
        <w:t xml:space="preserve"> requerida de cada una de las redes existentes, se utiliza el valor más bajo entre la </w:t>
      </w:r>
      <w:r w:rsidRPr="00B45729">
        <w:rPr>
          <w:rFonts w:asciiTheme="majorBidi" w:hAnsiTheme="majorBidi" w:cstheme="majorBidi"/>
          <w:i/>
          <w:iCs/>
          <w:szCs w:val="24"/>
          <w:lang w:val="es-ES"/>
        </w:rPr>
        <w:t>C</w:t>
      </w:r>
      <w:r w:rsidRPr="000A25DF">
        <w:rPr>
          <w:rFonts w:asciiTheme="majorBidi" w:hAnsiTheme="majorBidi" w:cstheme="majorBidi"/>
          <w:szCs w:val="24"/>
          <w:lang w:val="es-ES"/>
        </w:rPr>
        <w:t>/</w:t>
      </w:r>
      <w:r w:rsidRPr="00B45729">
        <w:rPr>
          <w:rFonts w:asciiTheme="majorBidi" w:hAnsiTheme="majorBidi" w:cstheme="majorBidi"/>
          <w:i/>
          <w:iCs/>
          <w:szCs w:val="24"/>
          <w:lang w:val="es-ES"/>
        </w:rPr>
        <w:t xml:space="preserve">N </w:t>
      </w:r>
      <w:r w:rsidRPr="00B45729">
        <w:rPr>
          <w:rFonts w:asciiTheme="majorBidi" w:hAnsiTheme="majorBidi" w:cstheme="majorBidi"/>
          <w:szCs w:val="24"/>
          <w:lang w:val="es-ES"/>
        </w:rPr>
        <w:t>objetivo presentada (véase el punto C.8.e.1 del Anexo</w:t>
      </w:r>
      <w:r w:rsidR="00DF0DD1">
        <w:rPr>
          <w:rFonts w:asciiTheme="majorBidi" w:hAnsiTheme="majorBidi" w:cstheme="majorBidi"/>
          <w:szCs w:val="24"/>
          <w:lang w:val="es-ES"/>
        </w:rPr>
        <w:t> </w:t>
      </w:r>
      <w:r w:rsidRPr="00B45729">
        <w:rPr>
          <w:rFonts w:asciiTheme="majorBidi" w:hAnsiTheme="majorBidi" w:cstheme="majorBidi"/>
          <w:szCs w:val="24"/>
          <w:lang w:val="es-ES"/>
        </w:rPr>
        <w:t>2 al Apéndice</w:t>
      </w:r>
      <w:r w:rsidR="00DF0DD1">
        <w:rPr>
          <w:rFonts w:asciiTheme="majorBidi" w:hAnsiTheme="majorBidi" w:cstheme="majorBidi"/>
          <w:szCs w:val="24"/>
          <w:lang w:val="es-ES"/>
        </w:rPr>
        <w:t> </w:t>
      </w:r>
      <w:r w:rsidRPr="00B45729">
        <w:rPr>
          <w:rFonts w:asciiTheme="majorBidi" w:hAnsiTheme="majorBidi" w:cstheme="majorBidi"/>
          <w:b/>
          <w:bCs/>
          <w:szCs w:val="24"/>
          <w:lang w:val="es-ES"/>
        </w:rPr>
        <w:t>4</w:t>
      </w:r>
      <w:r w:rsidRPr="00B45729">
        <w:rPr>
          <w:rFonts w:asciiTheme="majorBidi" w:hAnsiTheme="majorBidi" w:cstheme="majorBidi"/>
          <w:szCs w:val="24"/>
          <w:lang w:val="es-ES"/>
        </w:rPr>
        <w:t xml:space="preserve">) y la </w:t>
      </w:r>
      <w:r w:rsidRPr="00BC1DDE">
        <w:rPr>
          <w:rFonts w:asciiTheme="majorBidi" w:hAnsiTheme="majorBidi" w:cstheme="majorBidi"/>
          <w:i/>
          <w:iCs/>
          <w:szCs w:val="24"/>
          <w:lang w:val="es-ES"/>
        </w:rPr>
        <w:t>C</w:t>
      </w:r>
      <w:r w:rsidRPr="00BC1DDE">
        <w:rPr>
          <w:rFonts w:asciiTheme="majorBidi" w:hAnsiTheme="majorBidi" w:cstheme="majorBidi"/>
          <w:szCs w:val="24"/>
          <w:lang w:val="es-ES"/>
        </w:rPr>
        <w:t>/</w:t>
      </w:r>
      <w:r w:rsidRPr="00BC1DDE">
        <w:rPr>
          <w:rFonts w:asciiTheme="majorBidi" w:hAnsiTheme="majorBidi" w:cstheme="majorBidi"/>
          <w:i/>
          <w:iCs/>
          <w:szCs w:val="24"/>
          <w:lang w:val="es-ES"/>
        </w:rPr>
        <w:t>N</w:t>
      </w:r>
      <w:r w:rsidRPr="00B45729">
        <w:rPr>
          <w:rFonts w:asciiTheme="majorBidi" w:hAnsiTheme="majorBidi" w:cstheme="majorBidi"/>
          <w:szCs w:val="24"/>
          <w:lang w:val="es-ES"/>
        </w:rPr>
        <w:t xml:space="preserve"> calculada (utilizando los valores de potencia presentados por la administración notificante en los puntos</w:t>
      </w:r>
      <w:r w:rsidR="00DF0DD1">
        <w:rPr>
          <w:rFonts w:asciiTheme="majorBidi" w:hAnsiTheme="majorBidi" w:cstheme="majorBidi"/>
          <w:szCs w:val="24"/>
          <w:lang w:val="es-ES"/>
        </w:rPr>
        <w:t> </w:t>
      </w:r>
      <w:r w:rsidRPr="00B45729">
        <w:rPr>
          <w:rFonts w:asciiTheme="majorBidi" w:hAnsiTheme="majorBidi" w:cstheme="majorBidi"/>
          <w:szCs w:val="24"/>
          <w:lang w:val="es-ES"/>
        </w:rPr>
        <w:t xml:space="preserve">C.8.a.1/C.8.b.1 del Apéndice </w:t>
      </w:r>
      <w:r w:rsidRPr="00B45729">
        <w:rPr>
          <w:rFonts w:asciiTheme="majorBidi" w:hAnsiTheme="majorBidi" w:cstheme="majorBidi"/>
          <w:b/>
          <w:bCs/>
          <w:szCs w:val="24"/>
          <w:lang w:val="es-ES"/>
        </w:rPr>
        <w:t>4</w:t>
      </w:r>
      <w:r w:rsidRPr="00B45729">
        <w:rPr>
          <w:rFonts w:asciiTheme="majorBidi" w:hAnsiTheme="majorBidi" w:cstheme="majorBidi"/>
          <w:szCs w:val="24"/>
          <w:lang w:val="es-ES"/>
        </w:rPr>
        <w:t>) de la red existente.</w:t>
      </w:r>
    </w:p>
    <w:p w14:paraId="76961BA2" w14:textId="77777777" w:rsidR="00B45729" w:rsidRPr="00B45729" w:rsidRDefault="00B45729" w:rsidP="00B45729">
      <w:pPr>
        <w:rPr>
          <w:rFonts w:asciiTheme="majorBidi" w:hAnsiTheme="majorBidi" w:cstheme="majorBidi"/>
          <w:lang w:val="es-ES"/>
        </w:rPr>
      </w:pPr>
      <w:r w:rsidRPr="00B45729">
        <w:rPr>
          <w:rFonts w:asciiTheme="majorBidi" w:hAnsiTheme="majorBidi" w:cstheme="majorBidi"/>
          <w:lang w:val="es-ES"/>
        </w:rPr>
        <w:t xml:space="preserve">Si las administraciones notificantes no han presentado </w:t>
      </w:r>
      <w:r w:rsidRPr="00B45729">
        <w:rPr>
          <w:rFonts w:asciiTheme="majorBidi" w:hAnsiTheme="majorBidi" w:cstheme="majorBidi"/>
          <w:i/>
          <w:iCs/>
          <w:lang w:val="es-ES"/>
        </w:rPr>
        <w:t>C</w:t>
      </w:r>
      <w:r w:rsidRPr="000A25DF">
        <w:rPr>
          <w:rFonts w:asciiTheme="majorBidi" w:hAnsiTheme="majorBidi" w:cstheme="majorBidi"/>
          <w:lang w:val="es-ES"/>
        </w:rPr>
        <w:t>/</w:t>
      </w:r>
      <w:r w:rsidRPr="00B45729">
        <w:rPr>
          <w:rFonts w:asciiTheme="majorBidi" w:hAnsiTheme="majorBidi" w:cstheme="majorBidi"/>
          <w:i/>
          <w:iCs/>
          <w:lang w:val="es-ES"/>
        </w:rPr>
        <w:t>N</w:t>
      </w:r>
      <w:r w:rsidRPr="00B45729">
        <w:rPr>
          <w:rFonts w:asciiTheme="majorBidi" w:hAnsiTheme="majorBidi" w:cstheme="majorBidi"/>
          <w:lang w:val="es-ES"/>
        </w:rPr>
        <w:t xml:space="preserve"> objetivo (pues antes no se exigía), se utilizarán los valores </w:t>
      </w:r>
      <w:r w:rsidRPr="00B45729">
        <w:rPr>
          <w:rFonts w:asciiTheme="majorBidi" w:hAnsiTheme="majorBidi" w:cstheme="majorBidi"/>
          <w:i/>
          <w:iCs/>
          <w:lang w:val="es-ES"/>
        </w:rPr>
        <w:t>C</w:t>
      </w:r>
      <w:r w:rsidRPr="000A25DF">
        <w:rPr>
          <w:rFonts w:asciiTheme="majorBidi" w:hAnsiTheme="majorBidi" w:cstheme="majorBidi"/>
          <w:lang w:val="es-ES"/>
        </w:rPr>
        <w:t>/</w:t>
      </w:r>
      <w:r w:rsidRPr="00B45729">
        <w:rPr>
          <w:rFonts w:asciiTheme="majorBidi" w:hAnsiTheme="majorBidi" w:cstheme="majorBidi"/>
          <w:i/>
          <w:iCs/>
          <w:lang w:val="es-ES"/>
        </w:rPr>
        <w:t>N</w:t>
      </w:r>
      <w:r w:rsidRPr="00B45729">
        <w:rPr>
          <w:rFonts w:asciiTheme="majorBidi" w:hAnsiTheme="majorBidi" w:cstheme="majorBidi"/>
          <w:lang w:val="es-ES"/>
        </w:rPr>
        <w:t xml:space="preserve"> calculados.</w:t>
      </w:r>
    </w:p>
    <w:p w14:paraId="77AF0B30" w14:textId="07930E50" w:rsidR="00B45729" w:rsidRPr="00B45729" w:rsidRDefault="00B45729" w:rsidP="00B45729">
      <w:pPr>
        <w:rPr>
          <w:rFonts w:asciiTheme="majorBidi" w:hAnsiTheme="majorBidi" w:cstheme="majorBidi"/>
          <w:color w:val="000000"/>
          <w:szCs w:val="24"/>
          <w:lang w:val="es-ES"/>
        </w:rPr>
      </w:pPr>
      <w:r w:rsidRPr="00B45729">
        <w:rPr>
          <w:rFonts w:asciiTheme="majorBidi" w:hAnsiTheme="majorBidi" w:cstheme="majorBidi"/>
          <w:color w:val="000000"/>
          <w:szCs w:val="24"/>
          <w:lang w:val="es-ES"/>
        </w:rPr>
        <w:t xml:space="preserve">Con respecto al cálculo de las relaciones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utilizadas para definir los criterios de protección de una sola fuente (</w:t>
      </w:r>
      <w:r w:rsidRPr="00B45729">
        <w:rPr>
          <w:rFonts w:asciiTheme="majorBidi" w:hAnsiTheme="majorBidi" w:cstheme="majorBidi"/>
          <w:i/>
          <w:iCs/>
          <w:color w:val="000000"/>
          <w:szCs w:val="24"/>
          <w:lang w:val="es-ES"/>
        </w:rPr>
        <w:t>C</w:t>
      </w:r>
      <w:r w:rsidRPr="000A25DF">
        <w:rPr>
          <w:rFonts w:asciiTheme="majorBidi" w:hAnsiTheme="majorBidi" w:cstheme="majorBidi"/>
          <w:color w:val="000000"/>
          <w:szCs w:val="24"/>
          <w:lang w:val="es-ES"/>
        </w:rPr>
        <w:t>/</w:t>
      </w:r>
      <w:r w:rsidRPr="00B45729">
        <w:rPr>
          <w:rFonts w:asciiTheme="majorBidi" w:hAnsiTheme="majorBidi" w:cstheme="majorBidi"/>
          <w:i/>
          <w:iCs/>
          <w:color w:val="000000"/>
          <w:szCs w:val="24"/>
          <w:lang w:val="es-ES"/>
        </w:rPr>
        <w:t>I</w:t>
      </w:r>
      <w:r w:rsidRPr="00B45729">
        <w:rPr>
          <w:rFonts w:asciiTheme="majorBidi" w:hAnsiTheme="majorBidi" w:cstheme="majorBidi"/>
          <w:color w:val="000000"/>
          <w:szCs w:val="24"/>
          <w:lang w:val="es-ES"/>
        </w:rPr>
        <w:t xml:space="preserve"> requerida), el Cuadro</w:t>
      </w:r>
      <w:r w:rsidR="00DF0DD1">
        <w:rPr>
          <w:rFonts w:asciiTheme="majorBidi" w:hAnsiTheme="majorBidi" w:cstheme="majorBidi"/>
          <w:color w:val="000000"/>
          <w:szCs w:val="24"/>
          <w:lang w:val="es-ES"/>
        </w:rPr>
        <w:t> </w:t>
      </w:r>
      <w:r w:rsidRPr="00B45729">
        <w:rPr>
          <w:rFonts w:asciiTheme="majorBidi" w:hAnsiTheme="majorBidi" w:cstheme="majorBidi"/>
          <w:color w:val="000000"/>
          <w:szCs w:val="24"/>
          <w:lang w:val="es-ES"/>
        </w:rPr>
        <w:t>2 de la Recomendación UIT</w:t>
      </w:r>
      <w:r w:rsidR="00DF0DD1">
        <w:rPr>
          <w:rFonts w:asciiTheme="majorBidi" w:hAnsiTheme="majorBidi" w:cstheme="majorBidi"/>
          <w:color w:val="000000"/>
          <w:szCs w:val="24"/>
          <w:lang w:val="es-ES"/>
        </w:rPr>
        <w:noBreakHyphen/>
      </w:r>
      <w:r w:rsidRPr="00B45729">
        <w:rPr>
          <w:rFonts w:asciiTheme="majorBidi" w:hAnsiTheme="majorBidi" w:cstheme="majorBidi"/>
          <w:color w:val="000000"/>
          <w:szCs w:val="24"/>
          <w:lang w:val="es-ES"/>
        </w:rPr>
        <w:t>R</w:t>
      </w:r>
      <w:r w:rsidR="00DF0DD1">
        <w:rPr>
          <w:rFonts w:asciiTheme="majorBidi" w:hAnsiTheme="majorBidi" w:cstheme="majorBidi"/>
          <w:color w:val="000000"/>
          <w:szCs w:val="24"/>
          <w:lang w:val="es-ES"/>
        </w:rPr>
        <w:t> </w:t>
      </w:r>
      <w:r w:rsidRPr="00B45729">
        <w:rPr>
          <w:rFonts w:asciiTheme="majorBidi" w:hAnsiTheme="majorBidi" w:cstheme="majorBidi"/>
          <w:color w:val="000000"/>
          <w:szCs w:val="24"/>
          <w:lang w:val="es-ES"/>
        </w:rPr>
        <w:t>S.741</w:t>
      </w:r>
      <w:r w:rsidRPr="00B45729">
        <w:rPr>
          <w:rFonts w:asciiTheme="majorBidi" w:hAnsiTheme="majorBidi" w:cstheme="majorBidi"/>
          <w:color w:val="000000"/>
          <w:szCs w:val="24"/>
          <w:lang w:val="es-ES"/>
        </w:rPr>
        <w:noBreakHyphen/>
        <w:t>2 (véase infra) señala que «</w:t>
      </w:r>
      <w:r w:rsidRPr="00B45729">
        <w:rPr>
          <w:rFonts w:asciiTheme="majorBidi" w:hAnsiTheme="majorBidi" w:cstheme="majorBidi"/>
          <w:i/>
          <w:color w:val="000000"/>
          <w:szCs w:val="24"/>
          <w:lang w:val="es-ES"/>
        </w:rPr>
        <w:t>C</w:t>
      </w:r>
      <w:r w:rsidRPr="00B45729">
        <w:rPr>
          <w:rFonts w:asciiTheme="majorBidi" w:hAnsiTheme="majorBidi" w:cstheme="majorBidi"/>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se define como la «relación (dB) entre la potencia de la portadora y del ruido total que incluye todo el ruido interno del sistema y la interferencia procedente de otros sistemas». Por consiguiente, para amoldarse a esa definición, debería añadirse un margen adicional de 0,46 dB en los casos en los que estén implicadas emisiones de TV analógica deseadas, y de 1,87 dB para otras emisiones deseadas, sumándolo a los márgenes calculados sobre la base de los valores de ruido interno del sistema facilitados por las administraciones interesadas</w:t>
      </w:r>
      <w:r w:rsidRPr="00B45729">
        <w:rPr>
          <w:rFonts w:asciiTheme="majorBidi" w:hAnsiTheme="majorBidi" w:cstheme="majorBidi"/>
          <w:lang w:val="es-ES"/>
        </w:rPr>
        <w:t xml:space="preserve"> </w:t>
      </w:r>
      <w:r w:rsidRPr="00B45729">
        <w:rPr>
          <w:rFonts w:asciiTheme="majorBidi" w:hAnsiTheme="majorBidi" w:cstheme="majorBidi"/>
          <w:color w:val="000000"/>
          <w:szCs w:val="24"/>
          <w:lang w:val="es-ES"/>
        </w:rPr>
        <w:t xml:space="preserve">salvo cuando el valor objetivo de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proporcionado ya incluye un margen relativo a la interferencia entre sistemas. El Adjunto 2 contiene la metodología de cálculo utilizada para derivar los márgenes adicionales antes mencionados.</w:t>
      </w:r>
    </w:p>
    <w:p w14:paraId="114D1BAA" w14:textId="77777777" w:rsidR="00361A40" w:rsidRPr="00B45729" w:rsidRDefault="00B45729" w:rsidP="00B45729">
      <w:pPr>
        <w:spacing w:before="120" w:after="40"/>
        <w:rPr>
          <w:rFonts w:asciiTheme="majorBidi" w:hAnsiTheme="majorBidi" w:cstheme="majorBidi"/>
          <w:color w:val="000000"/>
          <w:lang w:val="es-ES_tradnl"/>
        </w:rPr>
      </w:pPr>
      <w:r w:rsidRPr="00B45729">
        <w:rPr>
          <w:rFonts w:asciiTheme="majorBidi" w:hAnsiTheme="majorBidi" w:cstheme="majorBidi"/>
          <w:color w:val="000000"/>
          <w:szCs w:val="24"/>
          <w:lang w:val="es-ES"/>
        </w:rPr>
        <w:t xml:space="preserve">A los efectos de determinación del valor de la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necesario con respecto a las redes recibidas a partir del 1 de enero de 2005, siempre que el valor objetivo de la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presentado se utilice, no debería añadirse ningún margen al valor presentado/proporcionado, puesto que, a raíz de la revisión del Apéndice </w:t>
      </w:r>
      <w:r w:rsidRPr="00C45A55">
        <w:rPr>
          <w:rFonts w:asciiTheme="majorBidi" w:hAnsiTheme="majorBidi" w:cstheme="majorBidi"/>
          <w:b/>
          <w:bCs/>
          <w:color w:val="000000"/>
          <w:szCs w:val="24"/>
          <w:lang w:val="es-ES"/>
        </w:rPr>
        <w:t>4</w:t>
      </w:r>
      <w:r w:rsidRPr="00B45729">
        <w:rPr>
          <w:rFonts w:asciiTheme="majorBidi" w:hAnsiTheme="majorBidi" w:cstheme="majorBidi"/>
          <w:color w:val="000000"/>
          <w:szCs w:val="24"/>
          <w:lang w:val="es-ES"/>
        </w:rPr>
        <w:t xml:space="preserve"> en la CMR-03, el valor objetivo de la relación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proporcionado después de esa fecha ya debería incluir un margen relativo a la interferencia entre sistemas. Por otro lado, siempre que se utilice el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calculado para identificar el </w:t>
      </w:r>
      <w:r w:rsidRPr="00B45729">
        <w:rPr>
          <w:rFonts w:asciiTheme="majorBidi" w:hAnsiTheme="majorBidi" w:cstheme="majorBidi"/>
          <w:i/>
          <w:color w:val="000000"/>
          <w:szCs w:val="24"/>
          <w:lang w:val="es-ES"/>
        </w:rPr>
        <w:t>C</w:t>
      </w:r>
      <w:r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I</w:t>
      </w:r>
      <w:r w:rsidRPr="00B45729">
        <w:rPr>
          <w:rFonts w:asciiTheme="majorBidi" w:hAnsiTheme="majorBidi" w:cstheme="majorBidi"/>
          <w:color w:val="000000"/>
          <w:szCs w:val="24"/>
          <w:lang w:val="es-ES"/>
        </w:rPr>
        <w:t xml:space="preserve"> necesario, como puede ser el caso en el segundo análisis definido anteriormente, debería agregarse el margen adicional relevante al valor del </w:t>
      </w:r>
      <w:r w:rsidRPr="00B45729">
        <w:rPr>
          <w:rFonts w:asciiTheme="majorBidi" w:hAnsiTheme="majorBidi" w:cstheme="majorBidi"/>
          <w:i/>
          <w:color w:val="000000"/>
          <w:szCs w:val="24"/>
          <w:lang w:val="es-ES"/>
        </w:rPr>
        <w:t>C</w:t>
      </w:r>
      <w:r w:rsidR="000A25DF" w:rsidRPr="000A25DF">
        <w:rPr>
          <w:rFonts w:asciiTheme="majorBidi" w:hAnsiTheme="majorBidi" w:cstheme="majorBidi"/>
          <w:iCs/>
          <w:color w:val="000000"/>
          <w:szCs w:val="24"/>
          <w:lang w:val="es-ES"/>
        </w:rPr>
        <w:t>/</w:t>
      </w:r>
      <w:r w:rsidRPr="00B45729">
        <w:rPr>
          <w:rFonts w:asciiTheme="majorBidi" w:hAnsiTheme="majorBidi" w:cstheme="majorBidi"/>
          <w:i/>
          <w:color w:val="000000"/>
          <w:szCs w:val="24"/>
          <w:lang w:val="es-ES"/>
        </w:rPr>
        <w:t>N</w:t>
      </w:r>
      <w:r w:rsidRPr="00B45729">
        <w:rPr>
          <w:rFonts w:asciiTheme="majorBidi" w:hAnsiTheme="majorBidi" w:cstheme="majorBidi"/>
          <w:color w:val="000000"/>
          <w:szCs w:val="24"/>
          <w:lang w:val="es-ES"/>
        </w:rPr>
        <w:t xml:space="preserve"> calculado.</w:t>
      </w:r>
    </w:p>
    <w:p w14:paraId="562AF989" w14:textId="77777777" w:rsidR="00361A40" w:rsidRPr="00B45729" w:rsidRDefault="00361A40">
      <w:pPr>
        <w:pStyle w:val="Heading2"/>
        <w:rPr>
          <w:rFonts w:asciiTheme="majorBidi" w:hAnsiTheme="majorBidi" w:cstheme="majorBidi"/>
          <w:color w:val="000000"/>
          <w:lang w:val="es-ES_tradnl"/>
        </w:rPr>
      </w:pPr>
      <w:r w:rsidRPr="00B45729">
        <w:rPr>
          <w:rFonts w:asciiTheme="majorBidi" w:hAnsiTheme="majorBidi" w:cstheme="majorBidi"/>
          <w:color w:val="000000"/>
          <w:lang w:val="es-ES_tradnl"/>
        </w:rPr>
        <w:t>3.1</w:t>
      </w:r>
      <w:r w:rsidRPr="00B45729">
        <w:rPr>
          <w:rFonts w:asciiTheme="majorBidi" w:hAnsiTheme="majorBidi" w:cstheme="majorBidi"/>
          <w:color w:val="000000"/>
          <w:lang w:val="es-ES_tradnl"/>
        </w:rPr>
        <w:tab/>
        <w:t>Casos de interferencia</w:t>
      </w:r>
    </w:p>
    <w:p w14:paraId="49B3E020" w14:textId="0D40F7FD" w:rsidR="00361A40" w:rsidRDefault="00361A40">
      <w:pPr>
        <w:rPr>
          <w:color w:val="000000"/>
          <w:lang w:val="es-ES_tradnl"/>
        </w:rPr>
      </w:pPr>
      <w:r w:rsidRPr="005C7612">
        <w:rPr>
          <w:color w:val="000000"/>
          <w:lang w:val="es-ES_tradnl"/>
        </w:rPr>
        <w:t>El Cuadro</w:t>
      </w:r>
      <w:r w:rsidR="00973109">
        <w:rPr>
          <w:color w:val="000000"/>
          <w:lang w:val="es-ES_tradnl"/>
        </w:rPr>
        <w:t> </w:t>
      </w:r>
      <w:r w:rsidRPr="005C7612">
        <w:rPr>
          <w:color w:val="000000"/>
          <w:lang w:val="es-ES_tradnl"/>
        </w:rPr>
        <w:t>1 presenta un resumen de las distintas situaciones de interferencia que han de tenerse en cuenta al efectuar los cálculos de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w:t>
      </w:r>
    </w:p>
    <w:p w14:paraId="14A9FFEC" w14:textId="77777777" w:rsidR="00745F23" w:rsidRDefault="00745F23">
      <w:pPr>
        <w:rPr>
          <w:color w:val="000000"/>
          <w:lang w:val="es-ES_tradnl"/>
        </w:rPr>
      </w:pPr>
    </w:p>
    <w:p w14:paraId="58CBC179" w14:textId="77777777" w:rsidR="00E15CFF" w:rsidRDefault="00E15CFF">
      <w:pPr>
        <w:rPr>
          <w:color w:val="000000"/>
          <w:lang w:val="es-ES_tradnl"/>
        </w:rPr>
      </w:pPr>
    </w:p>
    <w:p w14:paraId="1BCA1667" w14:textId="77777777" w:rsidR="00E15CFF" w:rsidRDefault="00E15CFF">
      <w:pPr>
        <w:rPr>
          <w:color w:val="000000"/>
          <w:lang w:val="es-ES_tradnl"/>
        </w:rPr>
      </w:pPr>
    </w:p>
    <w:p w14:paraId="32CA1FEC" w14:textId="77777777" w:rsidR="00E15CFF" w:rsidRDefault="00E15CFF">
      <w:pPr>
        <w:rPr>
          <w:color w:val="000000"/>
          <w:lang w:val="es-ES_tradnl"/>
        </w:rPr>
      </w:pPr>
    </w:p>
    <w:p w14:paraId="0F37648C" w14:textId="77777777" w:rsidR="00745F23" w:rsidRDefault="00745F23">
      <w:pPr>
        <w:rPr>
          <w:color w:val="000000"/>
          <w:lang w:val="es-ES_tradnl"/>
        </w:rPr>
      </w:pPr>
    </w:p>
    <w:p w14:paraId="5B191118" w14:textId="77777777" w:rsidR="006B5564" w:rsidRDefault="006B5564">
      <w:pPr>
        <w:rPr>
          <w:color w:val="000000"/>
          <w:lang w:val="es-ES_tradnl"/>
        </w:rPr>
        <w:sectPr w:rsidR="006B5564">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BB1B56F" w14:textId="77777777" w:rsidR="00361A40" w:rsidRPr="005C7612" w:rsidRDefault="00361A40" w:rsidP="00DF0DD1">
      <w:pPr>
        <w:pStyle w:val="Table"/>
        <w:spacing w:before="0"/>
        <w:rPr>
          <w:color w:val="000000"/>
          <w:lang w:val="es-ES_tradnl"/>
        </w:rPr>
      </w:pPr>
      <w:r w:rsidRPr="005C7612">
        <w:rPr>
          <w:color w:val="000000"/>
          <w:lang w:val="es-ES_tradnl"/>
        </w:rPr>
        <w:lastRenderedPageBreak/>
        <w:t>CUADRO  1</w:t>
      </w:r>
    </w:p>
    <w:p w14:paraId="1B8A5CDC" w14:textId="77777777" w:rsidR="00361A40" w:rsidRPr="005C7612" w:rsidRDefault="00361A40">
      <w:pPr>
        <w:pStyle w:val="TableTitle"/>
        <w:rPr>
          <w:color w:val="000000"/>
          <w:lang w:val="es-ES_tradnl"/>
        </w:rPr>
      </w:pPr>
      <w:r w:rsidRPr="005C7612">
        <w:rPr>
          <w:color w:val="000000"/>
          <w:lang w:val="es-ES_tradnl"/>
        </w:rPr>
        <w:t>Casos de interferencia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531"/>
        <w:gridCol w:w="1985"/>
        <w:gridCol w:w="1814"/>
        <w:gridCol w:w="1985"/>
      </w:tblGrid>
      <w:tr w:rsidR="00361A40" w:rsidRPr="005C7612" w14:paraId="14CFBA2B" w14:textId="77777777" w:rsidTr="005F6698">
        <w:tc>
          <w:tcPr>
            <w:tcW w:w="1814" w:type="dxa"/>
            <w:tcBorders>
              <w:tl2br w:val="single" w:sz="4" w:space="0" w:color="auto"/>
            </w:tcBorders>
            <w:vAlign w:val="center"/>
          </w:tcPr>
          <w:p w14:paraId="26192F60" w14:textId="77777777" w:rsidR="00361A40" w:rsidRPr="005C7612" w:rsidRDefault="00361A40" w:rsidP="005C7612">
            <w:pPr>
              <w:pStyle w:val="TableHead"/>
              <w:framePr w:hSpace="181" w:wrap="around" w:vAnchor="text" w:hAnchor="margin" w:xAlign="center" w:y="1"/>
              <w:spacing w:after="0"/>
              <w:ind w:left="57" w:right="57"/>
              <w:jc w:val="right"/>
              <w:rPr>
                <w:color w:val="000000"/>
                <w:lang w:val="es-ES_tradnl"/>
              </w:rPr>
            </w:pPr>
            <w:r w:rsidRPr="005C7612">
              <w:rPr>
                <w:color w:val="000000"/>
                <w:lang w:val="es-ES_tradnl"/>
              </w:rPr>
              <w:t>Deseada</w:t>
            </w:r>
          </w:p>
          <w:p w14:paraId="2F3B4C58" w14:textId="77777777" w:rsidR="00361A40" w:rsidRPr="005C7612" w:rsidRDefault="00361A40" w:rsidP="005C7612">
            <w:pPr>
              <w:pStyle w:val="TableHead"/>
              <w:framePr w:hSpace="181" w:wrap="around" w:vAnchor="text" w:hAnchor="margin" w:xAlign="center" w:y="1"/>
              <w:spacing w:before="0"/>
              <w:ind w:left="57" w:right="57"/>
              <w:jc w:val="left"/>
              <w:rPr>
                <w:color w:val="000000"/>
                <w:lang w:val="es-ES_tradnl"/>
              </w:rPr>
            </w:pPr>
          </w:p>
          <w:p w14:paraId="10EC96FA" w14:textId="77777777" w:rsidR="00361A40" w:rsidRPr="005C7612" w:rsidRDefault="00361A40" w:rsidP="005C7612">
            <w:pPr>
              <w:pStyle w:val="TableHead"/>
              <w:framePr w:hSpace="181" w:wrap="around" w:vAnchor="text" w:hAnchor="margin" w:xAlign="center" w:y="1"/>
              <w:spacing w:before="0"/>
              <w:ind w:left="57" w:right="57"/>
              <w:jc w:val="left"/>
              <w:rPr>
                <w:color w:val="000000"/>
                <w:lang w:val="es-ES_tradnl"/>
              </w:rPr>
            </w:pPr>
            <w:r w:rsidRPr="005C7612">
              <w:rPr>
                <w:color w:val="000000"/>
                <w:lang w:val="es-ES_tradnl"/>
              </w:rPr>
              <w:t>Interferente</w:t>
            </w:r>
          </w:p>
        </w:tc>
        <w:tc>
          <w:tcPr>
            <w:tcW w:w="1531" w:type="dxa"/>
            <w:vAlign w:val="center"/>
          </w:tcPr>
          <w:p w14:paraId="5F68A17A" w14:textId="77777777"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Digital</w:t>
            </w:r>
          </w:p>
        </w:tc>
        <w:tc>
          <w:tcPr>
            <w:tcW w:w="1985" w:type="dxa"/>
            <w:vAlign w:val="center"/>
          </w:tcPr>
          <w:p w14:paraId="4C07A90D" w14:textId="77777777"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Analógica</w:t>
            </w:r>
            <w:r w:rsidRPr="005C7612">
              <w:rPr>
                <w:color w:val="000000"/>
                <w:lang w:val="es-ES_tradnl"/>
              </w:rPr>
              <w:br/>
              <w:t>(TV-MF)</w:t>
            </w:r>
          </w:p>
        </w:tc>
        <w:tc>
          <w:tcPr>
            <w:tcW w:w="1814" w:type="dxa"/>
            <w:vAlign w:val="center"/>
          </w:tcPr>
          <w:p w14:paraId="5CED287E" w14:textId="77777777"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Analógica</w:t>
            </w:r>
            <w:r w:rsidRPr="005C7612">
              <w:rPr>
                <w:color w:val="000000"/>
                <w:lang w:val="es-ES_tradnl"/>
              </w:rPr>
              <w:br/>
              <w:t>(distinta a TV-MF)</w:t>
            </w:r>
          </w:p>
        </w:tc>
        <w:tc>
          <w:tcPr>
            <w:tcW w:w="1985" w:type="dxa"/>
            <w:vAlign w:val="center"/>
          </w:tcPr>
          <w:p w14:paraId="113762A3" w14:textId="77777777" w:rsidR="00361A40" w:rsidRPr="005C7612" w:rsidRDefault="00361A40" w:rsidP="005C7612">
            <w:pPr>
              <w:pStyle w:val="TableHead"/>
              <w:framePr w:hSpace="181" w:wrap="around" w:vAnchor="text" w:hAnchor="margin" w:xAlign="center" w:y="1"/>
              <w:ind w:left="57" w:right="57"/>
              <w:rPr>
                <w:color w:val="000000"/>
                <w:lang w:val="es-ES_tradnl"/>
              </w:rPr>
            </w:pPr>
            <w:r w:rsidRPr="005C7612">
              <w:rPr>
                <w:color w:val="000000"/>
                <w:lang w:val="es-ES_tradnl"/>
              </w:rPr>
              <w:t>Otros</w:t>
            </w:r>
          </w:p>
        </w:tc>
      </w:tr>
      <w:tr w:rsidR="00361A40" w:rsidRPr="005C7612" w14:paraId="314D8F20" w14:textId="77777777" w:rsidTr="005C7612">
        <w:tc>
          <w:tcPr>
            <w:tcW w:w="1814" w:type="dxa"/>
          </w:tcPr>
          <w:p w14:paraId="0025CAE2"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Digital</w:t>
            </w:r>
          </w:p>
        </w:tc>
        <w:tc>
          <w:tcPr>
            <w:tcW w:w="1531" w:type="dxa"/>
          </w:tcPr>
          <w:p w14:paraId="44E4E99D"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1</w:t>
            </w:r>
          </w:p>
          <w:p w14:paraId="1CE2F7A4"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(I)</w:t>
            </w:r>
          </w:p>
        </w:tc>
        <w:tc>
          <w:tcPr>
            <w:tcW w:w="1985" w:type="dxa"/>
          </w:tcPr>
          <w:p w14:paraId="4A431B01"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1</w:t>
            </w:r>
            <w:r w:rsidRPr="005C7612">
              <w:rPr>
                <w:color w:val="000000"/>
                <w:lang w:val="es-ES_tradnl"/>
              </w:rPr>
              <w:br/>
            </w:r>
          </w:p>
          <w:p w14:paraId="0B6FD9B2"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(II)</w:t>
            </w:r>
          </w:p>
        </w:tc>
        <w:tc>
          <w:tcPr>
            <w:tcW w:w="1814" w:type="dxa"/>
          </w:tcPr>
          <w:p w14:paraId="5CFF3D75"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1</w:t>
            </w:r>
          </w:p>
          <w:p w14:paraId="46E58965"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br/>
              <w:t>(III)</w:t>
            </w:r>
          </w:p>
        </w:tc>
        <w:tc>
          <w:tcPr>
            <w:tcW w:w="1985" w:type="dxa"/>
          </w:tcPr>
          <w:p w14:paraId="6ED4C400"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1</w:t>
            </w:r>
          </w:p>
          <w:p w14:paraId="73702BCF" w14:textId="77777777" w:rsidR="00361A40" w:rsidRPr="005C7612" w:rsidRDefault="00361A40" w:rsidP="005C7612">
            <w:pPr>
              <w:pStyle w:val="TableText"/>
              <w:framePr w:hSpace="181" w:wrap="around" w:vAnchor="text" w:hAnchor="margin" w:xAlign="center" w:y="1"/>
              <w:jc w:val="center"/>
              <w:rPr>
                <w:iCs/>
                <w:color w:val="000000"/>
                <w:lang w:val="es-ES_tradnl"/>
              </w:rPr>
            </w:pPr>
            <w:r w:rsidRPr="005C7612">
              <w:rPr>
                <w:iCs/>
                <w:color w:val="000000"/>
                <w:lang w:val="es-ES_tradnl"/>
              </w:rPr>
              <w:br/>
              <w:t>(XI)</w:t>
            </w:r>
          </w:p>
        </w:tc>
      </w:tr>
      <w:tr w:rsidR="00361A40" w:rsidRPr="005C7612" w14:paraId="0BA8FD7E" w14:textId="77777777" w:rsidTr="005C7612">
        <w:tc>
          <w:tcPr>
            <w:tcW w:w="1814" w:type="dxa"/>
          </w:tcPr>
          <w:p w14:paraId="077879E6" w14:textId="77777777" w:rsidR="00361A40" w:rsidRPr="005C7612" w:rsidRDefault="00361A40" w:rsidP="005C7612">
            <w:pPr>
              <w:pStyle w:val="TableText"/>
              <w:framePr w:hSpace="181" w:wrap="around" w:vAnchor="text" w:hAnchor="margin" w:xAlign="center" w:y="1"/>
              <w:ind w:right="-85"/>
              <w:jc w:val="left"/>
              <w:rPr>
                <w:color w:val="000000"/>
                <w:lang w:val="es-ES_tradnl"/>
              </w:rPr>
            </w:pPr>
            <w:r w:rsidRPr="005C7612">
              <w:rPr>
                <w:color w:val="000000"/>
                <w:lang w:val="es-ES_tradnl"/>
              </w:rPr>
              <w:t>Analógica (TV-MF)</w:t>
            </w:r>
          </w:p>
        </w:tc>
        <w:tc>
          <w:tcPr>
            <w:tcW w:w="1531" w:type="dxa"/>
          </w:tcPr>
          <w:p w14:paraId="33E913AB"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0FA459EC" w14:textId="0BCE2E7F" w:rsidR="00361A40" w:rsidRPr="005C7612" w:rsidRDefault="00361A40" w:rsidP="005C7612">
            <w:pPr>
              <w:pStyle w:val="TableText"/>
              <w:framePr w:hSpace="181" w:wrap="around" w:vAnchor="text" w:hAnchor="margin" w:xAlign="center" w:y="1"/>
              <w:spacing w:before="120"/>
              <w:jc w:val="center"/>
              <w:rPr>
                <w:color w:val="000000"/>
                <w:lang w:val="es-ES_tradnl"/>
              </w:rPr>
            </w:pP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color w:val="000000"/>
                <w:lang w:val="es-ES_tradnl"/>
              </w:rPr>
              <w:t>(IV)</w:t>
            </w:r>
          </w:p>
        </w:tc>
        <w:tc>
          <w:tcPr>
            <w:tcW w:w="1985" w:type="dxa"/>
          </w:tcPr>
          <w:p w14:paraId="2F1A5B32"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i/>
                <w:color w:val="000000"/>
                <w:lang w:val="es-ES_tradnl"/>
              </w:rPr>
              <w:t>Cofrecuencia</w:t>
            </w:r>
            <w:r w:rsidRPr="005C7612">
              <w:rPr>
                <w:color w:val="000000"/>
                <w:lang w:val="es-ES_tradnl"/>
              </w:rPr>
              <w:t>:</w:t>
            </w:r>
          </w:p>
          <w:p w14:paraId="21296A4D" w14:textId="77777777" w:rsidR="00361A40" w:rsidRPr="005C7612" w:rsidRDefault="00361A40" w:rsidP="005C7612">
            <w:pPr>
              <w:pStyle w:val="TableText"/>
              <w:framePr w:hSpace="181" w:wrap="around" w:vAnchor="text" w:hAnchor="margin" w:xAlign="center" w:y="1"/>
              <w:ind w:left="170"/>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w:t>
            </w:r>
            <w:r w:rsidRPr="005C7612">
              <w:rPr>
                <w:color w:val="000000"/>
                <w:lang w:val="es-ES_tradnl"/>
              </w:rPr>
              <w:br/>
              <w:t>la interferencia</w:t>
            </w:r>
            <w:r w:rsidRPr="005C7612">
              <w:rPr>
                <w:color w:val="000000"/>
                <w:vertAlign w:val="superscript"/>
                <w:lang w:val="es-ES_tradnl"/>
              </w:rPr>
              <w:t>1</w:t>
            </w:r>
          </w:p>
          <w:p w14:paraId="4CDFDD58"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(X)</w:t>
            </w:r>
          </w:p>
          <w:p w14:paraId="433B5CD9"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i/>
                <w:color w:val="000000"/>
                <w:lang w:val="es-ES_tradnl"/>
              </w:rPr>
              <w:t>No cofrecuencia</w:t>
            </w:r>
            <w:r w:rsidRPr="005C7612">
              <w:rPr>
                <w:color w:val="000000"/>
                <w:lang w:val="es-ES_tradnl"/>
              </w:rPr>
              <w:t>:</w:t>
            </w:r>
          </w:p>
          <w:p w14:paraId="5765CF8A" w14:textId="77777777" w:rsidR="00361A40" w:rsidRPr="005C7612" w:rsidRDefault="00361A40" w:rsidP="00DF0DD1">
            <w:pPr>
              <w:pStyle w:val="TableText"/>
              <w:framePr w:hSpace="181" w:wrap="around" w:vAnchor="text" w:hAnchor="margin" w:xAlign="center" w:y="1"/>
              <w:ind w:left="170" w:right="-57"/>
              <w:jc w:val="left"/>
              <w:rPr>
                <w:color w:val="000000"/>
                <w:lang w:val="es-ES_tradnl"/>
              </w:rPr>
            </w:pPr>
            <w:r w:rsidRPr="005C7612">
              <w:rPr>
                <w:color w:val="000000"/>
                <w:lang w:val="es-ES_tradnl"/>
              </w:rPr>
              <w:t>Utilícese la plantilla de relación de protección relativa</w:t>
            </w:r>
            <w:r w:rsidRPr="005C7612">
              <w:rPr>
                <w:color w:val="000000"/>
                <w:vertAlign w:val="superscript"/>
                <w:lang w:val="es-ES_tradnl"/>
              </w:rPr>
              <w:t>3</w:t>
            </w:r>
          </w:p>
          <w:p w14:paraId="77D7D1BF" w14:textId="77777777" w:rsidR="00361A40" w:rsidRPr="005C7612" w:rsidRDefault="00361A40" w:rsidP="0016675C">
            <w:pPr>
              <w:pStyle w:val="TableText"/>
              <w:framePr w:hSpace="181" w:wrap="around" w:vAnchor="text" w:hAnchor="margin" w:xAlign="center" w:y="1"/>
              <w:spacing w:before="160"/>
              <w:jc w:val="center"/>
              <w:rPr>
                <w:color w:val="000000"/>
                <w:lang w:val="es-ES_tradnl"/>
              </w:rPr>
            </w:pPr>
            <w:r w:rsidRPr="005C7612">
              <w:rPr>
                <w:color w:val="000000"/>
                <w:lang w:val="es-ES_tradnl"/>
              </w:rPr>
              <w:t>(V)</w:t>
            </w:r>
          </w:p>
        </w:tc>
        <w:tc>
          <w:tcPr>
            <w:tcW w:w="1814" w:type="dxa"/>
          </w:tcPr>
          <w:p w14:paraId="2D968CD1"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03A4EE4B" w14:textId="62CEB54E" w:rsidR="00361A40" w:rsidRPr="005C7612" w:rsidRDefault="00361A40" w:rsidP="005C7612">
            <w:pPr>
              <w:pStyle w:val="TableText"/>
              <w:framePr w:hSpace="181" w:wrap="around" w:vAnchor="text" w:hAnchor="margin" w:xAlign="center" w:y="1"/>
              <w:spacing w:before="120"/>
              <w:jc w:val="center"/>
              <w:rPr>
                <w:color w:val="000000"/>
                <w:lang w:val="es-ES_tradnl"/>
              </w:rPr>
            </w:pP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color w:val="000000"/>
                <w:lang w:val="es-ES_tradnl"/>
              </w:rPr>
              <w:t>(VI)</w:t>
            </w:r>
          </w:p>
        </w:tc>
        <w:tc>
          <w:tcPr>
            <w:tcW w:w="1985" w:type="dxa"/>
          </w:tcPr>
          <w:p w14:paraId="695667D8"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2</w:t>
            </w:r>
          </w:p>
          <w:p w14:paraId="32DAB6F1" w14:textId="25EC093E" w:rsidR="00361A40" w:rsidRPr="005C7612" w:rsidRDefault="00361A40" w:rsidP="005C7612">
            <w:pPr>
              <w:pStyle w:val="TableText"/>
              <w:framePr w:hSpace="181" w:wrap="around" w:vAnchor="text" w:hAnchor="margin" w:xAlign="center" w:y="1"/>
              <w:spacing w:before="120"/>
              <w:jc w:val="center"/>
              <w:rPr>
                <w:color w:val="000000"/>
                <w:lang w:val="es-ES_tradnl"/>
              </w:rPr>
            </w:pP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r>
            <w:r w:rsidRPr="005C7612">
              <w:rPr>
                <w:iCs/>
                <w:color w:val="000000"/>
                <w:lang w:val="es-ES_tradnl"/>
              </w:rPr>
              <w:br/>
              <w:t>(XII)</w:t>
            </w:r>
          </w:p>
        </w:tc>
      </w:tr>
      <w:tr w:rsidR="00361A40" w:rsidRPr="005C7612" w14:paraId="10CE6DBE" w14:textId="77777777" w:rsidTr="005C7612">
        <w:tc>
          <w:tcPr>
            <w:tcW w:w="1814" w:type="dxa"/>
          </w:tcPr>
          <w:p w14:paraId="6D117841" w14:textId="77777777" w:rsidR="00361A40" w:rsidRPr="005C7612" w:rsidRDefault="00361A40" w:rsidP="005C7612">
            <w:pPr>
              <w:pStyle w:val="TableText"/>
              <w:framePr w:hSpace="181" w:wrap="around" w:vAnchor="text" w:hAnchor="margin" w:xAlign="center" w:y="1"/>
              <w:ind w:right="-85"/>
              <w:jc w:val="left"/>
              <w:rPr>
                <w:color w:val="000000"/>
                <w:lang w:val="es-ES_tradnl"/>
              </w:rPr>
            </w:pPr>
            <w:r w:rsidRPr="005C7612">
              <w:rPr>
                <w:color w:val="000000"/>
                <w:lang w:val="es-ES_tradnl"/>
              </w:rPr>
              <w:t>Analógica</w:t>
            </w:r>
            <w:r w:rsidRPr="005C7612">
              <w:rPr>
                <w:color w:val="000000"/>
                <w:lang w:val="es-ES_tradnl"/>
              </w:rPr>
              <w:br/>
              <w:t>(distinta de TV-MF)</w:t>
            </w:r>
          </w:p>
        </w:tc>
        <w:tc>
          <w:tcPr>
            <w:tcW w:w="1531" w:type="dxa"/>
          </w:tcPr>
          <w:p w14:paraId="523F3944"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5E84D605"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(VII)</w:t>
            </w:r>
          </w:p>
        </w:tc>
        <w:tc>
          <w:tcPr>
            <w:tcW w:w="1985" w:type="dxa"/>
          </w:tcPr>
          <w:p w14:paraId="2913625F"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r w:rsidRPr="005C7612">
              <w:rPr>
                <w:color w:val="000000"/>
                <w:lang w:val="es-ES_tradnl"/>
              </w:rPr>
              <w:br/>
            </w:r>
          </w:p>
          <w:p w14:paraId="67B1A735"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(VIII)</w:t>
            </w:r>
          </w:p>
        </w:tc>
        <w:tc>
          <w:tcPr>
            <w:tcW w:w="1814" w:type="dxa"/>
          </w:tcPr>
          <w:p w14:paraId="25688E26"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r w:rsidRPr="005C7612">
              <w:rPr>
                <w:color w:val="000000"/>
                <w:lang w:val="es-ES_tradnl"/>
              </w:rPr>
              <w:br/>
            </w:r>
          </w:p>
          <w:p w14:paraId="3721FEE1"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(IX)</w:t>
            </w:r>
          </w:p>
        </w:tc>
        <w:tc>
          <w:tcPr>
            <w:tcW w:w="1985" w:type="dxa"/>
          </w:tcPr>
          <w:p w14:paraId="2E3BC49F"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2</w:t>
            </w:r>
            <w:r w:rsidRPr="005C7612">
              <w:rPr>
                <w:iCs/>
                <w:color w:val="000000"/>
                <w:lang w:val="es-ES_tradnl"/>
              </w:rPr>
              <w:br/>
            </w:r>
          </w:p>
          <w:p w14:paraId="45F2DB28"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iCs/>
                <w:color w:val="000000"/>
                <w:lang w:val="es-ES_tradnl"/>
              </w:rPr>
              <w:t>(XIII)</w:t>
            </w:r>
          </w:p>
        </w:tc>
      </w:tr>
      <w:tr w:rsidR="00361A40" w:rsidRPr="005C7612" w14:paraId="50CDF7CE" w14:textId="77777777" w:rsidTr="005C7612">
        <w:tc>
          <w:tcPr>
            <w:tcW w:w="1814" w:type="dxa"/>
          </w:tcPr>
          <w:p w14:paraId="5A54CE31"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Otros</w:t>
            </w:r>
          </w:p>
        </w:tc>
        <w:tc>
          <w:tcPr>
            <w:tcW w:w="1531" w:type="dxa"/>
          </w:tcPr>
          <w:p w14:paraId="0277022D"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2A9B19B1"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t>(XIV)</w:t>
            </w:r>
          </w:p>
        </w:tc>
        <w:tc>
          <w:tcPr>
            <w:tcW w:w="1985" w:type="dxa"/>
          </w:tcPr>
          <w:p w14:paraId="1B356EA0"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6BE1BA00"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br/>
              <w:t>(XV)</w:t>
            </w:r>
          </w:p>
        </w:tc>
        <w:tc>
          <w:tcPr>
            <w:tcW w:w="1814" w:type="dxa"/>
          </w:tcPr>
          <w:p w14:paraId="4DA995F3" w14:textId="77777777" w:rsidR="00361A40" w:rsidRPr="005C7612" w:rsidRDefault="00361A40" w:rsidP="005C7612">
            <w:pPr>
              <w:pStyle w:val="TableText"/>
              <w:framePr w:hSpace="181" w:wrap="around" w:vAnchor="text" w:hAnchor="margin" w:xAlign="center" w:y="1"/>
              <w:jc w:val="left"/>
              <w:rPr>
                <w:color w:val="000000"/>
                <w:lang w:val="es-ES_tradnl"/>
              </w:rPr>
            </w:pPr>
            <w:r w:rsidRPr="005C7612">
              <w:rPr>
                <w:color w:val="000000"/>
                <w:lang w:val="es-ES_tradnl"/>
              </w:rPr>
              <w:t xml:space="preserve">Utilícese </w:t>
            </w:r>
            <w:r w:rsidRPr="005C7612">
              <w:rPr>
                <w:i/>
                <w:iCs/>
                <w:color w:val="000000"/>
                <w:lang w:val="es-ES_tradnl"/>
              </w:rPr>
              <w:t>C</w:t>
            </w:r>
            <w:r w:rsidRPr="005C7612">
              <w:rPr>
                <w:color w:val="000000"/>
                <w:lang w:val="es-ES_tradnl"/>
              </w:rPr>
              <w:t>/</w:t>
            </w:r>
            <w:r w:rsidRPr="005C7612">
              <w:rPr>
                <w:i/>
                <w:iCs/>
                <w:color w:val="000000"/>
                <w:lang w:val="es-ES_tradnl"/>
              </w:rPr>
              <w:t>I</w:t>
            </w:r>
            <w:r w:rsidRPr="005C7612">
              <w:rPr>
                <w:color w:val="000000"/>
                <w:lang w:val="es-ES_tradnl"/>
              </w:rPr>
              <w:t xml:space="preserve"> más el factor de ajuste de la interferencia</w:t>
            </w:r>
            <w:r w:rsidRPr="005C7612">
              <w:rPr>
                <w:color w:val="000000"/>
                <w:vertAlign w:val="superscript"/>
                <w:lang w:val="es-ES_tradnl"/>
              </w:rPr>
              <w:t>2</w:t>
            </w:r>
          </w:p>
          <w:p w14:paraId="7DEA602B"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color w:val="000000"/>
                <w:lang w:val="es-ES_tradnl"/>
              </w:rPr>
              <w:br/>
              <w:t>(XVI)</w:t>
            </w:r>
          </w:p>
        </w:tc>
        <w:tc>
          <w:tcPr>
            <w:tcW w:w="1985" w:type="dxa"/>
          </w:tcPr>
          <w:p w14:paraId="23784A1C" w14:textId="77777777" w:rsidR="00361A40" w:rsidRPr="005C7612" w:rsidRDefault="00361A40" w:rsidP="005C7612">
            <w:pPr>
              <w:pStyle w:val="TableText"/>
              <w:framePr w:hSpace="181" w:wrap="around" w:vAnchor="text" w:hAnchor="margin" w:xAlign="center" w:y="1"/>
              <w:jc w:val="left"/>
              <w:rPr>
                <w:iCs/>
                <w:color w:val="000000"/>
                <w:lang w:val="es-ES_tradnl"/>
              </w:rPr>
            </w:pPr>
            <w:r w:rsidRPr="005C7612">
              <w:rPr>
                <w:color w:val="000000"/>
                <w:lang w:val="es-ES_tradnl"/>
              </w:rPr>
              <w:t xml:space="preserve">Utilícese </w:t>
            </w:r>
            <w:r w:rsidRPr="005C7612">
              <w:rPr>
                <w:i/>
                <w:color w:val="000000"/>
                <w:lang w:val="es-ES_tradnl"/>
              </w:rPr>
              <w:t>C</w:t>
            </w:r>
            <w:r w:rsidRPr="005C7612">
              <w:rPr>
                <w:color w:val="000000"/>
                <w:lang w:val="es-ES_tradnl"/>
              </w:rPr>
              <w:t>/</w:t>
            </w:r>
            <w:r w:rsidRPr="005C7612">
              <w:rPr>
                <w:i/>
                <w:color w:val="000000"/>
                <w:lang w:val="es-ES_tradnl"/>
              </w:rPr>
              <w:t>I</w:t>
            </w:r>
            <w:r w:rsidRPr="005C7612">
              <w:rPr>
                <w:iCs/>
                <w:color w:val="000000"/>
                <w:lang w:val="es-ES_tradnl"/>
              </w:rPr>
              <w:t xml:space="preserve"> más el factor de ajuste de la interferencia</w:t>
            </w:r>
            <w:r w:rsidRPr="005C7612">
              <w:rPr>
                <w:color w:val="000000"/>
                <w:vertAlign w:val="superscript"/>
                <w:lang w:val="es-ES_tradnl"/>
              </w:rPr>
              <w:t>2</w:t>
            </w:r>
          </w:p>
          <w:p w14:paraId="58BFCAA5" w14:textId="77777777" w:rsidR="00361A40" w:rsidRPr="005C7612" w:rsidRDefault="00361A40" w:rsidP="005C7612">
            <w:pPr>
              <w:pStyle w:val="TableText"/>
              <w:framePr w:hSpace="181" w:wrap="around" w:vAnchor="text" w:hAnchor="margin" w:xAlign="center" w:y="1"/>
              <w:jc w:val="center"/>
              <w:rPr>
                <w:color w:val="000000"/>
                <w:lang w:val="es-ES_tradnl"/>
              </w:rPr>
            </w:pPr>
            <w:r w:rsidRPr="005C7612">
              <w:rPr>
                <w:iCs/>
                <w:color w:val="000000"/>
                <w:lang w:val="es-ES_tradnl"/>
              </w:rPr>
              <w:br/>
              <w:t>(XVII)</w:t>
            </w:r>
          </w:p>
        </w:tc>
      </w:tr>
      <w:tr w:rsidR="005C7612" w:rsidRPr="005C7612" w14:paraId="065425F2" w14:textId="77777777" w:rsidTr="005C76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9" w:type="dxa"/>
            <w:gridSpan w:val="5"/>
          </w:tcPr>
          <w:p w14:paraId="08A867D7" w14:textId="77777777" w:rsidR="005C7612" w:rsidRPr="005C7612" w:rsidRDefault="005C7612" w:rsidP="005C7612">
            <w:pPr>
              <w:pStyle w:val="TableLegend"/>
              <w:framePr w:hSpace="181" w:wrap="around" w:vAnchor="text" w:hAnchor="margin" w:xAlign="center" w:y="1"/>
              <w:tabs>
                <w:tab w:val="clear" w:pos="284"/>
                <w:tab w:val="clear" w:pos="567"/>
                <w:tab w:val="clear" w:pos="851"/>
                <w:tab w:val="clear" w:pos="1134"/>
                <w:tab w:val="left" w:pos="227"/>
              </w:tabs>
              <w:ind w:left="227" w:hanging="227"/>
              <w:rPr>
                <w:color w:val="000000"/>
                <w:lang w:val="es-ES_tradnl"/>
              </w:rPr>
            </w:pPr>
            <w:r w:rsidRPr="005C7612">
              <w:rPr>
                <w:color w:val="000000"/>
                <w:vertAlign w:val="superscript"/>
                <w:lang w:val="es-ES_tradnl"/>
              </w:rPr>
              <w:t>1</w:t>
            </w:r>
            <w:r w:rsidRPr="005C7612">
              <w:rPr>
                <w:color w:val="000000"/>
                <w:lang w:val="es-ES_tradnl"/>
              </w:rPr>
              <w:tab/>
              <w:t>El factor de ajuste de la interferencia para los Casos I, II, III, X y XI es el mismo (véase el § 2.1.1 del Adjunto 1).</w:t>
            </w:r>
          </w:p>
          <w:p w14:paraId="3FA459F4" w14:textId="77777777" w:rsidR="005C7612" w:rsidRPr="005C7612" w:rsidRDefault="005C7612" w:rsidP="005C7612">
            <w:pPr>
              <w:pStyle w:val="TableLegend"/>
              <w:framePr w:hSpace="181" w:wrap="around" w:vAnchor="text" w:hAnchor="margin" w:xAlign="center" w:y="1"/>
              <w:tabs>
                <w:tab w:val="clear" w:pos="284"/>
                <w:tab w:val="clear" w:pos="567"/>
                <w:tab w:val="clear" w:pos="851"/>
                <w:tab w:val="clear" w:pos="1134"/>
                <w:tab w:val="left" w:pos="227"/>
              </w:tabs>
              <w:ind w:left="227" w:hanging="227"/>
              <w:rPr>
                <w:color w:val="000000"/>
                <w:lang w:val="es-ES_tradnl"/>
              </w:rPr>
            </w:pPr>
            <w:r w:rsidRPr="005C7612">
              <w:rPr>
                <w:color w:val="000000"/>
                <w:vertAlign w:val="superscript"/>
                <w:lang w:val="es-ES_tradnl"/>
              </w:rPr>
              <w:t>2</w:t>
            </w:r>
            <w:r w:rsidRPr="005C7612">
              <w:rPr>
                <w:color w:val="000000"/>
                <w:lang w:val="es-ES_tradnl"/>
              </w:rPr>
              <w:tab/>
              <w:t>El factor de ajuste de la interferencia para los Casos IV, VI a IX y XII a XVII es el mismo (véase el § 3.5 siguiente).</w:t>
            </w:r>
          </w:p>
          <w:p w14:paraId="1F1BBDFC" w14:textId="77777777" w:rsidR="005C7612" w:rsidRPr="005C7612" w:rsidRDefault="005C7612" w:rsidP="005C7612">
            <w:pPr>
              <w:pStyle w:val="TableText"/>
              <w:framePr w:hSpace="181" w:wrap="around" w:vAnchor="text" w:hAnchor="margin" w:xAlign="center" w:y="1"/>
              <w:tabs>
                <w:tab w:val="left" w:pos="227"/>
              </w:tabs>
              <w:spacing w:before="120"/>
              <w:jc w:val="left"/>
              <w:rPr>
                <w:color w:val="000000"/>
                <w:lang w:val="es-ES_tradnl"/>
              </w:rPr>
            </w:pPr>
            <w:r w:rsidRPr="005C7612">
              <w:rPr>
                <w:color w:val="000000"/>
                <w:vertAlign w:val="superscript"/>
                <w:lang w:val="es-ES_tradnl"/>
              </w:rPr>
              <w:t>3</w:t>
            </w:r>
            <w:r w:rsidRPr="005C7612">
              <w:rPr>
                <w:color w:val="000000"/>
                <w:vertAlign w:val="superscript"/>
                <w:lang w:val="es-ES_tradnl"/>
              </w:rPr>
              <w:tab/>
            </w:r>
            <w:r w:rsidRPr="005C7612">
              <w:rPr>
                <w:color w:val="000000"/>
                <w:lang w:val="es-ES_tradnl"/>
              </w:rPr>
              <w:t>Véase el § 3.1 del Adjunto 1.</w:t>
            </w:r>
          </w:p>
        </w:tc>
      </w:tr>
    </w:tbl>
    <w:p w14:paraId="73BACCF2" w14:textId="77777777" w:rsidR="00361A40" w:rsidRPr="005C7612" w:rsidRDefault="00361A40">
      <w:pPr>
        <w:rPr>
          <w:color w:val="000000"/>
          <w:lang w:val="es-ES_tradnl"/>
        </w:rPr>
      </w:pPr>
      <w:r w:rsidRPr="005C7612">
        <w:rPr>
          <w:color w:val="000000"/>
          <w:lang w:val="es-ES_tradnl"/>
        </w:rPr>
        <w:t>La selección de un caso de interferencia definido en el Cuadro 1 anterior exige la identifi</w:t>
      </w:r>
      <w:r w:rsidR="005C7612" w:rsidRPr="005C7612">
        <w:rPr>
          <w:color w:val="000000"/>
          <w:lang w:val="es-ES_tradnl"/>
        </w:rPr>
        <w:softHyphen/>
      </w:r>
      <w:r w:rsidRPr="005C7612">
        <w:rPr>
          <w:color w:val="000000"/>
          <w:lang w:val="es-ES_tradnl"/>
        </w:rPr>
        <w:t xml:space="preserve">cación del tipo de cada portadora. Teniendo en cuenta la información presentada a la Oficina por las administraciones conforme al Apéndice </w:t>
      </w:r>
      <w:r w:rsidRPr="005C7612">
        <w:rPr>
          <w:rStyle w:val="Appref"/>
          <w:b/>
          <w:bCs/>
          <w:color w:val="000000"/>
          <w:lang w:val="es-ES_tradnl"/>
        </w:rPr>
        <w:t>4</w:t>
      </w:r>
      <w:r w:rsidRPr="005C7612">
        <w:rPr>
          <w:color w:val="000000"/>
          <w:lang w:val="es-ES_tradnl"/>
        </w:rPr>
        <w:t xml:space="preserve"> (es decir, la clase de emisión definida en el Anexo 2, punto C.7.a), la Oficina utilizará la definición siguiente de tipo de portadora:</w:t>
      </w:r>
    </w:p>
    <w:p w14:paraId="60554BBC" w14:textId="77777777" w:rsidR="00361A40" w:rsidRPr="005C7612" w:rsidRDefault="00361A40" w:rsidP="00DF0DD1">
      <w:pPr>
        <w:pStyle w:val="enumlev1"/>
        <w:spacing w:before="100"/>
        <w:rPr>
          <w:color w:val="000000"/>
          <w:lang w:val="es-ES_tradnl"/>
        </w:rPr>
      </w:pPr>
      <w:r w:rsidRPr="005C7612">
        <w:rPr>
          <w:color w:val="000000"/>
          <w:lang w:val="es-ES_tradnl"/>
        </w:rPr>
        <w:t>–</w:t>
      </w:r>
      <w:r w:rsidRPr="005C7612">
        <w:rPr>
          <w:color w:val="000000"/>
          <w:lang w:val="es-ES_tradnl"/>
        </w:rPr>
        <w:tab/>
        <w:t>Analógica (TV-MF):</w:t>
      </w:r>
    </w:p>
    <w:p w14:paraId="434753D2" w14:textId="157FDE4C" w:rsidR="00361A40" w:rsidRPr="005C7612" w:rsidRDefault="00361A40" w:rsidP="00DF0DD1">
      <w:pPr>
        <w:pStyle w:val="enumlev1"/>
        <w:spacing w:before="100"/>
        <w:rPr>
          <w:color w:val="000000"/>
          <w:lang w:val="es-ES_tradnl"/>
        </w:rPr>
      </w:pPr>
      <w:r w:rsidRPr="005C7612">
        <w:rPr>
          <w:color w:val="000000"/>
          <w:lang w:val="es-ES_tradnl"/>
        </w:rPr>
        <w:tab/>
        <w:t>Cuando la clase de emisión (punto</w:t>
      </w:r>
      <w:r w:rsidR="00DF0DD1">
        <w:rPr>
          <w:color w:val="000000"/>
          <w:lang w:val="es-ES_tradnl"/>
        </w:rPr>
        <w:t> </w:t>
      </w:r>
      <w:r w:rsidRPr="005C7612">
        <w:rPr>
          <w:color w:val="000000"/>
          <w:lang w:val="es-ES_tradnl"/>
        </w:rPr>
        <w:t>C.7.a del Anexo</w:t>
      </w:r>
      <w:r w:rsidR="00DF0DD1">
        <w:rPr>
          <w:color w:val="000000"/>
          <w:lang w:val="es-ES_tradnl"/>
        </w:rPr>
        <w:t> </w:t>
      </w:r>
      <w:r w:rsidRPr="005C7612">
        <w:rPr>
          <w:color w:val="000000"/>
          <w:lang w:val="es-ES_tradnl"/>
        </w:rPr>
        <w:t>2 al Apéndice</w:t>
      </w:r>
      <w:r w:rsidR="00DF0DD1">
        <w:rPr>
          <w:color w:val="000000"/>
          <w:lang w:val="es-ES_tradnl"/>
        </w:rPr>
        <w:t> </w:t>
      </w:r>
      <w:r w:rsidRPr="005C7612">
        <w:rPr>
          <w:rStyle w:val="Appref"/>
          <w:b/>
          <w:bCs/>
          <w:color w:val="000000"/>
          <w:lang w:val="es-ES_tradnl"/>
        </w:rPr>
        <w:t>4</w:t>
      </w:r>
      <w:r w:rsidRPr="005C7612">
        <w:rPr>
          <w:color w:val="000000"/>
          <w:lang w:val="es-ES_tradnl"/>
        </w:rPr>
        <w:t>) se define con una «F» en el primer carácter y con «F» o una «W» en el tercer carácter.</w:t>
      </w:r>
    </w:p>
    <w:p w14:paraId="2267880A" w14:textId="77777777" w:rsidR="00361A40" w:rsidRPr="005C7612" w:rsidRDefault="00361A40" w:rsidP="00DF0DD1">
      <w:pPr>
        <w:pStyle w:val="enumlev1"/>
        <w:spacing w:before="100"/>
        <w:rPr>
          <w:color w:val="000000"/>
          <w:lang w:val="es-ES_tradnl"/>
        </w:rPr>
      </w:pPr>
      <w:r w:rsidRPr="005C7612">
        <w:rPr>
          <w:color w:val="000000"/>
          <w:lang w:val="es-ES_tradnl"/>
        </w:rPr>
        <w:t>–</w:t>
      </w:r>
      <w:r w:rsidRPr="005C7612">
        <w:rPr>
          <w:color w:val="000000"/>
          <w:lang w:val="es-ES_tradnl"/>
        </w:rPr>
        <w:tab/>
        <w:t>Analógica (distinta de la TV-MF):</w:t>
      </w:r>
    </w:p>
    <w:p w14:paraId="78DABEEC" w14:textId="725F3729" w:rsidR="0016675C" w:rsidRDefault="00361A40" w:rsidP="00DF0DD1">
      <w:pPr>
        <w:pStyle w:val="enumlev1"/>
        <w:spacing w:before="100"/>
        <w:rPr>
          <w:color w:val="000000"/>
          <w:lang w:val="es-ES_tradnl"/>
        </w:rPr>
      </w:pPr>
      <w:r w:rsidRPr="005C7612">
        <w:rPr>
          <w:color w:val="000000"/>
          <w:lang w:val="es-ES_tradnl"/>
        </w:rPr>
        <w:tab/>
        <w:t>Cuando el primer carácter de la clase de emisión es «F» y el tercer carácter es cualquier otro distinto de «F» o «W».</w:t>
      </w:r>
    </w:p>
    <w:p w14:paraId="7ADB5506" w14:textId="77777777" w:rsidR="00361A40" w:rsidRPr="005C7612" w:rsidRDefault="00361A40" w:rsidP="00DF0DD1">
      <w:pPr>
        <w:pStyle w:val="enumlev1"/>
        <w:spacing w:before="100"/>
        <w:rPr>
          <w:color w:val="000000"/>
          <w:lang w:val="es-ES_tradnl"/>
        </w:rPr>
      </w:pPr>
      <w:r w:rsidRPr="005C7612">
        <w:rPr>
          <w:color w:val="000000"/>
          <w:lang w:val="es-ES_tradnl"/>
        </w:rPr>
        <w:t>–</w:t>
      </w:r>
      <w:r w:rsidRPr="005C7612">
        <w:rPr>
          <w:color w:val="000000"/>
          <w:lang w:val="es-ES_tradnl"/>
        </w:rPr>
        <w:tab/>
        <w:t>Digital:</w:t>
      </w:r>
    </w:p>
    <w:p w14:paraId="4B59B998" w14:textId="77777777" w:rsidR="00361A40" w:rsidRPr="005C7612" w:rsidRDefault="00361A40" w:rsidP="00DF0DD1">
      <w:pPr>
        <w:pStyle w:val="enumlev1"/>
        <w:spacing w:before="100"/>
        <w:rPr>
          <w:color w:val="000000"/>
          <w:lang w:val="es-ES_tradnl"/>
        </w:rPr>
      </w:pPr>
      <w:r w:rsidRPr="005C7612">
        <w:rPr>
          <w:color w:val="000000"/>
          <w:lang w:val="es-ES_tradnl"/>
        </w:rPr>
        <w:tab/>
        <w:t>Cuando el primer carácter de la Clase de Emisión es «G».</w:t>
      </w:r>
    </w:p>
    <w:p w14:paraId="4C31E425" w14:textId="77777777" w:rsidR="00361A40" w:rsidRPr="005C7612" w:rsidRDefault="00361A40">
      <w:pPr>
        <w:pStyle w:val="enumlev1"/>
        <w:rPr>
          <w:color w:val="000000"/>
          <w:lang w:val="es-ES_tradnl"/>
        </w:rPr>
      </w:pPr>
      <w:r w:rsidRPr="005C7612">
        <w:rPr>
          <w:color w:val="000000"/>
          <w:lang w:val="es-ES_tradnl"/>
        </w:rPr>
        <w:lastRenderedPageBreak/>
        <w:t>–</w:t>
      </w:r>
      <w:r w:rsidRPr="005C7612">
        <w:rPr>
          <w:color w:val="000000"/>
          <w:lang w:val="es-ES_tradnl"/>
        </w:rPr>
        <w:tab/>
        <w:t>Otras:</w:t>
      </w:r>
    </w:p>
    <w:p w14:paraId="310A36CF" w14:textId="77777777" w:rsidR="00361A40" w:rsidRPr="005C7612" w:rsidRDefault="00361A40" w:rsidP="005C7612">
      <w:pPr>
        <w:pStyle w:val="enumlev1"/>
        <w:rPr>
          <w:color w:val="000000"/>
          <w:lang w:val="es-ES_tradnl"/>
        </w:rPr>
      </w:pPr>
      <w:r w:rsidRPr="005C7612">
        <w:rPr>
          <w:color w:val="000000"/>
          <w:lang w:val="es-ES_tradnl"/>
        </w:rPr>
        <w:tab/>
        <w:t>Cuando el primer carácter de la Clase de Emisión es cualquiera distinto de «F» o</w:t>
      </w:r>
      <w:r w:rsidR="005C7612" w:rsidRPr="005C7612">
        <w:rPr>
          <w:color w:val="000000"/>
          <w:lang w:val="es-ES_tradnl"/>
        </w:rPr>
        <w:t xml:space="preserve"> </w:t>
      </w:r>
      <w:r w:rsidRPr="005C7612">
        <w:rPr>
          <w:color w:val="000000"/>
          <w:lang w:val="es-ES_tradnl"/>
        </w:rPr>
        <w:t>«G».</w:t>
      </w:r>
    </w:p>
    <w:p w14:paraId="6FE57518" w14:textId="77777777" w:rsidR="004301E5" w:rsidRPr="00ED45F5" w:rsidRDefault="004301E5" w:rsidP="004301E5">
      <w:pPr>
        <w:pStyle w:val="Heading2"/>
        <w:rPr>
          <w:rFonts w:asciiTheme="majorBidi" w:hAnsiTheme="majorBidi" w:cstheme="majorBidi"/>
          <w:color w:val="000000"/>
          <w:szCs w:val="24"/>
          <w:lang w:val="es-ES"/>
        </w:rPr>
      </w:pPr>
      <w:r w:rsidRPr="00ED45F5">
        <w:rPr>
          <w:rFonts w:asciiTheme="majorBidi" w:hAnsiTheme="majorBidi" w:cstheme="majorBidi"/>
          <w:color w:val="000000"/>
          <w:szCs w:val="24"/>
          <w:lang w:val="es-ES"/>
        </w:rPr>
        <w:t>3.2</w:t>
      </w:r>
      <w:r w:rsidRPr="00ED45F5">
        <w:rPr>
          <w:rFonts w:asciiTheme="majorBidi" w:hAnsiTheme="majorBidi" w:cstheme="majorBidi"/>
          <w:color w:val="000000"/>
          <w:szCs w:val="24"/>
          <w:lang w:val="es-ES"/>
        </w:rPr>
        <w:tab/>
        <w:t xml:space="preserve">Algoritmos del margen </w:t>
      </w:r>
      <w:r w:rsidRPr="00ED45F5">
        <w:rPr>
          <w:rFonts w:asciiTheme="majorBidi" w:hAnsiTheme="majorBidi" w:cstheme="majorBidi"/>
          <w:i/>
          <w:color w:val="000000"/>
          <w:szCs w:val="24"/>
          <w:lang w:val="es-ES"/>
        </w:rPr>
        <w:t>M</w:t>
      </w:r>
      <w:r w:rsidRPr="00ED45F5">
        <w:rPr>
          <w:rFonts w:asciiTheme="majorBidi" w:hAnsiTheme="majorBidi" w:cstheme="majorBidi"/>
          <w:color w:val="000000"/>
          <w:szCs w:val="24"/>
          <w:lang w:val="es-ES"/>
        </w:rPr>
        <w:t xml:space="preserve"> y de las relaciones </w:t>
      </w:r>
      <w:r w:rsidRPr="00ED45F5">
        <w:rPr>
          <w:rFonts w:asciiTheme="majorBidi" w:hAnsiTheme="majorBidi" w:cstheme="majorBidi"/>
          <w:i/>
          <w:color w:val="000000"/>
          <w:szCs w:val="24"/>
          <w:lang w:val="es-ES"/>
        </w:rPr>
        <w:t>C</w:t>
      </w:r>
      <w:r w:rsidRPr="00ED45F5">
        <w:rPr>
          <w:rFonts w:asciiTheme="majorBidi" w:hAnsiTheme="majorBidi" w:cstheme="majorBidi"/>
          <w:color w:val="000000"/>
          <w:szCs w:val="24"/>
          <w:lang w:val="es-ES"/>
        </w:rPr>
        <w:t>/</w:t>
      </w:r>
      <w:r w:rsidRPr="00ED45F5">
        <w:rPr>
          <w:rFonts w:asciiTheme="majorBidi" w:hAnsiTheme="majorBidi" w:cstheme="majorBidi"/>
          <w:i/>
          <w:color w:val="000000"/>
          <w:szCs w:val="24"/>
          <w:lang w:val="es-ES"/>
        </w:rPr>
        <w:t>I</w:t>
      </w:r>
      <w:r w:rsidRPr="00ED45F5">
        <w:rPr>
          <w:rFonts w:asciiTheme="majorBidi" w:hAnsiTheme="majorBidi" w:cstheme="majorBidi"/>
          <w:color w:val="000000"/>
          <w:szCs w:val="24"/>
          <w:lang w:val="es-ES"/>
        </w:rPr>
        <w:t xml:space="preserve"> y </w:t>
      </w:r>
      <w:r w:rsidRPr="00ED45F5">
        <w:rPr>
          <w:rFonts w:asciiTheme="majorBidi" w:hAnsiTheme="majorBidi" w:cstheme="majorBidi"/>
          <w:i/>
          <w:color w:val="000000"/>
          <w:szCs w:val="24"/>
          <w:lang w:val="es-ES"/>
        </w:rPr>
        <w:t>C</w:t>
      </w:r>
      <w:r w:rsidRPr="00ED45F5">
        <w:rPr>
          <w:rFonts w:asciiTheme="majorBidi" w:hAnsiTheme="majorBidi" w:cstheme="majorBidi"/>
          <w:color w:val="000000"/>
          <w:szCs w:val="24"/>
          <w:lang w:val="es-ES"/>
        </w:rPr>
        <w:t>/</w:t>
      </w:r>
      <w:r w:rsidRPr="00ED45F5">
        <w:rPr>
          <w:rFonts w:asciiTheme="majorBidi" w:hAnsiTheme="majorBidi" w:cstheme="majorBidi"/>
          <w:i/>
          <w:color w:val="000000"/>
          <w:szCs w:val="24"/>
          <w:lang w:val="es-ES"/>
        </w:rPr>
        <w:t>N</w:t>
      </w:r>
    </w:p>
    <w:p w14:paraId="50CA0803" w14:textId="2FCA28D1" w:rsidR="004301E5" w:rsidRPr="00ED45F5" w:rsidRDefault="004301E5" w:rsidP="004301E5">
      <w:pPr>
        <w:rPr>
          <w:rFonts w:asciiTheme="majorBidi" w:hAnsiTheme="majorBidi" w:cstheme="majorBidi"/>
          <w:color w:val="000000"/>
          <w:szCs w:val="24"/>
          <w:lang w:val="es-ES"/>
        </w:rPr>
      </w:pPr>
      <w:r w:rsidRPr="00ED45F5">
        <w:rPr>
          <w:rFonts w:asciiTheme="majorBidi" w:hAnsiTheme="majorBidi" w:cstheme="majorBidi"/>
          <w:color w:val="000000"/>
          <w:szCs w:val="24"/>
          <w:lang w:val="es-ES"/>
        </w:rPr>
        <w:t>Se utilizarán los algoritmos descritos en el Adjunto</w:t>
      </w:r>
      <w:r w:rsidR="00DF0DD1">
        <w:rPr>
          <w:rFonts w:asciiTheme="majorBidi" w:hAnsiTheme="majorBidi" w:cstheme="majorBidi"/>
          <w:color w:val="000000"/>
          <w:szCs w:val="24"/>
          <w:lang w:val="es-ES"/>
        </w:rPr>
        <w:t> </w:t>
      </w:r>
      <w:r w:rsidRPr="00ED45F5">
        <w:rPr>
          <w:rFonts w:asciiTheme="majorBidi" w:hAnsiTheme="majorBidi" w:cstheme="majorBidi"/>
          <w:color w:val="000000"/>
          <w:szCs w:val="24"/>
          <w:lang w:val="es-ES"/>
        </w:rPr>
        <w:t>1 para evaluar el cumplimiento de los criterios de interferencia mutuamente aceptados o de los límites de interferencia de una sola fuente establecidos en el Cuadro 2.</w:t>
      </w:r>
    </w:p>
    <w:p w14:paraId="71A24350" w14:textId="77777777" w:rsidR="00361A40" w:rsidRPr="004301E5" w:rsidRDefault="004301E5" w:rsidP="004301E5">
      <w:pPr>
        <w:rPr>
          <w:rFonts w:asciiTheme="majorBidi" w:hAnsiTheme="majorBidi" w:cstheme="majorBidi"/>
          <w:color w:val="000000"/>
          <w:lang w:val="es-ES_tradnl"/>
        </w:rPr>
      </w:pPr>
      <w:r w:rsidRPr="00ED45F5">
        <w:rPr>
          <w:rFonts w:asciiTheme="majorBidi" w:hAnsiTheme="majorBidi" w:cstheme="majorBidi"/>
          <w:color w:val="000000"/>
          <w:szCs w:val="24"/>
          <w:lang w:val="es-ES"/>
        </w:rPr>
        <w:t>El Cuadro 2 siguiente tiene en cuenta la información presentada a la Oficina por las adminis</w:t>
      </w:r>
      <w:r w:rsidRPr="00ED45F5">
        <w:rPr>
          <w:rFonts w:asciiTheme="majorBidi" w:hAnsiTheme="majorBidi" w:cstheme="majorBidi"/>
          <w:color w:val="000000"/>
          <w:szCs w:val="24"/>
          <w:lang w:val="es-ES"/>
        </w:rPr>
        <w:softHyphen/>
        <w:t xml:space="preserve">traciones conforme al Apéndice </w:t>
      </w:r>
      <w:r w:rsidRPr="00ED45F5">
        <w:rPr>
          <w:rStyle w:val="Appref"/>
          <w:rFonts w:asciiTheme="majorBidi" w:hAnsiTheme="majorBidi" w:cstheme="majorBidi"/>
          <w:b/>
          <w:bCs/>
          <w:color w:val="000000"/>
          <w:szCs w:val="24"/>
          <w:lang w:val="es-ES"/>
        </w:rPr>
        <w:t>4</w:t>
      </w:r>
      <w:r w:rsidRPr="00ED45F5">
        <w:rPr>
          <w:rFonts w:asciiTheme="majorBidi" w:hAnsiTheme="majorBidi" w:cstheme="majorBidi"/>
          <w:color w:val="000000"/>
          <w:szCs w:val="24"/>
          <w:lang w:val="es-ES"/>
        </w:rPr>
        <w:t xml:space="preserve"> y la definición del tipo de portadora del § 3.1 anterior, y es una simplificación del Cuadro 2 de la Recomendación UIT</w:t>
      </w:r>
      <w:r w:rsidRPr="00ED45F5">
        <w:rPr>
          <w:rFonts w:asciiTheme="majorBidi" w:hAnsiTheme="majorBidi" w:cstheme="majorBidi"/>
          <w:color w:val="000000"/>
          <w:szCs w:val="24"/>
          <w:lang w:val="es-ES"/>
        </w:rPr>
        <w:noBreakHyphen/>
        <w:t>R S.741</w:t>
      </w:r>
      <w:r w:rsidRPr="00ED45F5">
        <w:rPr>
          <w:rFonts w:asciiTheme="majorBidi" w:hAnsiTheme="majorBidi" w:cstheme="majorBidi"/>
          <w:color w:val="000000"/>
          <w:szCs w:val="24"/>
          <w:lang w:val="es-ES"/>
        </w:rPr>
        <w:noBreakHyphen/>
        <w:t>2.</w:t>
      </w:r>
    </w:p>
    <w:p w14:paraId="4458CF09" w14:textId="006C1526" w:rsidR="00361A40" w:rsidRPr="005C7612" w:rsidRDefault="00361A40">
      <w:pPr>
        <w:pStyle w:val="Table"/>
        <w:spacing w:before="240"/>
        <w:rPr>
          <w:color w:val="000000"/>
          <w:sz w:val="16"/>
          <w:lang w:val="es-ES_tradnl"/>
        </w:rPr>
      </w:pPr>
      <w:r w:rsidRPr="005C7612">
        <w:rPr>
          <w:color w:val="000000"/>
          <w:lang w:val="es-ES_tradnl"/>
        </w:rPr>
        <w:t>CUADRO  2</w:t>
      </w:r>
    </w:p>
    <w:p w14:paraId="1E0B68CF" w14:textId="04FF9453" w:rsidR="00361A40" w:rsidRPr="00D228B1" w:rsidRDefault="00361A40" w:rsidP="00AC02D7">
      <w:pPr>
        <w:pStyle w:val="TableTitle"/>
        <w:rPr>
          <w:rFonts w:asciiTheme="majorBidi" w:hAnsiTheme="majorBidi" w:cstheme="majorBidi"/>
          <w:b w:val="0"/>
          <w:color w:val="000000"/>
          <w:sz w:val="16"/>
          <w:szCs w:val="16"/>
          <w:lang w:val="es-ES_tradnl"/>
        </w:rPr>
      </w:pPr>
      <w:r w:rsidRPr="005C7612">
        <w:rPr>
          <w:color w:val="000000"/>
          <w:lang w:val="es-ES_tradnl"/>
        </w:rPr>
        <w:t>Criterios de protección contra la interferencia procedente de una sola fuente (SEI)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4626"/>
        <w:gridCol w:w="1134"/>
        <w:gridCol w:w="1275"/>
      </w:tblGrid>
      <w:tr w:rsidR="00C5130D" w:rsidRPr="00244EFF" w14:paraId="095DC68B" w14:textId="77777777" w:rsidTr="00AC0DD1">
        <w:trPr>
          <w:cantSplit/>
        </w:trPr>
        <w:tc>
          <w:tcPr>
            <w:tcW w:w="1857" w:type="dxa"/>
            <w:tcBorders>
              <w:tl2br w:val="single" w:sz="4" w:space="0" w:color="auto"/>
            </w:tcBorders>
            <w:vAlign w:val="center"/>
          </w:tcPr>
          <w:p w14:paraId="36C08D30" w14:textId="77777777" w:rsidR="00C5130D" w:rsidRPr="00D228B1" w:rsidRDefault="00C5130D" w:rsidP="00AC0DD1">
            <w:pPr>
              <w:keepNext/>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ind w:left="-57" w:right="-57"/>
              <w:jc w:val="right"/>
              <w:rPr>
                <w:rFonts w:asciiTheme="majorBidi" w:hAnsiTheme="majorBidi" w:cstheme="majorBidi"/>
                <w:b/>
                <w:color w:val="000000"/>
                <w:sz w:val="20"/>
                <w:lang w:val="es-ES"/>
              </w:rPr>
            </w:pPr>
            <w:r w:rsidRPr="00D228B1">
              <w:rPr>
                <w:rFonts w:asciiTheme="majorBidi" w:hAnsiTheme="majorBidi" w:cstheme="majorBidi"/>
                <w:b/>
                <w:color w:val="000000"/>
                <w:sz w:val="20"/>
                <w:lang w:val="es-ES"/>
              </w:rPr>
              <w:t xml:space="preserve">Tipo de </w:t>
            </w:r>
            <w:r w:rsidRPr="00D228B1">
              <w:rPr>
                <w:rFonts w:asciiTheme="majorBidi" w:hAnsiTheme="majorBidi" w:cstheme="majorBidi"/>
                <w:b/>
                <w:color w:val="000000"/>
                <w:sz w:val="20"/>
                <w:lang w:val="es-ES"/>
              </w:rPr>
              <w:br/>
              <w:t>portadora interferente</w:t>
            </w:r>
          </w:p>
          <w:p w14:paraId="13F548ED" w14:textId="77777777" w:rsidR="00C5130D" w:rsidRPr="00D228B1" w:rsidRDefault="00C5130D" w:rsidP="00AC0DD1">
            <w:pPr>
              <w:keepNext/>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left"/>
              <w:rPr>
                <w:rFonts w:asciiTheme="majorBidi" w:hAnsiTheme="majorBidi" w:cstheme="majorBidi"/>
                <w:b/>
                <w:color w:val="000000"/>
                <w:sz w:val="20"/>
                <w:lang w:val="es-ES"/>
              </w:rPr>
            </w:pPr>
            <w:r w:rsidRPr="00D228B1">
              <w:rPr>
                <w:rFonts w:asciiTheme="majorBidi" w:hAnsiTheme="majorBidi" w:cstheme="majorBidi"/>
                <w:b/>
                <w:color w:val="000000"/>
                <w:sz w:val="20"/>
                <w:lang w:val="es-ES"/>
              </w:rPr>
              <w:t xml:space="preserve">Tipo de </w:t>
            </w:r>
            <w:r w:rsidRPr="00D228B1">
              <w:rPr>
                <w:rFonts w:asciiTheme="majorBidi" w:hAnsiTheme="majorBidi" w:cstheme="majorBidi"/>
                <w:b/>
                <w:color w:val="000000"/>
                <w:sz w:val="20"/>
                <w:lang w:val="es-ES"/>
              </w:rPr>
              <w:br/>
              <w:t xml:space="preserve">portadora </w:t>
            </w:r>
            <w:r w:rsidRPr="00D228B1">
              <w:rPr>
                <w:rFonts w:asciiTheme="majorBidi" w:hAnsiTheme="majorBidi" w:cstheme="majorBidi"/>
                <w:b/>
                <w:color w:val="000000"/>
                <w:sz w:val="20"/>
                <w:lang w:val="es-ES"/>
              </w:rPr>
              <w:br/>
              <w:t>deseada</w:t>
            </w:r>
          </w:p>
        </w:tc>
        <w:tc>
          <w:tcPr>
            <w:tcW w:w="4626" w:type="dxa"/>
            <w:vAlign w:val="center"/>
          </w:tcPr>
          <w:p w14:paraId="43FB6172" w14:textId="77777777" w:rsidR="00C5130D" w:rsidRPr="00B75536" w:rsidRDefault="00C5130D" w:rsidP="00B75536">
            <w:pPr>
              <w:pStyle w:val="Tablehead0"/>
              <w:rPr>
                <w:sz w:val="20"/>
                <w:lang w:val="es-ES_tradnl"/>
              </w:rPr>
            </w:pPr>
            <w:r w:rsidRPr="00B75536">
              <w:rPr>
                <w:sz w:val="20"/>
                <w:lang w:val="es-ES_tradnl"/>
              </w:rPr>
              <w:t>Analógica (TV/MF) u otra</w:t>
            </w:r>
          </w:p>
        </w:tc>
        <w:tc>
          <w:tcPr>
            <w:tcW w:w="1134" w:type="dxa"/>
            <w:vAlign w:val="center"/>
          </w:tcPr>
          <w:p w14:paraId="1DD638D8" w14:textId="77777777" w:rsidR="00C5130D" w:rsidRPr="00B75536" w:rsidRDefault="00C5130D" w:rsidP="00B75536">
            <w:pPr>
              <w:pStyle w:val="Tablehead0"/>
              <w:rPr>
                <w:caps/>
                <w:sz w:val="20"/>
              </w:rPr>
            </w:pPr>
            <w:r w:rsidRPr="00B75536">
              <w:rPr>
                <w:caps/>
                <w:sz w:val="20"/>
              </w:rPr>
              <w:t>D</w:t>
            </w:r>
            <w:r w:rsidRPr="00B75536">
              <w:rPr>
                <w:sz w:val="20"/>
              </w:rPr>
              <w:t>igital</w:t>
            </w:r>
          </w:p>
        </w:tc>
        <w:tc>
          <w:tcPr>
            <w:tcW w:w="1275" w:type="dxa"/>
            <w:vAlign w:val="center"/>
          </w:tcPr>
          <w:p w14:paraId="3E4F758F" w14:textId="77777777" w:rsidR="00C5130D" w:rsidRPr="00723CF8" w:rsidRDefault="00C5130D" w:rsidP="00B75536">
            <w:pPr>
              <w:pStyle w:val="Tablehead0"/>
              <w:rPr>
                <w:caps/>
                <w:sz w:val="20"/>
                <w:lang w:val="es-ES_tradnl"/>
              </w:rPr>
            </w:pPr>
            <w:r w:rsidRPr="00723CF8">
              <w:rPr>
                <w:sz w:val="20"/>
                <w:lang w:val="es-ES_tradnl"/>
              </w:rPr>
              <w:t>Analógica (distinta de TV-MF)</w:t>
            </w:r>
          </w:p>
        </w:tc>
      </w:tr>
      <w:tr w:rsidR="00C5130D" w:rsidRPr="00D228B1" w14:paraId="5D6C9189" w14:textId="77777777" w:rsidTr="00AC0DD1">
        <w:trPr>
          <w:cantSplit/>
        </w:trPr>
        <w:tc>
          <w:tcPr>
            <w:tcW w:w="1857" w:type="dxa"/>
            <w:vAlign w:val="center"/>
          </w:tcPr>
          <w:p w14:paraId="6D9682EF"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right="-57"/>
              <w:rPr>
                <w:rFonts w:asciiTheme="majorBidi" w:hAnsiTheme="majorBidi" w:cstheme="majorBidi"/>
                <w:color w:val="000000"/>
                <w:sz w:val="20"/>
                <w:lang w:val="es-ES"/>
              </w:rPr>
            </w:pPr>
            <w:r w:rsidRPr="00D228B1">
              <w:rPr>
                <w:rFonts w:asciiTheme="majorBidi" w:hAnsiTheme="majorBidi" w:cstheme="majorBidi"/>
                <w:color w:val="000000"/>
                <w:sz w:val="20"/>
                <w:lang w:val="es-ES"/>
              </w:rPr>
              <w:t>Analógica (TV</w:t>
            </w:r>
            <w:r w:rsidRPr="00D228B1">
              <w:rPr>
                <w:rFonts w:asciiTheme="majorBidi" w:hAnsiTheme="majorBidi" w:cstheme="majorBidi"/>
                <w:color w:val="000000"/>
                <w:sz w:val="20"/>
                <w:lang w:val="es-ES"/>
              </w:rPr>
              <w:noBreakHyphen/>
              <w:t>MF)</w:t>
            </w:r>
          </w:p>
        </w:tc>
        <w:tc>
          <w:tcPr>
            <w:tcW w:w="7035" w:type="dxa"/>
            <w:gridSpan w:val="3"/>
            <w:vAlign w:val="center"/>
          </w:tcPr>
          <w:p w14:paraId="4229ECC1"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+ 14 (dB)</w:t>
            </w:r>
          </w:p>
        </w:tc>
      </w:tr>
      <w:tr w:rsidR="00C5130D" w:rsidRPr="00D228B1" w14:paraId="423D14D3" w14:textId="77777777" w:rsidTr="00AC0DD1">
        <w:trPr>
          <w:cantSplit/>
        </w:trPr>
        <w:tc>
          <w:tcPr>
            <w:tcW w:w="1857" w:type="dxa"/>
            <w:tcBorders>
              <w:bottom w:val="single" w:sz="4" w:space="0" w:color="auto"/>
            </w:tcBorders>
          </w:tcPr>
          <w:p w14:paraId="2918246A"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heme="majorBidi" w:hAnsiTheme="majorBidi" w:cstheme="majorBidi"/>
                <w:color w:val="000000"/>
                <w:sz w:val="20"/>
                <w:lang w:val="es-ES"/>
              </w:rPr>
            </w:pPr>
            <w:r w:rsidRPr="00D228B1">
              <w:rPr>
                <w:rFonts w:asciiTheme="majorBidi" w:hAnsiTheme="majorBidi" w:cstheme="majorBidi"/>
                <w:color w:val="000000"/>
                <w:sz w:val="20"/>
                <w:lang w:val="es-ES"/>
              </w:rPr>
              <w:t>Digital</w:t>
            </w:r>
          </w:p>
        </w:tc>
        <w:tc>
          <w:tcPr>
            <w:tcW w:w="4626" w:type="dxa"/>
            <w:tcBorders>
              <w:bottom w:val="single" w:sz="4" w:space="0" w:color="auto"/>
            </w:tcBorders>
            <w:vAlign w:val="center"/>
          </w:tcPr>
          <w:p w14:paraId="1E39C2B6"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iCs/>
                <w:color w:val="000000"/>
                <w:sz w:val="20"/>
                <w:lang w:val="es-ES"/>
              </w:rPr>
            </w:pPr>
            <w:r w:rsidRPr="00D228B1">
              <w:rPr>
                <w:rFonts w:asciiTheme="majorBidi" w:hAnsiTheme="majorBidi" w:cstheme="majorBidi"/>
                <w:iCs/>
                <w:color w:val="000000"/>
                <w:sz w:val="20"/>
                <w:lang w:val="es-ES"/>
              </w:rPr>
              <w:t xml:space="preserve">Si DeNeBd </w:t>
            </w:r>
            <w:r w:rsidRPr="00D228B1">
              <w:rPr>
                <w:rFonts w:asciiTheme="majorBidi" w:hAnsiTheme="majorBidi" w:cstheme="majorBidi"/>
                <w:iCs/>
                <w:color w:val="000000"/>
                <w:sz w:val="20"/>
                <w:lang w:val="es-ES"/>
              </w:rPr>
              <w:sym w:font="Symbol" w:char="F0A3"/>
            </w:r>
            <w:r w:rsidRPr="00D228B1">
              <w:rPr>
                <w:rFonts w:asciiTheme="majorBidi" w:hAnsiTheme="majorBidi" w:cstheme="majorBidi"/>
                <w:iCs/>
                <w:color w:val="000000"/>
                <w:sz w:val="20"/>
                <w:lang w:val="es-ES"/>
              </w:rPr>
              <w:t xml:space="preserve"> InEqBd </w:t>
            </w:r>
          </w:p>
          <w:p w14:paraId="28EF8F8B" w14:textId="77777777" w:rsidR="00C5130D" w:rsidRPr="00723CF8" w:rsidRDefault="00C5130D" w:rsidP="00326375">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iCs/>
                <w:color w:val="000000"/>
                <w:sz w:val="20"/>
                <w:lang w:val="es-ES"/>
              </w:rPr>
            </w:pPr>
            <w:r w:rsidRPr="00723CF8">
              <w:rPr>
                <w:rFonts w:asciiTheme="majorBidi" w:hAnsiTheme="majorBidi" w:cstheme="majorBidi"/>
                <w:i/>
                <w:color w:val="000000"/>
                <w:sz w:val="20"/>
                <w:lang w:val="es-ES"/>
              </w:rPr>
              <w:t>C</w:t>
            </w:r>
            <w:r w:rsidRPr="00723CF8">
              <w:rPr>
                <w:rFonts w:asciiTheme="majorBidi" w:hAnsiTheme="majorBidi" w:cstheme="majorBidi"/>
                <w:iCs/>
                <w:color w:val="000000"/>
                <w:sz w:val="20"/>
                <w:lang w:val="es-ES"/>
              </w:rPr>
              <w:t>/</w:t>
            </w:r>
            <w:r w:rsidRPr="00723CF8">
              <w:rPr>
                <w:rFonts w:asciiTheme="majorBidi" w:hAnsiTheme="majorBidi" w:cstheme="majorBidi"/>
                <w:i/>
                <w:color w:val="000000"/>
                <w:sz w:val="20"/>
                <w:lang w:val="es-ES"/>
              </w:rPr>
              <w:t>N</w:t>
            </w:r>
            <w:r w:rsidRPr="00723CF8">
              <w:rPr>
                <w:rFonts w:asciiTheme="majorBidi" w:hAnsiTheme="majorBidi" w:cstheme="majorBidi"/>
                <w:i/>
                <w:iCs/>
                <w:color w:val="000000"/>
                <w:sz w:val="20"/>
                <w:vertAlign w:val="subscript"/>
                <w:lang w:val="es-ES"/>
              </w:rPr>
              <w:t>tot</w:t>
            </w:r>
            <w:r w:rsidRPr="00723CF8">
              <w:rPr>
                <w:rFonts w:asciiTheme="majorBidi" w:hAnsiTheme="majorBidi" w:cstheme="majorBidi"/>
                <w:iCs/>
                <w:color w:val="000000"/>
                <w:sz w:val="20"/>
                <w:lang w:val="es-ES"/>
              </w:rPr>
              <w:t xml:space="preserve"> + 9,4 + 3,5 log (</w:t>
            </w:r>
            <w:r w:rsidR="00326375" w:rsidRPr="002148C9">
              <w:rPr>
                <w:rFonts w:ascii="Symbol" w:hAnsi="Symbol"/>
                <w:color w:val="000000"/>
                <w:sz w:val="20"/>
                <w:lang w:val="es-ES"/>
              </w:rPr>
              <w:t></w:t>
            </w:r>
            <w:r w:rsidRPr="00723CF8">
              <w:rPr>
                <w:rFonts w:asciiTheme="majorBidi" w:hAnsiTheme="majorBidi" w:cstheme="majorBidi"/>
                <w:iCs/>
                <w:color w:val="000000"/>
                <w:sz w:val="20"/>
                <w:lang w:val="es-ES"/>
              </w:rPr>
              <w:t>) – 6 log (</w:t>
            </w:r>
            <w:r w:rsidRPr="00723CF8">
              <w:rPr>
                <w:rFonts w:asciiTheme="majorBidi" w:hAnsiTheme="majorBidi" w:cstheme="majorBidi"/>
                <w:i/>
                <w:color w:val="000000"/>
                <w:sz w:val="20"/>
                <w:lang w:val="es-ES"/>
              </w:rPr>
              <w:t>i</w:t>
            </w:r>
            <w:r w:rsidRPr="00723CF8">
              <w:rPr>
                <w:rFonts w:asciiTheme="majorBidi" w:hAnsiTheme="majorBidi" w:cstheme="majorBidi"/>
                <w:iCs/>
                <w:color w:val="000000"/>
                <w:sz w:val="20"/>
                <w:lang w:val="es-ES"/>
              </w:rPr>
              <w:t>/10) (dB)</w:t>
            </w:r>
          </w:p>
          <w:p w14:paraId="09628FA8"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Cs/>
                <w:color w:val="000000"/>
                <w:sz w:val="20"/>
                <w:lang w:val="es-ES"/>
              </w:rPr>
              <w:t xml:space="preserve">(es decir, </w:t>
            </w:r>
            <w:r w:rsidRPr="00D228B1">
              <w:rPr>
                <w:rFonts w:asciiTheme="majorBidi" w:hAnsiTheme="majorBidi" w:cstheme="majorBidi"/>
                <w:i/>
                <w:color w:val="000000"/>
                <w:sz w:val="20"/>
                <w:lang w:val="es-ES"/>
              </w:rPr>
              <w:t>C</w:t>
            </w:r>
            <w:r w:rsidRPr="00D228B1">
              <w:rPr>
                <w:rFonts w:asciiTheme="majorBidi" w:hAnsiTheme="majorBidi" w:cstheme="majorBidi"/>
                <w:iCs/>
                <w:color w:val="000000"/>
                <w:sz w:val="20"/>
                <w:lang w:val="es-ES"/>
              </w:rPr>
              <w:t>/</w:t>
            </w:r>
            <w:r w:rsidRPr="00D228B1">
              <w:rPr>
                <w:rFonts w:asciiTheme="majorBidi" w:hAnsiTheme="majorBidi" w:cstheme="majorBidi"/>
                <w:i/>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iCs/>
                <w:color w:val="000000"/>
                <w:sz w:val="20"/>
                <w:lang w:val="es-ES"/>
              </w:rPr>
              <w:t xml:space="preserve"> + 5,5 + 3,5 log (DeNeBd (MHz)))</w:t>
            </w:r>
          </w:p>
          <w:p w14:paraId="252DD070"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iCs/>
                <w:color w:val="000000"/>
                <w:sz w:val="20"/>
                <w:lang w:val="es-ES"/>
              </w:rPr>
            </w:pPr>
            <w:r w:rsidRPr="00D228B1">
              <w:rPr>
                <w:rFonts w:asciiTheme="majorBidi" w:hAnsiTheme="majorBidi" w:cstheme="majorBidi"/>
                <w:iCs/>
                <w:color w:val="000000"/>
                <w:sz w:val="20"/>
                <w:lang w:val="es-ES"/>
              </w:rPr>
              <w:t>De no ser así, si DeNeBd &gt; InEqBd</w:t>
            </w:r>
          </w:p>
          <w:p w14:paraId="69A21933"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+ 12,2 (dB)</w:t>
            </w:r>
          </w:p>
        </w:tc>
        <w:tc>
          <w:tcPr>
            <w:tcW w:w="2409" w:type="dxa"/>
            <w:gridSpan w:val="2"/>
            <w:tcBorders>
              <w:bottom w:val="single" w:sz="4" w:space="0" w:color="auto"/>
            </w:tcBorders>
            <w:vAlign w:val="center"/>
          </w:tcPr>
          <w:p w14:paraId="0AADA26E"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+ 12,2 (dB)</w:t>
            </w:r>
          </w:p>
        </w:tc>
      </w:tr>
      <w:tr w:rsidR="00C5130D" w:rsidRPr="00D228B1" w14:paraId="59A3AB78" w14:textId="77777777" w:rsidTr="00AC0DD1">
        <w:trPr>
          <w:cantSplit/>
        </w:trPr>
        <w:tc>
          <w:tcPr>
            <w:tcW w:w="1857" w:type="dxa"/>
            <w:vAlign w:val="center"/>
          </w:tcPr>
          <w:p w14:paraId="3C54CBB4"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heme="majorBidi" w:hAnsiTheme="majorBidi" w:cstheme="majorBidi"/>
                <w:color w:val="000000"/>
                <w:sz w:val="20"/>
                <w:lang w:val="es-ES"/>
              </w:rPr>
            </w:pPr>
            <w:r w:rsidRPr="00D228B1">
              <w:rPr>
                <w:rFonts w:asciiTheme="majorBidi" w:hAnsiTheme="majorBidi" w:cstheme="majorBidi"/>
                <w:color w:val="000000"/>
                <w:sz w:val="20"/>
                <w:lang w:val="es-ES"/>
              </w:rPr>
              <w:t>Analógica (distinta de TV-MF)</w:t>
            </w:r>
          </w:p>
        </w:tc>
        <w:tc>
          <w:tcPr>
            <w:tcW w:w="4626" w:type="dxa"/>
            <w:vAlign w:val="center"/>
          </w:tcPr>
          <w:p w14:paraId="1C178532" w14:textId="77777777" w:rsidR="00C5130D" w:rsidRPr="00D228B1" w:rsidRDefault="00C5130D" w:rsidP="00326375">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13,5 + 2 log (</w:t>
            </w:r>
            <w:r w:rsidR="00326375" w:rsidRPr="002148C9">
              <w:rPr>
                <w:rFonts w:ascii="Symbol" w:hAnsi="Symbol"/>
                <w:color w:val="000000"/>
                <w:sz w:val="20"/>
                <w:lang w:val="es-ES"/>
              </w:rPr>
              <w:t></w:t>
            </w:r>
            <w:r w:rsidRPr="00D228B1">
              <w:rPr>
                <w:rFonts w:asciiTheme="majorBidi" w:hAnsiTheme="majorBidi" w:cstheme="majorBidi"/>
                <w:color w:val="000000"/>
                <w:sz w:val="20"/>
                <w:lang w:val="es-ES"/>
              </w:rPr>
              <w:t>) – 3 log (</w:t>
            </w:r>
            <w:r w:rsidRPr="00D228B1">
              <w:rPr>
                <w:rFonts w:asciiTheme="majorBidi" w:hAnsiTheme="majorBidi" w:cstheme="majorBidi"/>
                <w:i/>
                <w:color w:val="000000"/>
                <w:sz w:val="20"/>
                <w:lang w:val="es-ES"/>
              </w:rPr>
              <w:t>i</w:t>
            </w:r>
            <w:r w:rsidRPr="00D228B1">
              <w:rPr>
                <w:rFonts w:asciiTheme="majorBidi" w:hAnsiTheme="majorBidi" w:cstheme="majorBidi"/>
                <w:color w:val="000000"/>
                <w:sz w:val="20"/>
                <w:lang w:val="es-ES"/>
              </w:rPr>
              <w:t>/10) (dB)</w:t>
            </w:r>
          </w:p>
          <w:p w14:paraId="4D5D899C"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(es decir, 11,4 + 2 log (</w:t>
            </w:r>
            <w:r w:rsidRPr="00D228B1">
              <w:rPr>
                <w:rFonts w:asciiTheme="majorBidi" w:hAnsiTheme="majorBidi" w:cstheme="majorBidi"/>
                <w:iCs/>
                <w:color w:val="000000"/>
                <w:sz w:val="20"/>
                <w:lang w:val="es-ES"/>
              </w:rPr>
              <w:t>DeNeBd (MHz</w:t>
            </w:r>
            <w:r w:rsidRPr="00D228B1">
              <w:rPr>
                <w:rFonts w:asciiTheme="majorBidi" w:hAnsiTheme="majorBidi" w:cstheme="majorBidi"/>
                <w:color w:val="000000"/>
                <w:sz w:val="20"/>
                <w:lang w:val="es-ES"/>
              </w:rPr>
              <w:t>)))</w:t>
            </w:r>
          </w:p>
        </w:tc>
        <w:tc>
          <w:tcPr>
            <w:tcW w:w="2409" w:type="dxa"/>
            <w:gridSpan w:val="2"/>
            <w:vAlign w:val="center"/>
          </w:tcPr>
          <w:p w14:paraId="1874F33A"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+ 12,2 (dB)</w:t>
            </w:r>
          </w:p>
        </w:tc>
      </w:tr>
      <w:tr w:rsidR="00C5130D" w:rsidRPr="00D228B1" w14:paraId="689E52B5" w14:textId="77777777" w:rsidTr="00AC0DD1">
        <w:trPr>
          <w:cantSplit/>
        </w:trPr>
        <w:tc>
          <w:tcPr>
            <w:tcW w:w="1857" w:type="dxa"/>
            <w:tcBorders>
              <w:bottom w:val="single" w:sz="4" w:space="0" w:color="auto"/>
            </w:tcBorders>
          </w:tcPr>
          <w:p w14:paraId="76F60BA8"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heme="majorBidi" w:hAnsiTheme="majorBidi" w:cstheme="majorBidi"/>
                <w:color w:val="000000"/>
                <w:sz w:val="20"/>
                <w:lang w:val="es-ES"/>
              </w:rPr>
            </w:pPr>
            <w:r w:rsidRPr="00D228B1">
              <w:rPr>
                <w:rFonts w:asciiTheme="majorBidi" w:hAnsiTheme="majorBidi" w:cstheme="majorBidi"/>
                <w:color w:val="000000"/>
                <w:sz w:val="20"/>
                <w:lang w:val="es-ES"/>
              </w:rPr>
              <w:t>Otras</w:t>
            </w:r>
          </w:p>
        </w:tc>
        <w:tc>
          <w:tcPr>
            <w:tcW w:w="4626" w:type="dxa"/>
            <w:tcBorders>
              <w:bottom w:val="single" w:sz="4" w:space="0" w:color="auto"/>
            </w:tcBorders>
            <w:vAlign w:val="center"/>
          </w:tcPr>
          <w:p w14:paraId="582A2FE7"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13,5 + 2 log (</w:t>
            </w:r>
            <w:r w:rsidR="00326375" w:rsidRPr="002148C9">
              <w:rPr>
                <w:rFonts w:ascii="Symbol" w:hAnsi="Symbol"/>
                <w:color w:val="000000"/>
                <w:sz w:val="20"/>
                <w:lang w:val="es-ES"/>
              </w:rPr>
              <w:t></w:t>
            </w:r>
            <w:r w:rsidRPr="00D228B1">
              <w:rPr>
                <w:rFonts w:asciiTheme="majorBidi" w:hAnsiTheme="majorBidi" w:cstheme="majorBidi"/>
                <w:color w:val="000000"/>
                <w:sz w:val="20"/>
                <w:lang w:val="es-ES"/>
              </w:rPr>
              <w:t>) – 3 log (</w:t>
            </w:r>
            <w:r w:rsidRPr="00D228B1">
              <w:rPr>
                <w:rFonts w:asciiTheme="majorBidi" w:hAnsiTheme="majorBidi" w:cstheme="majorBidi"/>
                <w:i/>
                <w:color w:val="000000"/>
                <w:sz w:val="20"/>
                <w:lang w:val="es-ES"/>
              </w:rPr>
              <w:t>i</w:t>
            </w:r>
            <w:r w:rsidRPr="00D228B1">
              <w:rPr>
                <w:rFonts w:asciiTheme="majorBidi" w:hAnsiTheme="majorBidi" w:cstheme="majorBidi"/>
                <w:color w:val="000000"/>
                <w:sz w:val="20"/>
                <w:lang w:val="es-ES"/>
              </w:rPr>
              <w:t>/10) (dB)</w:t>
            </w:r>
          </w:p>
          <w:p w14:paraId="657CA521"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color w:val="000000"/>
                <w:sz w:val="20"/>
                <w:lang w:val="es-ES"/>
              </w:rPr>
              <w:t>(es decir, 11,4 + 2 log (</w:t>
            </w:r>
            <w:r w:rsidRPr="00D228B1">
              <w:rPr>
                <w:rFonts w:asciiTheme="majorBidi" w:hAnsiTheme="majorBidi" w:cstheme="majorBidi"/>
                <w:iCs/>
                <w:color w:val="000000"/>
                <w:sz w:val="20"/>
                <w:lang w:val="es-ES"/>
              </w:rPr>
              <w:t>DeNeBd (MHz</w:t>
            </w:r>
            <w:r w:rsidRPr="00D228B1">
              <w:rPr>
                <w:rFonts w:asciiTheme="majorBidi" w:hAnsiTheme="majorBidi" w:cstheme="majorBidi"/>
                <w:color w:val="000000"/>
                <w:sz w:val="20"/>
                <w:lang w:val="es-ES"/>
              </w:rPr>
              <w:t>)))</w:t>
            </w:r>
          </w:p>
        </w:tc>
        <w:tc>
          <w:tcPr>
            <w:tcW w:w="2409" w:type="dxa"/>
            <w:gridSpan w:val="2"/>
            <w:tcBorders>
              <w:bottom w:val="single" w:sz="4" w:space="0" w:color="auto"/>
            </w:tcBorders>
            <w:vAlign w:val="center"/>
          </w:tcPr>
          <w:p w14:paraId="79D7D89F" w14:textId="77777777" w:rsidR="00C5130D" w:rsidRPr="00D228B1" w:rsidRDefault="00C5130D" w:rsidP="00AC0DD1">
            <w:pPr>
              <w:framePr w:hSpace="181" w:wrap="notBeside" w:vAnchor="text" w:hAnchor="text" w:xAlign="center" w:y="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iCs/>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 xml:space="preserve"> + 14 (dB)</w:t>
            </w:r>
          </w:p>
        </w:tc>
      </w:tr>
      <w:tr w:rsidR="00C5130D" w:rsidRPr="00244EFF" w14:paraId="31752CE7" w14:textId="77777777" w:rsidTr="00AC0DD1">
        <w:trPr>
          <w:cantSplit/>
        </w:trPr>
        <w:tc>
          <w:tcPr>
            <w:tcW w:w="8892" w:type="dxa"/>
            <w:gridSpan w:val="4"/>
            <w:tcBorders>
              <w:left w:val="nil"/>
              <w:bottom w:val="nil"/>
              <w:right w:val="nil"/>
            </w:tcBorders>
          </w:tcPr>
          <w:p w14:paraId="1CD7C8D7" w14:textId="77777777" w:rsidR="00C5130D" w:rsidRPr="00D228B1" w:rsidRDefault="00C5130D" w:rsidP="00AC0DD1">
            <w:pPr>
              <w:keepNext/>
              <w:framePr w:hSpace="181" w:wrap="notBeside" w:vAnchor="text" w:hAnchor="text" w:xAlign="center" w:y="1"/>
              <w:tabs>
                <w:tab w:val="left" w:pos="284"/>
                <w:tab w:val="left" w:pos="567"/>
                <w:tab w:val="left" w:pos="851"/>
              </w:tabs>
              <w:spacing w:before="120"/>
              <w:rPr>
                <w:rFonts w:asciiTheme="majorBidi" w:hAnsiTheme="majorBidi" w:cstheme="majorBidi"/>
                <w:color w:val="000000"/>
                <w:sz w:val="20"/>
                <w:lang w:val="es-ES"/>
              </w:rPr>
            </w:pPr>
            <w:r w:rsidRPr="00D228B1">
              <w:rPr>
                <w:rFonts w:asciiTheme="majorBidi" w:hAnsiTheme="majorBidi" w:cstheme="majorBidi"/>
                <w:color w:val="000000"/>
                <w:sz w:val="20"/>
                <w:lang w:val="es-ES"/>
              </w:rPr>
              <w:t>siendo:</w:t>
            </w:r>
          </w:p>
          <w:p w14:paraId="1D40A6D7" w14:textId="77777777" w:rsidR="004301E5" w:rsidRPr="00D228B1" w:rsidRDefault="00C5130D" w:rsidP="004301E5">
            <w:pPr>
              <w:keepNext/>
              <w:tabs>
                <w:tab w:val="right" w:pos="851"/>
              </w:tabs>
              <w:spacing w:before="120" w:after="20"/>
              <w:ind w:left="851" w:hanging="851"/>
              <w:rPr>
                <w:rFonts w:asciiTheme="majorBidi" w:hAnsiTheme="majorBidi" w:cstheme="majorBidi"/>
                <w:iCs/>
                <w:color w:val="000000"/>
                <w:sz w:val="20"/>
                <w:lang w:val="es-ES"/>
              </w:rPr>
            </w:pPr>
            <w:r w:rsidRPr="00D228B1">
              <w:rPr>
                <w:rFonts w:asciiTheme="majorBidi" w:hAnsiTheme="majorBidi" w:cstheme="majorBidi"/>
                <w:i/>
                <w:color w:val="000000"/>
                <w:sz w:val="20"/>
                <w:lang w:val="es-ES"/>
              </w:rPr>
              <w:t>C</w:t>
            </w:r>
            <w:r w:rsidRPr="00D228B1">
              <w:rPr>
                <w:rFonts w:asciiTheme="majorBidi" w:hAnsiTheme="majorBidi" w:cstheme="majorBidi"/>
                <w:color w:val="000000"/>
                <w:sz w:val="20"/>
                <w:lang w:val="es-ES"/>
              </w:rPr>
              <w:t>/</w:t>
            </w:r>
            <w:r w:rsidRPr="00D228B1">
              <w:rPr>
                <w:rFonts w:asciiTheme="majorBidi" w:hAnsiTheme="majorBidi" w:cstheme="majorBidi"/>
                <w:i/>
                <w:color w:val="000000"/>
                <w:sz w:val="20"/>
                <w:lang w:val="es-ES"/>
              </w:rPr>
              <w:t>N</w:t>
            </w:r>
            <w:r w:rsidRPr="00D228B1">
              <w:rPr>
                <w:rFonts w:asciiTheme="majorBidi" w:hAnsiTheme="majorBidi" w:cstheme="majorBidi"/>
                <w:i/>
                <w:iCs/>
                <w:color w:val="000000"/>
                <w:sz w:val="20"/>
                <w:vertAlign w:val="subscript"/>
                <w:lang w:val="es-ES"/>
              </w:rPr>
              <w:t>tot</w:t>
            </w:r>
            <w:r w:rsidRPr="00D228B1">
              <w:rPr>
                <w:rFonts w:asciiTheme="majorBidi" w:hAnsiTheme="majorBidi" w:cstheme="majorBidi"/>
                <w:color w:val="000000"/>
                <w:sz w:val="20"/>
                <w:lang w:val="es-ES"/>
              </w:rPr>
              <w:t>:</w:t>
            </w:r>
            <w:r w:rsidR="004301E5">
              <w:rPr>
                <w:rFonts w:asciiTheme="majorBidi" w:hAnsiTheme="majorBidi" w:cstheme="majorBidi"/>
                <w:color w:val="000000"/>
                <w:sz w:val="20"/>
                <w:lang w:val="es-ES"/>
              </w:rPr>
              <w:tab/>
            </w:r>
            <w:r w:rsidRPr="00D228B1">
              <w:rPr>
                <w:rFonts w:asciiTheme="majorBidi" w:hAnsiTheme="majorBidi" w:cstheme="majorBidi"/>
                <w:color w:val="000000"/>
                <w:sz w:val="20"/>
                <w:lang w:val="es-ES"/>
              </w:rPr>
              <w:tab/>
              <w:t xml:space="preserve">relación (dB) entre la potencia de la portadora y del ruido total, que incluye todo el ruido </w:t>
            </w:r>
            <w:r w:rsidR="004301E5">
              <w:rPr>
                <w:rFonts w:asciiTheme="majorBidi" w:hAnsiTheme="majorBidi" w:cstheme="majorBidi"/>
                <w:color w:val="000000"/>
                <w:sz w:val="20"/>
                <w:lang w:val="es-ES"/>
              </w:rPr>
              <w:tab/>
            </w:r>
            <w:r w:rsidRPr="00D228B1">
              <w:rPr>
                <w:rFonts w:asciiTheme="majorBidi" w:hAnsiTheme="majorBidi" w:cstheme="majorBidi"/>
                <w:color w:val="000000"/>
                <w:sz w:val="20"/>
                <w:lang w:val="es-ES"/>
              </w:rPr>
              <w:t>interno del sistema y la interferencia procedente de otros sistemas</w:t>
            </w:r>
          </w:p>
          <w:p w14:paraId="544D4B90" w14:textId="77777777" w:rsidR="00C5130D" w:rsidRPr="00D228B1" w:rsidRDefault="00C5130D" w:rsidP="00AC0DD1">
            <w:pPr>
              <w:keepNext/>
              <w:tabs>
                <w:tab w:val="right" w:pos="851"/>
              </w:tabs>
              <w:spacing w:before="120" w:after="20"/>
              <w:rPr>
                <w:rFonts w:asciiTheme="majorBidi" w:hAnsiTheme="majorBidi" w:cstheme="majorBidi"/>
                <w:color w:val="000000"/>
                <w:sz w:val="20"/>
                <w:lang w:val="es-ES"/>
              </w:rPr>
            </w:pPr>
            <w:r w:rsidRPr="00D228B1">
              <w:rPr>
                <w:rFonts w:asciiTheme="majorBidi" w:hAnsiTheme="majorBidi" w:cstheme="majorBidi"/>
                <w:color w:val="000000"/>
                <w:sz w:val="20"/>
                <w:lang w:val="es-ES"/>
              </w:rPr>
              <w:tab/>
              <w:t>DeNeBd:</w:t>
            </w:r>
            <w:r w:rsidRPr="00D228B1">
              <w:rPr>
                <w:rFonts w:asciiTheme="majorBidi" w:hAnsiTheme="majorBidi" w:cstheme="majorBidi"/>
                <w:color w:val="000000"/>
                <w:sz w:val="20"/>
                <w:lang w:val="es-ES"/>
              </w:rPr>
              <w:tab/>
              <w:t xml:space="preserve">anchura de banda necesaria de la portadora deseada (Apéndice </w:t>
            </w:r>
            <w:r w:rsidRPr="00D228B1">
              <w:rPr>
                <w:rFonts w:asciiTheme="majorBidi" w:hAnsiTheme="majorBidi" w:cstheme="majorBidi"/>
                <w:b/>
                <w:color w:val="000000"/>
                <w:sz w:val="20"/>
                <w:lang w:val="es-ES"/>
              </w:rPr>
              <w:t>4</w:t>
            </w:r>
            <w:r w:rsidRPr="00D228B1">
              <w:rPr>
                <w:rFonts w:asciiTheme="majorBidi" w:hAnsiTheme="majorBidi" w:cstheme="majorBidi"/>
                <w:color w:val="000000"/>
                <w:sz w:val="20"/>
                <w:lang w:val="es-ES"/>
              </w:rPr>
              <w:t>, Anexo 2, C.7.a)</w:t>
            </w:r>
          </w:p>
          <w:p w14:paraId="3458BBC3" w14:textId="77777777" w:rsidR="00C5130D" w:rsidRPr="00D228B1" w:rsidRDefault="00C5130D" w:rsidP="000C5DF2">
            <w:pPr>
              <w:keepNext/>
              <w:tabs>
                <w:tab w:val="right" w:pos="851"/>
              </w:tabs>
              <w:spacing w:before="120" w:after="20"/>
              <w:ind w:left="1134" w:hanging="1134"/>
              <w:rPr>
                <w:rFonts w:asciiTheme="majorBidi" w:hAnsiTheme="majorBidi" w:cstheme="majorBidi"/>
                <w:color w:val="000000"/>
                <w:sz w:val="20"/>
                <w:lang w:val="es-ES"/>
              </w:rPr>
            </w:pPr>
            <w:r w:rsidRPr="00D228B1">
              <w:rPr>
                <w:rFonts w:asciiTheme="majorBidi" w:hAnsiTheme="majorBidi" w:cstheme="majorBidi"/>
                <w:color w:val="000000"/>
                <w:sz w:val="20"/>
                <w:lang w:val="es-ES"/>
              </w:rPr>
              <w:tab/>
              <w:t>InEqBd:</w:t>
            </w:r>
            <w:r w:rsidRPr="00D228B1">
              <w:rPr>
                <w:rFonts w:asciiTheme="majorBidi" w:hAnsiTheme="majorBidi" w:cstheme="majorBidi"/>
                <w:color w:val="000000"/>
                <w:sz w:val="20"/>
                <w:lang w:val="es-ES"/>
              </w:rPr>
              <w:tab/>
              <w:t>anchura de banda equivalente de la portadora interferente (igual a la relación entre la potencia total y la densidad de potencia (véase el Apéndice </w:t>
            </w:r>
            <w:r w:rsidRPr="00D228B1">
              <w:rPr>
                <w:rFonts w:asciiTheme="majorBidi" w:hAnsiTheme="majorBidi" w:cstheme="majorBidi"/>
                <w:b/>
                <w:color w:val="000000"/>
                <w:sz w:val="20"/>
                <w:lang w:val="es-ES"/>
              </w:rPr>
              <w:t>4</w:t>
            </w:r>
            <w:r w:rsidRPr="00D228B1">
              <w:rPr>
                <w:rFonts w:asciiTheme="majorBidi" w:hAnsiTheme="majorBidi" w:cstheme="majorBidi"/>
                <w:color w:val="000000"/>
                <w:sz w:val="20"/>
                <w:lang w:val="es-ES"/>
              </w:rPr>
              <w:t>, Anexo 2, C.8.a.1 y C.8.a.2, respectivamente))</w:t>
            </w:r>
          </w:p>
          <w:p w14:paraId="4B28099F" w14:textId="77777777" w:rsidR="00C5130D" w:rsidRPr="00D228B1" w:rsidRDefault="000C5DF2" w:rsidP="004601F0">
            <w:pPr>
              <w:keepNext/>
              <w:tabs>
                <w:tab w:val="right" w:pos="851"/>
              </w:tabs>
              <w:spacing w:before="120" w:after="20"/>
              <w:ind w:left="1134" w:hanging="907"/>
              <w:rPr>
                <w:rFonts w:asciiTheme="majorBidi" w:hAnsiTheme="majorBidi" w:cstheme="majorBidi"/>
                <w:color w:val="000000"/>
                <w:sz w:val="20"/>
                <w:lang w:val="es-ES"/>
              </w:rPr>
            </w:pPr>
            <w:r>
              <w:rPr>
                <w:rFonts w:asciiTheme="majorBidi" w:hAnsiTheme="majorBidi" w:cstheme="majorBidi"/>
                <w:color w:val="000000"/>
                <w:sz w:val="20"/>
                <w:lang w:val="es-ES"/>
              </w:rPr>
              <w:tab/>
            </w:r>
            <w:r w:rsidR="004601F0" w:rsidRPr="002148C9">
              <w:rPr>
                <w:rFonts w:ascii="Symbol" w:hAnsi="Symbol"/>
                <w:color w:val="000000"/>
                <w:sz w:val="20"/>
                <w:lang w:val="es-ES"/>
              </w:rPr>
              <w:t></w:t>
            </w:r>
            <w:r w:rsidR="00C5130D" w:rsidRPr="00D228B1">
              <w:rPr>
                <w:rFonts w:asciiTheme="majorBidi" w:hAnsiTheme="majorBidi" w:cstheme="majorBidi"/>
                <w:color w:val="000000"/>
                <w:sz w:val="20"/>
                <w:lang w:val="es-ES"/>
              </w:rPr>
              <w:t>:</w:t>
            </w:r>
            <w:r w:rsidR="00C5130D" w:rsidRPr="00D228B1">
              <w:rPr>
                <w:rFonts w:asciiTheme="majorBidi" w:hAnsiTheme="majorBidi" w:cstheme="majorBidi"/>
                <w:color w:val="000000"/>
                <w:sz w:val="20"/>
                <w:lang w:val="es-ES"/>
              </w:rPr>
              <w:tab/>
              <w:t>relación entre la anchura de banda de la señal deseada y la desviación cresta a cresta de la portadora de TV causada por la señal de dispersión de energía (se utiliza en todos los casos una desviación cresta a cresta de 4 MHz)</w:t>
            </w:r>
          </w:p>
          <w:p w14:paraId="5A05F42C" w14:textId="77777777" w:rsidR="00C5130D" w:rsidRPr="00D228B1" w:rsidRDefault="00C5130D" w:rsidP="000C5DF2">
            <w:pPr>
              <w:keepNext/>
              <w:tabs>
                <w:tab w:val="right" w:pos="851"/>
              </w:tabs>
              <w:spacing w:before="120" w:after="20"/>
              <w:ind w:left="1134" w:hanging="907"/>
              <w:rPr>
                <w:rFonts w:asciiTheme="majorBidi" w:hAnsiTheme="majorBidi" w:cstheme="majorBidi"/>
                <w:color w:val="000000"/>
                <w:sz w:val="20"/>
                <w:lang w:val="es-ES"/>
              </w:rPr>
            </w:pPr>
            <w:r w:rsidRPr="00D228B1">
              <w:rPr>
                <w:rFonts w:asciiTheme="majorBidi" w:hAnsiTheme="majorBidi" w:cstheme="majorBidi"/>
                <w:i/>
                <w:iCs/>
                <w:color w:val="000000"/>
                <w:sz w:val="20"/>
                <w:lang w:val="es-ES"/>
              </w:rPr>
              <w:tab/>
              <w:t>i</w:t>
            </w:r>
            <w:r w:rsidRPr="00D228B1">
              <w:rPr>
                <w:rFonts w:asciiTheme="majorBidi" w:hAnsiTheme="majorBidi" w:cstheme="majorBidi"/>
                <w:color w:val="000000"/>
                <w:sz w:val="20"/>
                <w:lang w:val="es-ES"/>
              </w:rPr>
              <w:t>:</w:t>
            </w:r>
            <w:r w:rsidRPr="00D228B1">
              <w:rPr>
                <w:rFonts w:asciiTheme="majorBidi" w:hAnsiTheme="majorBidi" w:cstheme="majorBidi"/>
                <w:color w:val="000000"/>
                <w:sz w:val="20"/>
                <w:lang w:val="es-ES"/>
              </w:rPr>
              <w:tab/>
              <w:t>potencia de la interferencia de pre-demodulación en la anchura de banda de la señal deseada expresada en porcentaje de la potencia total del ruido de pre-demodulación (se utiliza en todos los casos un valor de 20).</w:t>
            </w:r>
          </w:p>
        </w:tc>
      </w:tr>
    </w:tbl>
    <w:p w14:paraId="7748697D" w14:textId="03FDC081" w:rsidR="00973109" w:rsidRDefault="00973109" w:rsidP="00973109">
      <w:pPr>
        <w:rPr>
          <w:lang w:val="es-ES_tradnl"/>
        </w:rPr>
      </w:pPr>
      <w:r>
        <w:rPr>
          <w:lang w:val="es-ES_tradnl"/>
        </w:rPr>
        <w:br w:type="page"/>
      </w:r>
    </w:p>
    <w:p w14:paraId="34E019A1" w14:textId="77777777" w:rsidR="00361A40" w:rsidRPr="005C7612" w:rsidRDefault="00361A40">
      <w:pPr>
        <w:pStyle w:val="Heading2"/>
        <w:spacing w:before="240"/>
        <w:rPr>
          <w:color w:val="000000"/>
          <w:lang w:val="es-ES_tradnl"/>
        </w:rPr>
      </w:pPr>
      <w:r w:rsidRPr="005C7612">
        <w:rPr>
          <w:color w:val="000000"/>
          <w:lang w:val="es-ES_tradnl"/>
        </w:rPr>
        <w:lastRenderedPageBreak/>
        <w:t>3.3</w:t>
      </w:r>
      <w:r w:rsidRPr="005C7612">
        <w:rPr>
          <w:color w:val="000000"/>
          <w:lang w:val="es-ES_tradnl"/>
        </w:rPr>
        <w:tab/>
        <w:t>Casos de un solo canal por portadora (SCPC)</w:t>
      </w:r>
    </w:p>
    <w:p w14:paraId="14440F68" w14:textId="77777777" w:rsidR="00361A40" w:rsidRDefault="00361A40">
      <w:pPr>
        <w:rPr>
          <w:color w:val="000000"/>
          <w:lang w:val="es-ES_tradnl"/>
        </w:rPr>
      </w:pPr>
      <w:r w:rsidRPr="005C7612">
        <w:rPr>
          <w:color w:val="000000"/>
          <w:lang w:val="es-ES_tradnl"/>
        </w:rPr>
        <w:t>Al tratar la interferencia combinada procedente de varias portadoras de banda estrecha, como un transpondedor cargado con portadoras SCPC, se supone, en ausencia de datos más detallados procedentes de las administraciones, que el satélite interferente tiene un trans</w:t>
      </w:r>
      <w:r w:rsidRPr="005C7612">
        <w:rPr>
          <w:color w:val="000000"/>
          <w:lang w:val="es-ES_tradnl"/>
        </w:rPr>
        <w:softHyphen/>
        <w:t>pondedor totalmente cargado con portadoras SCPC y que las distintas portadoras pueden sustituirse por una portadora de banda ancha de una potencia total igual a la suma de las potencias de esas portadoras SCPC. Las relaciones de protección indicadas en la Recomen</w:t>
      </w:r>
      <w:r w:rsidRPr="005C7612">
        <w:rPr>
          <w:color w:val="000000"/>
          <w:lang w:val="es-ES_tradnl"/>
        </w:rPr>
        <w:softHyphen/>
        <w:t>dación UIT-R S.671 se utilizan para proteger las transmisiones SCPC interferidas por porta</w:t>
      </w:r>
      <w:r w:rsidRPr="005C7612">
        <w:rPr>
          <w:color w:val="000000"/>
          <w:lang w:val="es-ES_tradnl"/>
        </w:rPr>
        <w:softHyphen/>
        <w:t>doras de televisión analógica moduladas únicamente por señales de dispersión de energía.</w:t>
      </w:r>
    </w:p>
    <w:p w14:paraId="120FBB10" w14:textId="77777777" w:rsidR="00361A40" w:rsidRPr="005C7612" w:rsidRDefault="00361A40">
      <w:pPr>
        <w:pStyle w:val="Heading2"/>
        <w:spacing w:before="240"/>
        <w:rPr>
          <w:color w:val="000000"/>
          <w:lang w:val="es-ES_tradnl"/>
        </w:rPr>
      </w:pPr>
      <w:r w:rsidRPr="005C7612">
        <w:rPr>
          <w:color w:val="000000"/>
          <w:lang w:val="es-ES_tradnl"/>
        </w:rPr>
        <w:t>3.4</w:t>
      </w:r>
      <w:r w:rsidRPr="005C7612">
        <w:rPr>
          <w:color w:val="000000"/>
          <w:lang w:val="es-ES_tradnl"/>
        </w:rPr>
        <w:tab/>
        <w:t>Interferencia entre señales analógicas MDF-MF (Caso (IX) del Cuadro 1 supra)</w:t>
      </w:r>
    </w:p>
    <w:p w14:paraId="008803B9" w14:textId="77777777" w:rsidR="00361A40" w:rsidRPr="005C7612" w:rsidRDefault="00361A40" w:rsidP="005C7612">
      <w:pPr>
        <w:rPr>
          <w:color w:val="000000"/>
          <w:lang w:val="es-ES_tradnl"/>
        </w:rPr>
      </w:pPr>
      <w:r w:rsidRPr="005C7612">
        <w:rPr>
          <w:color w:val="000000"/>
          <w:lang w:val="es-ES_tradnl"/>
        </w:rPr>
        <w:t>Al tratar de las portadoras MDF-MF y para hallar el margen resultante, se calcula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y se compara con la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requerida. Sin embargo, se establecen criterios de protección del tipo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 </w:t>
      </w:r>
      <w:r w:rsidRPr="005C7612">
        <w:rPr>
          <w:rFonts w:ascii="Symbol" w:hAnsi="Symbol"/>
          <w:color w:val="000000"/>
          <w:lang w:val="es-ES_tradnl"/>
        </w:rPr>
        <w:t></w:t>
      </w:r>
      <w:r w:rsidRPr="005C7612">
        <w:rPr>
          <w:color w:val="000000"/>
          <w:lang w:val="es-ES_tradnl"/>
        </w:rPr>
        <w:t> </w:t>
      </w:r>
      <w:r w:rsidRPr="005C7612">
        <w:rPr>
          <w:i/>
          <w:color w:val="000000"/>
          <w:lang w:val="es-ES_tradnl"/>
        </w:rPr>
        <w:t>K</w:t>
      </w:r>
      <w:r w:rsidRPr="005C7612">
        <w:rPr>
          <w:color w:val="000000"/>
          <w:lang w:val="es-ES_tradnl"/>
        </w:rPr>
        <w:t xml:space="preserve"> basados en las ecuaciones de la Recomendación UIT</w:t>
      </w:r>
      <w:r w:rsidRPr="005C7612">
        <w:rPr>
          <w:color w:val="000000"/>
          <w:lang w:val="es-ES_tradnl"/>
        </w:rPr>
        <w:noBreakHyphen/>
        <w:t>R SF.766, que se necesitan para calcular el factor</w:t>
      </w:r>
      <w:r w:rsidR="005C7612" w:rsidRPr="005C7612">
        <w:rPr>
          <w:color w:val="000000"/>
          <w:lang w:val="es-ES_tradnl"/>
        </w:rPr>
        <w:t xml:space="preserve"> </w:t>
      </w:r>
      <w:r w:rsidRPr="005C7612">
        <w:rPr>
          <w:i/>
          <w:color w:val="000000"/>
          <w:lang w:val="es-ES_tradnl"/>
        </w:rPr>
        <w:t>B</w:t>
      </w:r>
      <w:r w:rsidRPr="005C7612">
        <w:rPr>
          <w:color w:val="000000"/>
          <w:lang w:val="es-ES_tradnl"/>
        </w:rPr>
        <w:t xml:space="preserve"> (factor de reducción de la interferencia). A falta de información detallada para el cálculo del factor </w:t>
      </w:r>
      <w:r w:rsidRPr="005C7612">
        <w:rPr>
          <w:i/>
          <w:iCs/>
          <w:color w:val="000000"/>
          <w:lang w:val="es-ES_tradnl"/>
        </w:rPr>
        <w:t>B</w:t>
      </w:r>
      <w:r w:rsidRPr="005C7612">
        <w:rPr>
          <w:color w:val="000000"/>
          <w:lang w:val="es-ES_tradnl"/>
        </w:rPr>
        <w:t>, se utilizará el factor de ajuste de la interferencia descrito en el § 3.5 siguiente.</w:t>
      </w:r>
    </w:p>
    <w:p w14:paraId="7D037871" w14:textId="77777777" w:rsidR="00361A40" w:rsidRPr="005C7612" w:rsidRDefault="00361A40">
      <w:pPr>
        <w:pStyle w:val="Heading2"/>
        <w:rPr>
          <w:color w:val="000000"/>
          <w:lang w:val="es-ES_tradnl"/>
        </w:rPr>
      </w:pPr>
      <w:r w:rsidRPr="005C7612">
        <w:rPr>
          <w:color w:val="000000"/>
          <w:lang w:val="es-ES_tradnl"/>
        </w:rPr>
        <w:t>3.5</w:t>
      </w:r>
      <w:r w:rsidRPr="005C7612">
        <w:rPr>
          <w:color w:val="000000"/>
          <w:lang w:val="es-ES_tradnl"/>
        </w:rPr>
        <w:tab/>
        <w:t>Otros casos de interferencia</w:t>
      </w:r>
    </w:p>
    <w:p w14:paraId="093075A6" w14:textId="77777777" w:rsidR="00361A40" w:rsidRPr="005C7612" w:rsidRDefault="00361A40" w:rsidP="005C7612">
      <w:pPr>
        <w:rPr>
          <w:color w:val="000000"/>
          <w:lang w:val="es-ES_tradnl"/>
        </w:rPr>
      </w:pPr>
      <w:r w:rsidRPr="005C7612">
        <w:rPr>
          <w:color w:val="000000"/>
          <w:lang w:val="es-ES_tradnl"/>
        </w:rPr>
        <w:t>Para los Casos (IV), (VI), (VII), (VIII), (IX) y (XI) al (XVII) del Cuadro 1 supra, se utilizará el factor de ajuste de la interferencia mencionado en el anterior § 3. Al calcular este factor se prestará atención al tercer párrafo del §</w:t>
      </w:r>
      <w:r w:rsidR="005C7612" w:rsidRPr="005C7612">
        <w:rPr>
          <w:color w:val="000000"/>
          <w:lang w:val="es-ES_tradnl"/>
        </w:rPr>
        <w:t> </w:t>
      </w:r>
      <w:r w:rsidRPr="005C7612">
        <w:rPr>
          <w:color w:val="000000"/>
          <w:lang w:val="es-ES_tradnl"/>
        </w:rPr>
        <w:t>3.4 del Anexo 1 a la Recomendación UIT-R S.741</w:t>
      </w:r>
      <w:r w:rsidRPr="005C7612">
        <w:rPr>
          <w:color w:val="000000"/>
          <w:lang w:val="es-ES_tradnl"/>
        </w:rPr>
        <w:noBreakHyphen/>
        <w:t>2.</w:t>
      </w:r>
    </w:p>
    <w:p w14:paraId="231E2438" w14:textId="77777777" w:rsidR="00361A40" w:rsidRPr="005C7612" w:rsidRDefault="00361A40">
      <w:pPr>
        <w:rPr>
          <w:color w:val="000000"/>
          <w:lang w:val="es-ES_tradnl"/>
        </w:rPr>
      </w:pPr>
    </w:p>
    <w:p w14:paraId="566033B0" w14:textId="77777777" w:rsidR="00361A40" w:rsidRPr="005C7612" w:rsidRDefault="00361A40">
      <w:pPr>
        <w:pStyle w:val="Heading1"/>
        <w:ind w:left="0" w:firstLine="0"/>
        <w:jc w:val="center"/>
        <w:rPr>
          <w:color w:val="000000"/>
          <w:lang w:val="es-ES_tradnl"/>
        </w:rPr>
      </w:pPr>
      <w:r w:rsidRPr="005C7612">
        <w:rPr>
          <w:b w:val="0"/>
          <w:color w:val="000000"/>
          <w:lang w:val="es-ES_tradnl"/>
        </w:rPr>
        <w:t>ADJUNTO  1</w:t>
      </w:r>
    </w:p>
    <w:p w14:paraId="43ABBB62" w14:textId="3C1AB17D" w:rsidR="00361A40" w:rsidRPr="005C7612" w:rsidRDefault="00361A40">
      <w:pPr>
        <w:pStyle w:val="Heading1"/>
        <w:spacing w:before="200"/>
        <w:ind w:left="0" w:firstLine="0"/>
        <w:jc w:val="center"/>
        <w:rPr>
          <w:color w:val="000000"/>
          <w:lang w:val="es-ES_tradnl"/>
        </w:rPr>
      </w:pPr>
      <w:r w:rsidRPr="005C7612">
        <w:rPr>
          <w:color w:val="000000"/>
          <w:lang w:val="es-ES_tradnl"/>
        </w:rPr>
        <w:t>Algoritmos de cálculo (</w:t>
      </w:r>
      <w:r w:rsidRPr="005C7612">
        <w:rPr>
          <w:i/>
          <w:color w:val="000000"/>
          <w:lang w:val="es-ES_tradnl"/>
        </w:rPr>
        <w:t>M</w:t>
      </w:r>
      <w:r w:rsidRPr="005C7612">
        <w:rPr>
          <w:color w:val="000000"/>
          <w:lang w:val="es-ES_tradnl"/>
        </w:rPr>
        <w:t xml:space="preserv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w:t>
      </w:r>
    </w:p>
    <w:p w14:paraId="2E406D47" w14:textId="62FD0AB6" w:rsidR="00361A40" w:rsidRPr="00741C74" w:rsidRDefault="00361A40" w:rsidP="00AC02D7">
      <w:pPr>
        <w:pStyle w:val="Heading1"/>
        <w:spacing w:before="400"/>
        <w:rPr>
          <w:color w:val="000000"/>
          <w:lang w:val="es-ES_tradnl"/>
        </w:rPr>
      </w:pPr>
      <w:r w:rsidRPr="005C7612">
        <w:rPr>
          <w:color w:val="000000"/>
          <w:lang w:val="es-ES_tradnl"/>
        </w:rPr>
        <w:t>1</w:t>
      </w:r>
      <w:r w:rsidRPr="005C7612">
        <w:rPr>
          <w:color w:val="000000"/>
          <w:lang w:val="es-ES_tradnl"/>
        </w:rPr>
        <w:tab/>
        <w:t>Algoritmo del margen</w:t>
      </w:r>
    </w:p>
    <w:p w14:paraId="78AD0BFD" w14:textId="77777777" w:rsidR="001763B6" w:rsidRPr="002148C9" w:rsidRDefault="001763B6" w:rsidP="001763B6">
      <w:pPr>
        <w:rPr>
          <w:color w:val="000000"/>
          <w:szCs w:val="24"/>
          <w:lang w:val="es-ES"/>
        </w:rPr>
      </w:pPr>
      <w:r w:rsidRPr="002148C9">
        <w:rPr>
          <w:color w:val="000000"/>
          <w:szCs w:val="24"/>
          <w:lang w:val="es-ES"/>
        </w:rPr>
        <w:t xml:space="preserve">Para calcular los márgenes, en primer lugar se necesita determinar el valor requerido de </w:t>
      </w:r>
      <w:r w:rsidRPr="002148C9">
        <w:rPr>
          <w:color w:val="000000"/>
          <w:position w:val="-32"/>
          <w:szCs w:val="24"/>
          <w:lang w:val="es-ES"/>
        </w:rPr>
        <w:object w:dxaOrig="660" w:dyaOrig="720" w14:anchorId="67871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6pt" o:ole="">
            <v:imagedata r:id="rId10" o:title=""/>
          </v:shape>
          <o:OLEObject Type="Embed" ProgID="Equation.3" ShapeID="_x0000_i1025" DrawAspect="Content" ObjectID="_1831207872" r:id="rId11"/>
        </w:object>
      </w:r>
      <w:r w:rsidRPr="002148C9">
        <w:rPr>
          <w:color w:val="000000"/>
          <w:szCs w:val="24"/>
          <w:lang w:val="es-ES"/>
        </w:rPr>
        <w:t xml:space="preserve">, que es función de la relación </w:t>
      </w:r>
      <w:r w:rsidRPr="002148C9">
        <w:rPr>
          <w:i/>
          <w:color w:val="000000"/>
          <w:szCs w:val="24"/>
          <w:lang w:val="es-ES"/>
        </w:rPr>
        <w:t>C</w:t>
      </w:r>
      <w:r w:rsidRPr="002148C9">
        <w:rPr>
          <w:color w:val="000000"/>
          <w:szCs w:val="24"/>
          <w:lang w:val="es-ES"/>
        </w:rPr>
        <w:t>/</w:t>
      </w:r>
      <w:r w:rsidRPr="002148C9">
        <w:rPr>
          <w:i/>
          <w:color w:val="000000"/>
          <w:szCs w:val="24"/>
          <w:lang w:val="es-ES"/>
        </w:rPr>
        <w:t>N</w:t>
      </w:r>
      <w:r w:rsidRPr="002148C9">
        <w:rPr>
          <w:color w:val="000000"/>
          <w:szCs w:val="24"/>
          <w:lang w:val="es-ES"/>
        </w:rPr>
        <w:t xml:space="preserve"> y del factor </w:t>
      </w:r>
      <w:r w:rsidRPr="002148C9">
        <w:rPr>
          <w:i/>
          <w:color w:val="000000"/>
          <w:szCs w:val="24"/>
          <w:lang w:val="es-ES"/>
        </w:rPr>
        <w:t>K</w:t>
      </w:r>
      <w:r w:rsidRPr="002148C9">
        <w:rPr>
          <w:color w:val="000000"/>
          <w:szCs w:val="24"/>
          <w:lang w:val="es-ES"/>
        </w:rPr>
        <w:t>:</w:t>
      </w:r>
    </w:p>
    <w:p w14:paraId="21B1E8E4" w14:textId="77777777" w:rsidR="00ED45F5" w:rsidRPr="00ED45F5" w:rsidRDefault="00ED45F5" w:rsidP="00ED45F5">
      <w:pPr>
        <w:tabs>
          <w:tab w:val="center" w:pos="4536"/>
          <w:tab w:val="right" w:pos="9356"/>
        </w:tabs>
        <w:jc w:val="center"/>
        <w:textAlignment w:val="auto"/>
        <w:rPr>
          <w:rFonts w:asciiTheme="minorHAnsi" w:hAnsiTheme="minorHAnsi" w:cstheme="minorHAnsi"/>
          <w:color w:val="000000"/>
          <w:szCs w:val="24"/>
          <w:lang w:val="es-ES"/>
        </w:rPr>
      </w:pPr>
      <w:r w:rsidRPr="00ED45F5">
        <w:rPr>
          <w:rFonts w:asciiTheme="minorHAnsi" w:hAnsiTheme="minorHAnsi" w:cstheme="minorHAnsi"/>
          <w:color w:val="000000"/>
          <w:position w:val="-32"/>
          <w:szCs w:val="24"/>
          <w:lang w:val="es-ES"/>
        </w:rPr>
        <w:object w:dxaOrig="2079" w:dyaOrig="760" w14:anchorId="442B4DA5">
          <v:shape id="_x0000_i1026" type="#_x0000_t75" style="width:105pt;height:35.25pt" o:ole="">
            <v:imagedata r:id="rId12" o:title=""/>
          </v:shape>
          <o:OLEObject Type="Embed" ProgID="Equation.DSMT4" ShapeID="_x0000_i1026" DrawAspect="Content" ObjectID="_1831207873" r:id="rId13"/>
        </w:object>
      </w:r>
    </w:p>
    <w:p w14:paraId="41402F98" w14:textId="77777777" w:rsidR="001B4924" w:rsidRDefault="001B4924" w:rsidP="001763B6">
      <w:pPr>
        <w:rPr>
          <w:color w:val="000000"/>
          <w:szCs w:val="24"/>
          <w:lang w:val="es-ES"/>
        </w:rPr>
      </w:pPr>
      <w:r>
        <w:rPr>
          <w:color w:val="000000"/>
          <w:szCs w:val="24"/>
          <w:lang w:val="es-ES"/>
        </w:rPr>
        <w:br w:type="page"/>
      </w:r>
    </w:p>
    <w:p w14:paraId="566EBFF8" w14:textId="77777777" w:rsidR="001763B6" w:rsidRPr="002148C9" w:rsidRDefault="001763B6" w:rsidP="001763B6">
      <w:pPr>
        <w:rPr>
          <w:color w:val="000000"/>
          <w:szCs w:val="24"/>
          <w:lang w:val="es-ES"/>
        </w:rPr>
      </w:pPr>
      <w:r w:rsidRPr="002148C9">
        <w:rPr>
          <w:color w:val="000000"/>
          <w:szCs w:val="24"/>
          <w:lang w:val="es-ES"/>
        </w:rPr>
        <w:lastRenderedPageBreak/>
        <w:t>donde:</w:t>
      </w:r>
    </w:p>
    <w:tbl>
      <w:tblPr>
        <w:tblW w:w="0" w:type="auto"/>
        <w:tblInd w:w="-34" w:type="dxa"/>
        <w:tblLayout w:type="fixed"/>
        <w:tblLook w:val="0000" w:firstRow="0" w:lastRow="0" w:firstColumn="0" w:lastColumn="0" w:noHBand="0" w:noVBand="0"/>
      </w:tblPr>
      <w:tblGrid>
        <w:gridCol w:w="1985"/>
        <w:gridCol w:w="7336"/>
      </w:tblGrid>
      <w:tr w:rsidR="001763B6" w:rsidRPr="00244EFF" w14:paraId="2BC54822" w14:textId="77777777" w:rsidTr="001763B6">
        <w:trPr>
          <w:trHeight w:val="696"/>
        </w:trPr>
        <w:tc>
          <w:tcPr>
            <w:tcW w:w="1985" w:type="dxa"/>
            <w:vAlign w:val="center"/>
          </w:tcPr>
          <w:p w14:paraId="71C7808E" w14:textId="77777777" w:rsidR="001763B6" w:rsidRPr="002148C9" w:rsidRDefault="001763B6" w:rsidP="00DF0DD1">
            <w:pPr>
              <w:tabs>
                <w:tab w:val="right" w:pos="1814"/>
              </w:tabs>
              <w:spacing w:before="0"/>
              <w:ind w:left="1985" w:hanging="1985"/>
              <w:jc w:val="right"/>
              <w:rPr>
                <w:color w:val="000000"/>
                <w:szCs w:val="24"/>
                <w:lang w:val="es-ES"/>
              </w:rPr>
            </w:pPr>
            <w:r w:rsidRPr="002148C9">
              <w:rPr>
                <w:color w:val="000000"/>
                <w:position w:val="-32"/>
                <w:szCs w:val="24"/>
                <w:lang w:val="es-ES"/>
              </w:rPr>
              <w:object w:dxaOrig="700" w:dyaOrig="720" w14:anchorId="4C4E7B2C">
                <v:shape id="_x0000_i1027" type="#_x0000_t75" style="width:36pt;height:36pt" o:ole="">
                  <v:imagedata r:id="rId14" o:title=""/>
                </v:shape>
                <o:OLEObject Type="Embed" ProgID="Equation.3" ShapeID="_x0000_i1027" DrawAspect="Content" ObjectID="_1831207874" r:id="rId15"/>
              </w:object>
            </w:r>
          </w:p>
        </w:tc>
        <w:tc>
          <w:tcPr>
            <w:tcW w:w="7336" w:type="dxa"/>
            <w:vAlign w:val="center"/>
          </w:tcPr>
          <w:p w14:paraId="0D9BC445" w14:textId="77777777" w:rsidR="001763B6" w:rsidRPr="002148C9" w:rsidRDefault="001763B6" w:rsidP="00DF0DD1">
            <w:pPr>
              <w:tabs>
                <w:tab w:val="right" w:pos="1814"/>
              </w:tabs>
              <w:spacing w:before="0"/>
              <w:rPr>
                <w:color w:val="000000"/>
                <w:szCs w:val="24"/>
                <w:lang w:val="es-ES"/>
              </w:rPr>
            </w:pPr>
            <w:r w:rsidRPr="002148C9">
              <w:rPr>
                <w:color w:val="000000"/>
                <w:szCs w:val="24"/>
                <w:lang w:val="es-ES"/>
              </w:rPr>
              <w:t>Valor requerido de</w:t>
            </w:r>
            <w:r w:rsidRPr="002148C9">
              <w:rPr>
                <w:i/>
                <w:color w:val="000000"/>
                <w:szCs w:val="24"/>
                <w:lang w:val="es-ES"/>
              </w:rPr>
              <w:t xml:space="preserve"> C</w:t>
            </w:r>
            <w:r w:rsidRPr="002148C9">
              <w:rPr>
                <w:color w:val="000000"/>
                <w:szCs w:val="24"/>
                <w:lang w:val="es-ES"/>
              </w:rPr>
              <w:t>/</w:t>
            </w:r>
            <w:r w:rsidRPr="002148C9">
              <w:rPr>
                <w:i/>
                <w:color w:val="000000"/>
                <w:szCs w:val="24"/>
                <w:lang w:val="es-ES"/>
              </w:rPr>
              <w:t>I</w:t>
            </w:r>
            <w:r w:rsidRPr="002148C9">
              <w:rPr>
                <w:color w:val="000000"/>
                <w:szCs w:val="24"/>
                <w:lang w:val="es-ES"/>
              </w:rPr>
              <w:t xml:space="preserve"> (dB)</w:t>
            </w:r>
          </w:p>
        </w:tc>
      </w:tr>
      <w:tr w:rsidR="00ED45F5" w:rsidRPr="00244EFF" w14:paraId="009D2646" w14:textId="77777777" w:rsidTr="00F835BE">
        <w:tc>
          <w:tcPr>
            <w:tcW w:w="1985" w:type="dxa"/>
          </w:tcPr>
          <w:p w14:paraId="4A6D1B9D" w14:textId="77777777" w:rsidR="00ED45F5" w:rsidRPr="00C006F5" w:rsidRDefault="00ED45F5" w:rsidP="00ED45F5">
            <w:pPr>
              <w:tabs>
                <w:tab w:val="right" w:pos="1742"/>
                <w:tab w:val="right" w:pos="1814"/>
              </w:tabs>
              <w:spacing w:before="0"/>
              <w:ind w:left="1985" w:hanging="1985"/>
              <w:jc w:val="right"/>
              <w:textAlignment w:val="auto"/>
              <w:rPr>
                <w:rFonts w:asciiTheme="majorBidi" w:hAnsiTheme="majorBidi" w:cstheme="majorBidi"/>
                <w:szCs w:val="24"/>
                <w:lang w:val="es-ES"/>
              </w:rPr>
            </w:pPr>
            <w:r w:rsidRPr="00C006F5">
              <w:rPr>
                <w:rFonts w:asciiTheme="majorBidi" w:hAnsiTheme="majorBidi" w:cstheme="majorBidi"/>
                <w:position w:val="-32"/>
                <w:szCs w:val="24"/>
                <w:lang w:val="es-ES"/>
              </w:rPr>
              <w:object w:dxaOrig="800" w:dyaOrig="760" w14:anchorId="79D824B7">
                <v:shape id="_x0000_i1028" type="#_x0000_t75" style="width:41.25pt;height:36.75pt" o:ole="">
                  <v:imagedata r:id="rId16" o:title=""/>
                </v:shape>
                <o:OLEObject Type="Embed" ProgID="Equation.DSMT4" ShapeID="_x0000_i1028" DrawAspect="Content" ObjectID="_1831207875" r:id="rId17"/>
              </w:object>
            </w:r>
          </w:p>
        </w:tc>
        <w:tc>
          <w:tcPr>
            <w:tcW w:w="7336" w:type="dxa"/>
            <w:vAlign w:val="center"/>
          </w:tcPr>
          <w:p w14:paraId="56C93904" w14:textId="77777777" w:rsidR="00ED45F5" w:rsidRPr="00C006F5" w:rsidRDefault="00ED45F5" w:rsidP="00ED45F5">
            <w:pPr>
              <w:pStyle w:val="Tabletext0"/>
              <w:rPr>
                <w:rFonts w:asciiTheme="majorBidi" w:hAnsiTheme="majorBidi" w:cstheme="majorBidi"/>
                <w:color w:val="000000"/>
                <w:sz w:val="24"/>
                <w:szCs w:val="24"/>
                <w:lang w:val="es-ES"/>
              </w:rPr>
            </w:pPr>
            <w:r w:rsidRPr="00C006F5">
              <w:rPr>
                <w:rFonts w:asciiTheme="majorBidi" w:hAnsiTheme="majorBidi" w:cstheme="majorBidi"/>
                <w:sz w:val="24"/>
                <w:szCs w:val="24"/>
                <w:lang w:val="es-ES"/>
              </w:rPr>
              <w:t>relación (dB) entre la potencia de la portadora y del ruido total que incluye todo el ruido interno del sistema y la interferencia procedente de otros sistemas</w:t>
            </w:r>
            <w:r w:rsidRPr="00C006F5">
              <w:rPr>
                <w:rFonts w:asciiTheme="majorBidi" w:hAnsiTheme="majorBidi" w:cstheme="majorBidi"/>
                <w:color w:val="000000"/>
                <w:sz w:val="24"/>
                <w:szCs w:val="24"/>
                <w:lang w:val="es-ES"/>
              </w:rPr>
              <w:t xml:space="preserve"> </w:t>
            </w:r>
          </w:p>
        </w:tc>
      </w:tr>
      <w:tr w:rsidR="001763B6" w:rsidRPr="00244EFF" w14:paraId="017E3319" w14:textId="77777777" w:rsidTr="001763B6">
        <w:tc>
          <w:tcPr>
            <w:tcW w:w="1985" w:type="dxa"/>
          </w:tcPr>
          <w:p w14:paraId="27D1FA69" w14:textId="77777777" w:rsidR="001763B6" w:rsidRPr="00C006F5" w:rsidRDefault="001763B6" w:rsidP="00AC0DD1">
            <w:pPr>
              <w:tabs>
                <w:tab w:val="right" w:pos="1728"/>
                <w:tab w:val="right" w:pos="1814"/>
              </w:tabs>
              <w:ind w:left="1985" w:hanging="1985"/>
              <w:jc w:val="right"/>
              <w:rPr>
                <w:color w:val="000000"/>
                <w:szCs w:val="24"/>
                <w:lang w:val="es-ES"/>
              </w:rPr>
            </w:pPr>
            <w:r w:rsidRPr="00C006F5">
              <w:rPr>
                <w:color w:val="000000"/>
                <w:szCs w:val="24"/>
                <w:lang w:val="es-ES"/>
              </w:rPr>
              <w:tab/>
            </w:r>
            <w:r w:rsidRPr="00C006F5">
              <w:rPr>
                <w:i/>
                <w:color w:val="000000"/>
                <w:szCs w:val="24"/>
                <w:lang w:val="es-ES"/>
              </w:rPr>
              <w:t>K </w:t>
            </w:r>
            <w:r w:rsidRPr="00C006F5">
              <w:rPr>
                <w:color w:val="000000"/>
                <w:szCs w:val="24"/>
                <w:lang w:val="es-ES"/>
              </w:rPr>
              <w:t>:</w:t>
            </w:r>
          </w:p>
        </w:tc>
        <w:tc>
          <w:tcPr>
            <w:tcW w:w="7336" w:type="dxa"/>
          </w:tcPr>
          <w:p w14:paraId="3D8063B7" w14:textId="77777777" w:rsidR="001763B6" w:rsidRPr="00C006F5" w:rsidRDefault="001763B6" w:rsidP="00AC0DD1">
            <w:pPr>
              <w:tabs>
                <w:tab w:val="right" w:pos="1814"/>
              </w:tabs>
              <w:rPr>
                <w:color w:val="000000"/>
                <w:szCs w:val="24"/>
                <w:lang w:val="es-ES"/>
              </w:rPr>
            </w:pPr>
            <w:r w:rsidRPr="00C006F5">
              <w:rPr>
                <w:color w:val="000000"/>
                <w:szCs w:val="24"/>
                <w:lang w:val="es-ES"/>
              </w:rPr>
              <w:t>factor utilizado para calcular la relación requerida</w:t>
            </w:r>
            <w:r w:rsidRPr="00C006F5">
              <w:rPr>
                <w:i/>
                <w:color w:val="000000"/>
                <w:szCs w:val="24"/>
                <w:lang w:val="es-ES"/>
              </w:rPr>
              <w:t xml:space="preserve"> C</w:t>
            </w:r>
            <w:r w:rsidRPr="00C006F5">
              <w:rPr>
                <w:color w:val="000000"/>
                <w:szCs w:val="24"/>
                <w:lang w:val="es-ES"/>
              </w:rPr>
              <w:t>/</w:t>
            </w:r>
            <w:r w:rsidRPr="00C006F5">
              <w:rPr>
                <w:i/>
                <w:color w:val="000000"/>
                <w:szCs w:val="24"/>
                <w:lang w:val="es-ES"/>
              </w:rPr>
              <w:t>I</w:t>
            </w:r>
            <w:r w:rsidRPr="00C006F5">
              <w:rPr>
                <w:color w:val="000000"/>
                <w:szCs w:val="24"/>
                <w:lang w:val="es-ES"/>
              </w:rPr>
              <w:t xml:space="preserve"> (dB). En general será de 14,0 ó 12,2, según las características de modulación de las señales deseadas (véanse las Recomendaciones UIT</w:t>
            </w:r>
            <w:r w:rsidRPr="00C006F5">
              <w:rPr>
                <w:color w:val="000000"/>
                <w:szCs w:val="24"/>
                <w:lang w:val="es-ES"/>
              </w:rPr>
              <w:noBreakHyphen/>
              <w:t>R S.483 y UIT</w:t>
            </w:r>
            <w:r w:rsidRPr="00C006F5">
              <w:rPr>
                <w:color w:val="000000"/>
                <w:szCs w:val="24"/>
                <w:lang w:val="es-ES"/>
              </w:rPr>
              <w:noBreakHyphen/>
              <w:t>R S.523).</w:t>
            </w:r>
          </w:p>
        </w:tc>
      </w:tr>
    </w:tbl>
    <w:p w14:paraId="617AE626" w14:textId="77777777" w:rsidR="00ED45F5" w:rsidRPr="00A955B6" w:rsidRDefault="00ED45F5" w:rsidP="00ED45F5">
      <w:pPr>
        <w:textAlignment w:val="auto"/>
        <w:rPr>
          <w:rFonts w:asciiTheme="majorBidi" w:hAnsiTheme="majorBidi" w:cstheme="majorBidi"/>
          <w:color w:val="000000"/>
          <w:lang w:val="es-ES"/>
        </w:rPr>
      </w:pPr>
      <w:r w:rsidRPr="00A955B6">
        <w:rPr>
          <w:rFonts w:asciiTheme="majorBidi" w:hAnsiTheme="majorBidi" w:cstheme="majorBidi"/>
          <w:color w:val="000000"/>
          <w:lang w:val="es-ES"/>
        </w:rPr>
        <w:t>La relación portadora-ruido total se define de la siguiente forma:</w:t>
      </w:r>
    </w:p>
    <w:p w14:paraId="42DC361E" w14:textId="77777777" w:rsidR="00ED45F5" w:rsidRPr="00A955B6" w:rsidRDefault="00ED45F5" w:rsidP="00ED45F5">
      <w:pPr>
        <w:pStyle w:val="enumlev1"/>
        <w:rPr>
          <w:rFonts w:asciiTheme="majorBidi" w:eastAsia="SimSun" w:hAnsiTheme="majorBidi" w:cstheme="majorBidi"/>
          <w:color w:val="000000"/>
          <w:lang w:val="es-ES" w:eastAsia="zh-CN"/>
        </w:rPr>
      </w:pPr>
      <w:r w:rsidRPr="00A955B6">
        <w:rPr>
          <w:rFonts w:asciiTheme="majorBidi" w:eastAsia="SimSun" w:hAnsiTheme="majorBidi" w:cstheme="majorBidi"/>
          <w:color w:val="000000"/>
          <w:lang w:val="es-ES" w:eastAsia="zh-CN"/>
        </w:rPr>
        <w:t>a)</w:t>
      </w:r>
      <w:r w:rsidRPr="00A955B6">
        <w:rPr>
          <w:rFonts w:asciiTheme="majorBidi" w:eastAsia="SimSun" w:hAnsiTheme="majorBidi" w:cstheme="majorBidi"/>
          <w:color w:val="000000"/>
          <w:lang w:val="es-ES" w:eastAsia="zh-CN"/>
        </w:rPr>
        <w:tab/>
        <w:t>para asignaciones de frecuencias de red recibidas antes del 1 de enero de 2005:</w:t>
      </w:r>
    </w:p>
    <w:p w14:paraId="1514FAF0" w14:textId="77777777" w:rsidR="00ED45F5" w:rsidRPr="00A955B6" w:rsidRDefault="00ED45F5" w:rsidP="00ED45F5">
      <w:pPr>
        <w:pStyle w:val="enumlev2"/>
        <w:rPr>
          <w:rFonts w:asciiTheme="majorBidi" w:eastAsia="SimSun" w:hAnsiTheme="majorBidi" w:cstheme="majorBidi"/>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szCs w:val="24"/>
          <w:lang w:val="es-ES" w:eastAsia="zh-CN"/>
        </w:rPr>
        <w:t>Caso I (definido en la Sección 3):</w:t>
      </w:r>
    </w:p>
    <w:p w14:paraId="60EB7B17" w14:textId="77777777" w:rsidR="00ED45F5" w:rsidRPr="00A955B6" w:rsidRDefault="00ED45F5" w:rsidP="00ED45F5">
      <w:pPr>
        <w:tabs>
          <w:tab w:val="left" w:pos="720"/>
          <w:tab w:val="left" w:pos="1418"/>
        </w:tabs>
        <w:overflowPunct/>
        <w:autoSpaceDE/>
        <w:adjustRightInd/>
        <w:spacing w:after="200" w:line="276" w:lineRule="auto"/>
        <w:contextualSpacing/>
        <w:jc w:val="center"/>
        <w:rPr>
          <w:rFonts w:asciiTheme="majorBidi" w:eastAsia="SimSun" w:hAnsiTheme="majorBidi" w:cstheme="majorBidi"/>
          <w:color w:val="000000"/>
          <w:sz w:val="20"/>
          <w:lang w:val="es-ES" w:eastAsia="zh-CN"/>
        </w:rPr>
      </w:pPr>
      <w:r w:rsidRPr="00A955B6">
        <w:rPr>
          <w:rFonts w:asciiTheme="majorBidi" w:eastAsia="SimSun" w:hAnsiTheme="majorBidi" w:cstheme="majorBidi"/>
          <w:color w:val="000000"/>
          <w:position w:val="-36"/>
          <w:sz w:val="20"/>
          <w:lang w:val="es-ES" w:eastAsia="zh-CN"/>
        </w:rPr>
        <w:object w:dxaOrig="2085" w:dyaOrig="780" w14:anchorId="74058999">
          <v:shape id="_x0000_i1029" type="#_x0000_t75" style="width:105.75pt;height:39.75pt" o:ole="">
            <v:imagedata r:id="rId18" o:title=""/>
          </v:shape>
          <o:OLEObject Type="Embed" ProgID="Equation.DSMT4" ShapeID="_x0000_i1029" DrawAspect="Content" ObjectID="_1831207876" r:id="rId19"/>
        </w:object>
      </w:r>
    </w:p>
    <w:p w14:paraId="44DDFA25" w14:textId="77777777" w:rsidR="00ED45F5" w:rsidRPr="00A955B6" w:rsidRDefault="00ED45F5" w:rsidP="00ED45F5">
      <w:pPr>
        <w:pStyle w:val="enumlev2"/>
        <w:rPr>
          <w:rFonts w:asciiTheme="majorBidi" w:eastAsia="SimSun" w:hAnsiTheme="majorBidi" w:cstheme="majorBidi"/>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szCs w:val="24"/>
          <w:lang w:val="es-ES" w:eastAsia="zh-CN"/>
        </w:rPr>
        <w:t>Caso II:</w:t>
      </w:r>
    </w:p>
    <w:p w14:paraId="12D240A6" w14:textId="77777777" w:rsidR="00ED45F5" w:rsidRPr="00A955B6" w:rsidRDefault="00ED45F5" w:rsidP="00ED45F5">
      <w:pPr>
        <w:ind w:left="916"/>
        <w:jc w:val="center"/>
        <w:rPr>
          <w:rFonts w:asciiTheme="majorBidi" w:hAnsiTheme="majorBidi" w:cstheme="majorBidi"/>
          <w:szCs w:val="24"/>
          <w:lang w:val="es-ES"/>
        </w:rPr>
      </w:pPr>
      <w:r w:rsidRPr="00A955B6">
        <w:rPr>
          <w:rFonts w:asciiTheme="majorBidi" w:hAnsiTheme="majorBidi" w:cstheme="majorBidi"/>
          <w:color w:val="000000"/>
          <w:position w:val="-34"/>
          <w:sz w:val="20"/>
          <w:lang w:val="es-ES"/>
        </w:rPr>
        <w:object w:dxaOrig="3165" w:dyaOrig="780" w14:anchorId="137C9C02">
          <v:shape id="_x0000_i1030" type="#_x0000_t75" style="width:159pt;height:39.75pt" o:ole="">
            <v:imagedata r:id="rId20" o:title=""/>
          </v:shape>
          <o:OLEObject Type="Embed" ProgID="Equation.DSMT4" ShapeID="_x0000_i1030" DrawAspect="Content" ObjectID="_1831207877" r:id="rId21"/>
        </w:object>
      </w:r>
    </w:p>
    <w:p w14:paraId="2706E6AA" w14:textId="77777777" w:rsidR="00ED45F5" w:rsidRPr="00A955B6" w:rsidRDefault="00ED45F5" w:rsidP="00ED45F5">
      <w:pPr>
        <w:pStyle w:val="enumlev1"/>
        <w:rPr>
          <w:rFonts w:asciiTheme="majorBidi" w:eastAsia="SimSun" w:hAnsiTheme="majorBidi" w:cstheme="majorBidi"/>
          <w:color w:val="000000"/>
          <w:szCs w:val="24"/>
          <w:lang w:val="es-ES" w:eastAsia="zh-CN"/>
        </w:rPr>
      </w:pPr>
      <w:r w:rsidRPr="00A955B6">
        <w:rPr>
          <w:rFonts w:asciiTheme="majorBidi" w:eastAsia="SimSun" w:hAnsiTheme="majorBidi" w:cstheme="majorBidi"/>
          <w:color w:val="000000"/>
          <w:lang w:val="es-ES" w:eastAsia="zh-CN"/>
        </w:rPr>
        <w:t>b)</w:t>
      </w:r>
      <w:r w:rsidRPr="00A955B6">
        <w:rPr>
          <w:rFonts w:asciiTheme="majorBidi" w:eastAsia="SimSun" w:hAnsiTheme="majorBidi" w:cstheme="majorBidi"/>
          <w:color w:val="000000"/>
          <w:lang w:val="es-ES" w:eastAsia="zh-CN"/>
        </w:rPr>
        <w:tab/>
        <w:t>para asignaciones de frecuencias de red recibidas a partir del 1 de enero de 2005</w:t>
      </w:r>
      <w:r w:rsidRPr="00A955B6">
        <w:rPr>
          <w:rFonts w:asciiTheme="majorBidi" w:eastAsia="SimSun" w:hAnsiTheme="majorBidi" w:cstheme="majorBidi"/>
          <w:color w:val="000000"/>
          <w:szCs w:val="24"/>
          <w:lang w:val="es-ES" w:eastAsia="zh-CN"/>
        </w:rPr>
        <w:t>:</w:t>
      </w:r>
    </w:p>
    <w:p w14:paraId="4ECBD0BD" w14:textId="77777777" w:rsidR="00ED45F5" w:rsidRPr="00A955B6" w:rsidRDefault="00ED45F5" w:rsidP="00ED45F5">
      <w:pPr>
        <w:pStyle w:val="enumlev2"/>
        <w:rPr>
          <w:rFonts w:asciiTheme="majorBidi" w:eastAsia="SimSun" w:hAnsiTheme="majorBidi" w:cstheme="majorBidi"/>
          <w:color w:val="000000"/>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color w:val="000000"/>
          <w:lang w:val="es-ES" w:eastAsia="zh-CN"/>
        </w:rPr>
        <w:t xml:space="preserve">Caso </w:t>
      </w:r>
      <w:r w:rsidRPr="00A955B6">
        <w:rPr>
          <w:rFonts w:asciiTheme="majorBidi" w:eastAsia="SimSun" w:hAnsiTheme="majorBidi" w:cstheme="majorBidi"/>
          <w:color w:val="000000"/>
          <w:szCs w:val="24"/>
          <w:lang w:val="es-ES" w:eastAsia="zh-CN"/>
        </w:rPr>
        <w:t>I:</w:t>
      </w:r>
    </w:p>
    <w:p w14:paraId="7C13B959" w14:textId="77777777" w:rsidR="00ED45F5" w:rsidRPr="00A955B6" w:rsidRDefault="00ED45F5" w:rsidP="00ED45F5">
      <w:pPr>
        <w:overflowPunct/>
        <w:autoSpaceDE/>
        <w:autoSpaceDN/>
        <w:adjustRightInd/>
        <w:spacing w:after="200" w:line="276" w:lineRule="auto"/>
        <w:ind w:left="1276"/>
        <w:contextualSpacing/>
        <w:jc w:val="center"/>
        <w:textAlignment w:val="auto"/>
        <w:rPr>
          <w:rFonts w:asciiTheme="majorBidi" w:eastAsia="SimSun" w:hAnsiTheme="majorBidi" w:cstheme="majorBidi"/>
          <w:color w:val="000000"/>
          <w:szCs w:val="24"/>
          <w:lang w:val="es-ES" w:eastAsia="zh-CN"/>
        </w:rPr>
      </w:pPr>
      <w:r w:rsidRPr="00A955B6">
        <w:rPr>
          <w:rFonts w:asciiTheme="majorBidi" w:eastAsia="SimSun" w:hAnsiTheme="majorBidi" w:cstheme="majorBidi"/>
          <w:color w:val="000000"/>
          <w:position w:val="-36"/>
          <w:sz w:val="20"/>
          <w:lang w:val="es-ES" w:eastAsia="zh-CN"/>
        </w:rPr>
        <w:object w:dxaOrig="1665" w:dyaOrig="780" w14:anchorId="2E79C215">
          <v:shape id="_x0000_i1031" type="#_x0000_t75" style="width:83.25pt;height:39.75pt" o:ole="">
            <v:imagedata r:id="rId22" o:title=""/>
          </v:shape>
          <o:OLEObject Type="Embed" ProgID="Equation.DSMT4" ShapeID="_x0000_i1031" DrawAspect="Content" ObjectID="_1831207878" r:id="rId23"/>
        </w:object>
      </w:r>
    </w:p>
    <w:p w14:paraId="1BBA919B" w14:textId="77777777" w:rsidR="00ED45F5" w:rsidRPr="00A955B6" w:rsidRDefault="00ED45F5" w:rsidP="00ED45F5">
      <w:pPr>
        <w:pStyle w:val="enumlev2"/>
        <w:rPr>
          <w:rFonts w:asciiTheme="majorBidi" w:eastAsia="SimSun" w:hAnsiTheme="majorBidi" w:cstheme="majorBidi"/>
          <w:szCs w:val="24"/>
          <w:lang w:val="es-ES" w:eastAsia="zh-CN"/>
        </w:rPr>
      </w:pPr>
      <w:r w:rsidRPr="00A955B6">
        <w:rPr>
          <w:rFonts w:asciiTheme="majorBidi" w:eastAsia="SimSun" w:hAnsiTheme="majorBidi" w:cstheme="majorBidi"/>
          <w:lang w:val="es-ES" w:eastAsia="zh-CN"/>
        </w:rPr>
        <w:t>–</w:t>
      </w:r>
      <w:r w:rsidRPr="00A955B6">
        <w:rPr>
          <w:rFonts w:asciiTheme="majorBidi" w:eastAsia="SimSun" w:hAnsiTheme="majorBidi" w:cstheme="majorBidi"/>
          <w:lang w:val="es-ES" w:eastAsia="zh-CN"/>
        </w:rPr>
        <w:tab/>
      </w:r>
      <w:r w:rsidRPr="00A955B6">
        <w:rPr>
          <w:rFonts w:asciiTheme="majorBidi" w:eastAsia="SimSun" w:hAnsiTheme="majorBidi" w:cstheme="majorBidi"/>
          <w:color w:val="000000"/>
          <w:lang w:val="es-ES" w:eastAsia="zh-CN"/>
        </w:rPr>
        <w:t xml:space="preserve">Caso </w:t>
      </w:r>
      <w:r w:rsidRPr="00A955B6">
        <w:rPr>
          <w:rFonts w:asciiTheme="majorBidi" w:eastAsia="SimSun" w:hAnsiTheme="majorBidi" w:cstheme="majorBidi"/>
          <w:szCs w:val="24"/>
          <w:lang w:val="es-ES" w:eastAsia="zh-CN"/>
        </w:rPr>
        <w:t>II:</w:t>
      </w:r>
    </w:p>
    <w:p w14:paraId="5F70ADF7" w14:textId="77777777" w:rsidR="00ED45F5" w:rsidRPr="00A955B6" w:rsidRDefault="00ED45F5" w:rsidP="00ED45F5">
      <w:pPr>
        <w:ind w:left="916"/>
        <w:jc w:val="center"/>
        <w:rPr>
          <w:rFonts w:asciiTheme="majorBidi" w:hAnsiTheme="majorBidi" w:cstheme="majorBidi"/>
          <w:szCs w:val="24"/>
          <w:lang w:val="es-ES"/>
        </w:rPr>
      </w:pPr>
      <w:r w:rsidRPr="00A955B6">
        <w:rPr>
          <w:rFonts w:asciiTheme="majorBidi" w:hAnsiTheme="majorBidi" w:cstheme="majorBidi"/>
          <w:color w:val="000000"/>
          <w:position w:val="-34"/>
          <w:sz w:val="20"/>
          <w:lang w:val="es-ES"/>
        </w:rPr>
        <w:object w:dxaOrig="3090" w:dyaOrig="780" w14:anchorId="101772CD">
          <v:shape id="_x0000_i1032" type="#_x0000_t75" style="width:154.5pt;height:39.75pt" o:ole="">
            <v:imagedata r:id="rId24" o:title=""/>
          </v:shape>
          <o:OLEObject Type="Embed" ProgID="Equation.DSMT4" ShapeID="_x0000_i1032" DrawAspect="Content" ObjectID="_1831207879" r:id="rId25"/>
        </w:object>
      </w:r>
    </w:p>
    <w:p w14:paraId="00CEC197" w14:textId="77777777" w:rsidR="00ED45F5" w:rsidRPr="00A955B6" w:rsidRDefault="00ED45F5" w:rsidP="00ED45F5">
      <w:pPr>
        <w:spacing w:after="120"/>
        <w:rPr>
          <w:rFonts w:asciiTheme="majorBidi" w:hAnsiTheme="majorBidi" w:cstheme="majorBidi"/>
          <w:color w:val="000000"/>
          <w:lang w:val="es-ES"/>
        </w:rPr>
      </w:pPr>
      <w:r w:rsidRPr="00A955B6">
        <w:rPr>
          <w:rFonts w:asciiTheme="majorBidi" w:hAnsiTheme="majorBidi" w:cstheme="majorBidi"/>
          <w:color w:val="000000"/>
          <w:lang w:val="es-ES"/>
        </w:rPr>
        <w:t>siendo:</w:t>
      </w:r>
    </w:p>
    <w:tbl>
      <w:tblPr>
        <w:tblW w:w="9321" w:type="dxa"/>
        <w:tblInd w:w="-34" w:type="dxa"/>
        <w:tblLayout w:type="fixed"/>
        <w:tblLook w:val="04A0" w:firstRow="1" w:lastRow="0" w:firstColumn="1" w:lastColumn="0" w:noHBand="0" w:noVBand="1"/>
      </w:tblPr>
      <w:tblGrid>
        <w:gridCol w:w="1985"/>
        <w:gridCol w:w="7336"/>
      </w:tblGrid>
      <w:tr w:rsidR="00ED45F5" w:rsidRPr="00244EFF" w14:paraId="1000F5C3" w14:textId="77777777" w:rsidTr="00F835BE">
        <w:tc>
          <w:tcPr>
            <w:tcW w:w="1985" w:type="dxa"/>
            <w:hideMark/>
          </w:tcPr>
          <w:p w14:paraId="16E55DB4" w14:textId="77777777" w:rsidR="00ED45F5" w:rsidRPr="00C006F5" w:rsidRDefault="00ED45F5" w:rsidP="00F835BE">
            <w:pPr>
              <w:pStyle w:val="Tabletext0"/>
              <w:jc w:val="right"/>
              <w:rPr>
                <w:rFonts w:asciiTheme="majorBidi" w:hAnsiTheme="majorBidi" w:cstheme="majorBidi"/>
                <w:iCs/>
                <w:color w:val="000000"/>
                <w:sz w:val="24"/>
                <w:szCs w:val="24"/>
                <w:lang w:val="es-ES"/>
              </w:rPr>
            </w:pPr>
            <w:r w:rsidRPr="00C006F5">
              <w:rPr>
                <w:rFonts w:asciiTheme="majorBidi" w:hAnsiTheme="majorBidi" w:cstheme="majorBidi"/>
                <w:i/>
                <w:iCs/>
                <w:color w:val="000000"/>
                <w:sz w:val="24"/>
                <w:szCs w:val="24"/>
                <w:lang w:val="es-ES"/>
              </w:rPr>
              <w:t>X</w:t>
            </w:r>
            <w:r w:rsidRPr="00C006F5">
              <w:rPr>
                <w:rFonts w:asciiTheme="majorBidi" w:hAnsiTheme="majorBidi" w:cstheme="majorBidi"/>
                <w:i/>
                <w:color w:val="000000"/>
                <w:sz w:val="24"/>
                <w:szCs w:val="24"/>
                <w:lang w:val="es-ES"/>
              </w:rPr>
              <w:t> </w:t>
            </w:r>
            <w:r w:rsidRPr="00C006F5">
              <w:rPr>
                <w:rFonts w:asciiTheme="majorBidi" w:hAnsiTheme="majorBidi" w:cstheme="majorBidi"/>
                <w:iCs/>
                <w:color w:val="000000"/>
                <w:sz w:val="24"/>
                <w:szCs w:val="24"/>
                <w:lang w:val="es-ES"/>
              </w:rPr>
              <w:t>:</w:t>
            </w:r>
          </w:p>
        </w:tc>
        <w:tc>
          <w:tcPr>
            <w:tcW w:w="7336" w:type="dxa"/>
            <w:hideMark/>
          </w:tcPr>
          <w:p w14:paraId="78487D6F" w14:textId="77777777" w:rsidR="00ED45F5" w:rsidRPr="00C006F5" w:rsidRDefault="00ED45F5" w:rsidP="00F835BE">
            <w:pPr>
              <w:pStyle w:val="Tabletext0"/>
              <w:rPr>
                <w:rFonts w:asciiTheme="majorBidi" w:hAnsiTheme="majorBidi" w:cstheme="majorBidi"/>
                <w:sz w:val="24"/>
                <w:szCs w:val="24"/>
                <w:lang w:val="es-ES"/>
              </w:rPr>
            </w:pPr>
            <w:r w:rsidRPr="00C006F5">
              <w:rPr>
                <w:rFonts w:asciiTheme="majorBidi" w:hAnsiTheme="majorBidi" w:cstheme="majorBidi"/>
                <w:sz w:val="24"/>
                <w:szCs w:val="24"/>
                <w:lang w:val="es-ES"/>
              </w:rPr>
              <w:t>El margen adicional (véase el Adjunto 2, Secciones 3 a 5) para satisfacer la definición de relación entre portadora y potencia total de ruido, con inclusión de todo el ruido interno del sistema y la interferencia de otros sistemas. En el Adjunto 2 figura la metodología utilizada para obtener el margen adicional.</w:t>
            </w:r>
          </w:p>
        </w:tc>
      </w:tr>
      <w:tr w:rsidR="00ED45F5" w:rsidRPr="00244EFF" w14:paraId="72C9892B" w14:textId="77777777" w:rsidTr="00F835BE">
        <w:tc>
          <w:tcPr>
            <w:tcW w:w="1985" w:type="dxa"/>
          </w:tcPr>
          <w:p w14:paraId="0FE10166" w14:textId="77777777" w:rsidR="00ED45F5" w:rsidRPr="00DC1E0E" w:rsidRDefault="00ED45F5" w:rsidP="00F835BE">
            <w:pPr>
              <w:pStyle w:val="Tabletext0"/>
              <w:jc w:val="right"/>
              <w:rPr>
                <w:rFonts w:asciiTheme="majorBidi" w:hAnsiTheme="majorBidi" w:cstheme="majorBidi"/>
                <w:color w:val="000000"/>
                <w:sz w:val="24"/>
                <w:szCs w:val="24"/>
                <w:lang w:val="es-ES"/>
              </w:rPr>
            </w:pPr>
            <w:r w:rsidRPr="00C006F5">
              <w:rPr>
                <w:rFonts w:asciiTheme="majorBidi" w:hAnsiTheme="majorBidi" w:cstheme="majorBidi"/>
                <w:i/>
                <w:color w:val="000000"/>
                <w:sz w:val="24"/>
                <w:szCs w:val="24"/>
                <w:lang w:val="es-ES"/>
              </w:rPr>
              <w:t>C</w:t>
            </w:r>
            <w:r w:rsidRPr="00C006F5">
              <w:rPr>
                <w:rFonts w:asciiTheme="majorBidi" w:hAnsiTheme="majorBidi" w:cstheme="majorBidi"/>
                <w:color w:val="000000"/>
                <w:sz w:val="24"/>
                <w:szCs w:val="24"/>
                <w:lang w:val="es-ES"/>
              </w:rPr>
              <w:t>/</w:t>
            </w:r>
            <w:r w:rsidRPr="00C006F5">
              <w:rPr>
                <w:rFonts w:asciiTheme="majorBidi" w:hAnsiTheme="majorBidi" w:cstheme="majorBidi"/>
                <w:i/>
                <w:color w:val="000000"/>
                <w:sz w:val="24"/>
                <w:szCs w:val="24"/>
                <w:lang w:val="es-ES"/>
              </w:rPr>
              <w:t>N</w:t>
            </w:r>
            <w:r w:rsidRPr="00C006F5">
              <w:rPr>
                <w:rFonts w:asciiTheme="majorBidi" w:hAnsiTheme="majorBidi" w:cstheme="majorBidi"/>
                <w:i/>
                <w:iCs/>
                <w:color w:val="000000"/>
                <w:sz w:val="24"/>
                <w:szCs w:val="24"/>
                <w:vertAlign w:val="subscript"/>
                <w:lang w:val="es-ES"/>
              </w:rPr>
              <w:t>i</w:t>
            </w:r>
            <w:r w:rsidR="00DC1E0E" w:rsidRPr="00C006F5">
              <w:rPr>
                <w:rFonts w:asciiTheme="majorBidi" w:hAnsiTheme="majorBidi" w:cstheme="majorBidi"/>
                <w:iCs/>
                <w:color w:val="000000"/>
                <w:sz w:val="24"/>
                <w:szCs w:val="24"/>
                <w:lang w:val="es-ES"/>
              </w:rPr>
              <w:t>:</w:t>
            </w:r>
          </w:p>
        </w:tc>
        <w:tc>
          <w:tcPr>
            <w:tcW w:w="7336" w:type="dxa"/>
          </w:tcPr>
          <w:p w14:paraId="45FF6B70" w14:textId="77777777" w:rsidR="00ED45F5" w:rsidRPr="00C006F5" w:rsidRDefault="00ED45F5" w:rsidP="00F835BE">
            <w:pPr>
              <w:pStyle w:val="Tabletext0"/>
              <w:rPr>
                <w:rFonts w:asciiTheme="majorBidi" w:hAnsiTheme="majorBidi" w:cstheme="majorBidi"/>
                <w:color w:val="000000"/>
                <w:sz w:val="24"/>
                <w:szCs w:val="24"/>
                <w:lang w:val="es-ES"/>
              </w:rPr>
            </w:pPr>
            <w:r w:rsidRPr="00C006F5">
              <w:rPr>
                <w:rFonts w:asciiTheme="majorBidi" w:hAnsiTheme="majorBidi" w:cstheme="majorBidi"/>
                <w:color w:val="000000"/>
                <w:sz w:val="24"/>
                <w:szCs w:val="24"/>
                <w:lang w:val="es-ES"/>
              </w:rPr>
              <w:t>Valor calculado de la relación portadora/ruido, sobre la base de la potencia de ruido interno del sistema que se define en la Sección 3 siguiente.</w:t>
            </w:r>
          </w:p>
        </w:tc>
      </w:tr>
      <w:tr w:rsidR="00ED45F5" w:rsidRPr="00244EFF" w14:paraId="2A6A2EB4" w14:textId="77777777" w:rsidTr="00F835BE">
        <w:tc>
          <w:tcPr>
            <w:tcW w:w="1985" w:type="dxa"/>
          </w:tcPr>
          <w:p w14:paraId="71731BB7" w14:textId="77777777" w:rsidR="00ED45F5" w:rsidRPr="00DC1E0E" w:rsidRDefault="00ED45F5" w:rsidP="00F835BE">
            <w:pPr>
              <w:pStyle w:val="Tabletext0"/>
              <w:jc w:val="right"/>
              <w:rPr>
                <w:rFonts w:asciiTheme="majorBidi" w:hAnsiTheme="majorBidi" w:cstheme="majorBidi"/>
                <w:color w:val="000000"/>
                <w:sz w:val="24"/>
                <w:szCs w:val="24"/>
                <w:lang w:val="es-ES"/>
              </w:rPr>
            </w:pPr>
            <w:r w:rsidRPr="00C006F5">
              <w:rPr>
                <w:rFonts w:asciiTheme="majorBidi" w:hAnsiTheme="majorBidi" w:cstheme="majorBidi"/>
                <w:i/>
                <w:color w:val="000000"/>
                <w:sz w:val="24"/>
                <w:szCs w:val="24"/>
                <w:lang w:val="es-ES"/>
              </w:rPr>
              <w:t>(C</w:t>
            </w:r>
            <w:r w:rsidRPr="00C006F5">
              <w:rPr>
                <w:rFonts w:asciiTheme="majorBidi" w:hAnsiTheme="majorBidi" w:cstheme="majorBidi"/>
                <w:color w:val="000000"/>
                <w:sz w:val="24"/>
                <w:szCs w:val="24"/>
                <w:lang w:val="es-ES"/>
              </w:rPr>
              <w:t>/</w:t>
            </w:r>
            <w:r w:rsidRPr="00C006F5">
              <w:rPr>
                <w:rFonts w:asciiTheme="majorBidi" w:hAnsiTheme="majorBidi" w:cstheme="majorBidi"/>
                <w:i/>
                <w:color w:val="000000"/>
                <w:sz w:val="24"/>
                <w:szCs w:val="24"/>
                <w:lang w:val="es-ES"/>
              </w:rPr>
              <w:t>N)</w:t>
            </w:r>
            <w:r w:rsidRPr="00C006F5">
              <w:rPr>
                <w:rFonts w:asciiTheme="majorBidi" w:hAnsiTheme="majorBidi" w:cstheme="majorBidi"/>
                <w:i/>
                <w:iCs/>
                <w:color w:val="000000"/>
                <w:sz w:val="24"/>
                <w:szCs w:val="24"/>
                <w:vertAlign w:val="subscript"/>
                <w:lang w:val="es-ES"/>
              </w:rPr>
              <w:t>obj</w:t>
            </w:r>
            <w:r w:rsidR="00DC1E0E" w:rsidRPr="00C006F5">
              <w:rPr>
                <w:rFonts w:asciiTheme="majorBidi" w:hAnsiTheme="majorBidi" w:cstheme="majorBidi"/>
                <w:iCs/>
                <w:color w:val="000000"/>
                <w:sz w:val="24"/>
                <w:szCs w:val="24"/>
                <w:lang w:val="es-ES"/>
              </w:rPr>
              <w:t>:</w:t>
            </w:r>
          </w:p>
        </w:tc>
        <w:tc>
          <w:tcPr>
            <w:tcW w:w="7336" w:type="dxa"/>
          </w:tcPr>
          <w:p w14:paraId="67FB2FEB" w14:textId="77777777" w:rsidR="00ED45F5" w:rsidRPr="00C006F5" w:rsidRDefault="00ED45F5" w:rsidP="00F835BE">
            <w:pPr>
              <w:pStyle w:val="Tabletext0"/>
              <w:rPr>
                <w:rFonts w:asciiTheme="majorBidi" w:hAnsiTheme="majorBidi" w:cstheme="majorBidi"/>
                <w:color w:val="000000"/>
                <w:sz w:val="24"/>
                <w:szCs w:val="24"/>
                <w:lang w:val="es-ES"/>
              </w:rPr>
            </w:pPr>
            <w:r w:rsidRPr="00C006F5">
              <w:rPr>
                <w:rFonts w:asciiTheme="majorBidi" w:hAnsiTheme="majorBidi" w:cstheme="majorBidi"/>
                <w:sz w:val="24"/>
                <w:szCs w:val="24"/>
                <w:lang w:val="es-ES"/>
              </w:rPr>
              <w:t>Valor objetivo de la relación</w:t>
            </w:r>
            <w:r w:rsidRPr="00C006F5">
              <w:rPr>
                <w:rFonts w:asciiTheme="majorBidi" w:hAnsiTheme="majorBidi" w:cstheme="majorBidi"/>
                <w:i/>
                <w:iCs/>
                <w:sz w:val="24"/>
                <w:szCs w:val="24"/>
                <w:lang w:val="es-ES"/>
              </w:rPr>
              <w:t xml:space="preserve"> C</w:t>
            </w:r>
            <w:r w:rsidRPr="00DB2B06">
              <w:rPr>
                <w:rFonts w:asciiTheme="majorBidi" w:hAnsiTheme="majorBidi" w:cstheme="majorBidi"/>
                <w:sz w:val="24"/>
                <w:szCs w:val="24"/>
                <w:lang w:val="es-ES"/>
              </w:rPr>
              <w:t>/</w:t>
            </w:r>
            <w:r w:rsidRPr="00C006F5">
              <w:rPr>
                <w:rFonts w:asciiTheme="majorBidi" w:hAnsiTheme="majorBidi" w:cstheme="majorBidi"/>
                <w:i/>
                <w:iCs/>
                <w:sz w:val="24"/>
                <w:szCs w:val="24"/>
                <w:lang w:val="es-ES"/>
              </w:rPr>
              <w:t>N</w:t>
            </w:r>
            <w:r w:rsidRPr="00C006F5">
              <w:rPr>
                <w:rFonts w:asciiTheme="majorBidi" w:hAnsiTheme="majorBidi" w:cstheme="majorBidi"/>
                <w:sz w:val="24"/>
                <w:szCs w:val="24"/>
                <w:lang w:val="es-ES"/>
              </w:rPr>
              <w:t xml:space="preserve"> de la red (véase el punto C.8.e.1 del Anexo 2 del Apéndice </w:t>
            </w:r>
            <w:r w:rsidRPr="00C006F5">
              <w:rPr>
                <w:rFonts w:asciiTheme="majorBidi" w:hAnsiTheme="majorBidi" w:cstheme="majorBidi"/>
                <w:b/>
                <w:sz w:val="24"/>
                <w:szCs w:val="24"/>
                <w:lang w:val="es-ES"/>
              </w:rPr>
              <w:t>4</w:t>
            </w:r>
            <w:r w:rsidRPr="00C006F5">
              <w:rPr>
                <w:rFonts w:asciiTheme="majorBidi" w:hAnsiTheme="majorBidi" w:cstheme="majorBidi"/>
                <w:sz w:val="24"/>
                <w:szCs w:val="24"/>
                <w:lang w:val="es-ES"/>
              </w:rPr>
              <w:t xml:space="preserve">) presentado por la administración notificante para su examen con arreglo al número </w:t>
            </w:r>
            <w:r w:rsidRPr="00C006F5">
              <w:rPr>
                <w:rFonts w:asciiTheme="majorBidi" w:hAnsiTheme="majorBidi" w:cstheme="majorBidi"/>
                <w:b/>
                <w:sz w:val="24"/>
                <w:szCs w:val="24"/>
                <w:lang w:val="es-ES"/>
              </w:rPr>
              <w:t>11.32A</w:t>
            </w:r>
            <w:r w:rsidRPr="00C006F5">
              <w:rPr>
                <w:rFonts w:asciiTheme="majorBidi" w:hAnsiTheme="majorBidi" w:cstheme="majorBidi"/>
                <w:bCs/>
                <w:sz w:val="24"/>
                <w:szCs w:val="24"/>
                <w:lang w:val="es-ES"/>
              </w:rPr>
              <w:t>.</w:t>
            </w:r>
          </w:p>
        </w:tc>
      </w:tr>
    </w:tbl>
    <w:p w14:paraId="468E6B2F" w14:textId="77777777" w:rsidR="001763B6" w:rsidRPr="002148C9" w:rsidRDefault="001763B6" w:rsidP="001763B6">
      <w:pPr>
        <w:rPr>
          <w:color w:val="000000"/>
          <w:szCs w:val="24"/>
          <w:lang w:val="es-ES"/>
        </w:rPr>
      </w:pPr>
      <w:r w:rsidRPr="002148C9">
        <w:rPr>
          <w:color w:val="000000"/>
          <w:szCs w:val="24"/>
          <w:lang w:val="es-ES"/>
        </w:rPr>
        <w:lastRenderedPageBreak/>
        <w:t xml:space="preserve">Dado que </w:t>
      </w:r>
      <w:r w:rsidRPr="002148C9">
        <w:rPr>
          <w:color w:val="000000"/>
          <w:position w:val="-32"/>
          <w:szCs w:val="24"/>
          <w:lang w:val="es-ES"/>
        </w:rPr>
        <w:object w:dxaOrig="660" w:dyaOrig="720" w14:anchorId="6E9BEDC6">
          <v:shape id="_x0000_i1033" type="#_x0000_t75" style="width:31.5pt;height:36pt" o:ole="">
            <v:imagedata r:id="rId26" o:title=""/>
          </v:shape>
          <o:OLEObject Type="Embed" ProgID="Equation.3" ShapeID="_x0000_i1033" DrawAspect="Content" ObjectID="_1831207880" r:id="rId27"/>
        </w:object>
      </w:r>
      <w:r w:rsidRPr="002148C9">
        <w:rPr>
          <w:rFonts w:ascii="Tms Rmn" w:hAnsi="Tms Rmn"/>
          <w:color w:val="000000"/>
          <w:szCs w:val="24"/>
          <w:lang w:val="es-ES"/>
        </w:rPr>
        <w:t> y</w:t>
      </w:r>
      <w:r w:rsidRPr="002148C9">
        <w:rPr>
          <w:color w:val="000000"/>
          <w:szCs w:val="24"/>
          <w:lang w:val="es-ES"/>
        </w:rPr>
        <w:t xml:space="preserve"> </w:t>
      </w:r>
      <w:r w:rsidRPr="002148C9">
        <w:rPr>
          <w:color w:val="000000"/>
          <w:position w:val="-32"/>
          <w:szCs w:val="24"/>
          <w:lang w:val="es-ES"/>
        </w:rPr>
        <w:object w:dxaOrig="620" w:dyaOrig="720" w14:anchorId="6EFDB3D2">
          <v:shape id="_x0000_i1034" type="#_x0000_t75" style="width:30.75pt;height:36pt" o:ole="">
            <v:imagedata r:id="rId28" o:title=""/>
          </v:shape>
          <o:OLEObject Type="Embed" ProgID="Equation.3" ShapeID="_x0000_i1034" DrawAspect="Content" ObjectID="_1831207881" r:id="rId29"/>
        </w:object>
      </w:r>
      <w:r w:rsidRPr="002148C9">
        <w:rPr>
          <w:rFonts w:ascii="Tms Rmn" w:hAnsi="Tms Rmn"/>
          <w:color w:val="000000"/>
          <w:szCs w:val="24"/>
          <w:lang w:val="es-ES"/>
        </w:rPr>
        <w:t> variarán dependiendo del emplazamiento geográfico en la zona de servicio</w:t>
      </w:r>
      <w:r w:rsidR="008D2076">
        <w:rPr>
          <w:rFonts w:ascii="Tms Rmn" w:hAnsi="Tms Rmn"/>
          <w:color w:val="000000"/>
          <w:szCs w:val="24"/>
          <w:lang w:val="es-ES"/>
        </w:rPr>
        <w:t>,</w:t>
      </w:r>
      <w:r w:rsidRPr="002148C9">
        <w:rPr>
          <w:rFonts w:ascii="Tms Rmn" w:hAnsi="Tms Rmn"/>
          <w:color w:val="000000"/>
          <w:szCs w:val="24"/>
          <w:lang w:val="es-ES"/>
        </w:rPr>
        <w:t xml:space="preserve"> se calculan ambos valores</w:t>
      </w:r>
      <w:r w:rsidRPr="002148C9">
        <w:rPr>
          <w:color w:val="000000"/>
          <w:szCs w:val="24"/>
          <w:lang w:val="es-ES"/>
        </w:rPr>
        <w:t>:</w:t>
      </w:r>
    </w:p>
    <w:p w14:paraId="60B2C1F7" w14:textId="77777777" w:rsidR="001763B6" w:rsidRPr="002148C9" w:rsidRDefault="001763B6" w:rsidP="001763B6">
      <w:pPr>
        <w:tabs>
          <w:tab w:val="left" w:pos="2608"/>
          <w:tab w:val="left" w:pos="3345"/>
        </w:tabs>
        <w:ind w:left="454" w:hanging="454"/>
        <w:rPr>
          <w:color w:val="000000"/>
          <w:szCs w:val="24"/>
          <w:lang w:val="es-ES"/>
        </w:rPr>
      </w:pPr>
      <w:r w:rsidRPr="002148C9">
        <w:rPr>
          <w:color w:val="000000"/>
          <w:szCs w:val="24"/>
          <w:lang w:val="es-ES"/>
        </w:rPr>
        <w:t>–</w:t>
      </w:r>
      <w:r w:rsidRPr="002148C9">
        <w:rPr>
          <w:color w:val="000000"/>
          <w:szCs w:val="24"/>
          <w:lang w:val="es-ES"/>
        </w:rPr>
        <w:tab/>
        <w:t>en los emplazamientos geográficos de las estaciones terrenas específicas asociadas, de haberlas, o</w:t>
      </w:r>
    </w:p>
    <w:p w14:paraId="44C7FD0B" w14:textId="6D57677C" w:rsidR="001763B6" w:rsidRPr="00E2309A" w:rsidRDefault="001763B6" w:rsidP="00AC02D7">
      <w:pPr>
        <w:tabs>
          <w:tab w:val="left" w:pos="2608"/>
          <w:tab w:val="left" w:pos="3345"/>
        </w:tabs>
        <w:ind w:left="454" w:hanging="454"/>
        <w:rPr>
          <w:lang w:val="es-ES"/>
        </w:rPr>
      </w:pPr>
      <w:r w:rsidRPr="002148C9">
        <w:rPr>
          <w:color w:val="000000"/>
          <w:szCs w:val="24"/>
          <w:lang w:val="es-ES"/>
        </w:rPr>
        <w:t>–</w:t>
      </w:r>
      <w:r w:rsidRPr="002148C9">
        <w:rPr>
          <w:color w:val="000000"/>
          <w:szCs w:val="24"/>
          <w:lang w:val="es-ES"/>
        </w:rPr>
        <w:tab/>
        <w:t xml:space="preserve">en el caso de estaciones terrenas típicas asociadas, en el punto de prueba situado dentro de la zona de servicio en la que el valor </w:t>
      </w:r>
      <w:r w:rsidRPr="002148C9">
        <w:rPr>
          <w:color w:val="000000"/>
          <w:position w:val="-32"/>
          <w:szCs w:val="24"/>
          <w:lang w:val="es-ES"/>
        </w:rPr>
        <w:object w:dxaOrig="620" w:dyaOrig="720" w14:anchorId="15E878E7">
          <v:shape id="_x0000_i1035" type="#_x0000_t75" style="width:30.75pt;height:36pt" o:ole="">
            <v:imagedata r:id="rId28" o:title=""/>
          </v:shape>
          <o:OLEObject Type="Embed" ProgID="Equation.3" ShapeID="_x0000_i1035" DrawAspect="Content" ObjectID="_1831207882" r:id="rId30"/>
        </w:object>
      </w:r>
      <w:r w:rsidRPr="002148C9">
        <w:rPr>
          <w:color w:val="000000"/>
          <w:szCs w:val="24"/>
          <w:lang w:val="es-ES"/>
        </w:rPr>
        <w:t xml:space="preserve"> es mínimo, de conformidad con el método indicado en el Adjunto 3.</w:t>
      </w:r>
    </w:p>
    <w:p w14:paraId="47436071" w14:textId="77777777" w:rsidR="00F57B3C" w:rsidRPr="005C7612" w:rsidRDefault="00F57B3C" w:rsidP="00F57B3C">
      <w:pPr>
        <w:rPr>
          <w:color w:val="000000"/>
          <w:lang w:val="es-ES_tradnl"/>
        </w:rPr>
      </w:pPr>
      <w:r w:rsidRPr="005C7612">
        <w:rPr>
          <w:color w:val="000000"/>
          <w:lang w:val="es-ES_tradnl"/>
        </w:rPr>
        <w:t xml:space="preserve">El margen es la diferencia entre el valor calculado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y el valor  requerido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w:t>
      </w:r>
    </w:p>
    <w:p w14:paraId="7ED7B9E5" w14:textId="77777777" w:rsidR="00F57B3C" w:rsidRPr="005C7612" w:rsidRDefault="00F57B3C" w:rsidP="00F57B3C">
      <w:pPr>
        <w:pStyle w:val="Equation"/>
        <w:tabs>
          <w:tab w:val="center" w:pos="4536"/>
        </w:tabs>
        <w:rPr>
          <w:color w:val="000000"/>
          <w:lang w:val="es-ES_tradnl"/>
        </w:rPr>
      </w:pPr>
      <w:r w:rsidRPr="005C7612">
        <w:rPr>
          <w:color w:val="000000"/>
          <w:lang w:val="es-ES_tradnl"/>
        </w:rPr>
        <w:tab/>
      </w:r>
      <w:r w:rsidRPr="005C7612">
        <w:rPr>
          <w:color w:val="000000"/>
          <w:lang w:val="es-ES_tradnl"/>
        </w:rPr>
        <w:tab/>
      </w:r>
      <w:r w:rsidRPr="005C7612">
        <w:rPr>
          <w:i/>
          <w:color w:val="000000"/>
          <w:lang w:val="es-ES_tradnl"/>
        </w:rPr>
        <w:t>M</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w:t>
      </w:r>
      <w:r w:rsidRPr="005C7612">
        <w:rPr>
          <w:color w:val="000000"/>
          <w:position w:val="-32"/>
          <w:sz w:val="20"/>
          <w:lang w:val="es-ES_tradnl"/>
        </w:rPr>
        <w:object w:dxaOrig="1560" w:dyaOrig="720" w14:anchorId="1272E1E7">
          <v:shape id="_x0000_i1036" type="#_x0000_t75" style="width:78pt;height:36pt" o:ole="">
            <v:imagedata r:id="rId31" o:title=""/>
          </v:shape>
          <o:OLEObject Type="Embed" ProgID="Equation.3" ShapeID="_x0000_i1036" DrawAspect="Content" ObjectID="_1831207883" r:id="rId32"/>
        </w:object>
      </w:r>
    </w:p>
    <w:p w14:paraId="35038725" w14:textId="77777777" w:rsidR="00F57B3C" w:rsidRPr="005C7612" w:rsidRDefault="00F57B3C" w:rsidP="00F57B3C">
      <w:pPr>
        <w:rPr>
          <w:lang w:val="es-ES_tradnl"/>
        </w:rPr>
      </w:pPr>
      <w:r w:rsidRPr="005C7612">
        <w:rPr>
          <w:lang w:val="es-ES_tradnl"/>
        </w:rPr>
        <w:t>donde:</w:t>
      </w:r>
    </w:p>
    <w:tbl>
      <w:tblPr>
        <w:tblW w:w="0" w:type="auto"/>
        <w:tblInd w:w="-34" w:type="dxa"/>
        <w:tblLayout w:type="fixed"/>
        <w:tblLook w:val="0000" w:firstRow="0" w:lastRow="0" w:firstColumn="0" w:lastColumn="0" w:noHBand="0" w:noVBand="0"/>
      </w:tblPr>
      <w:tblGrid>
        <w:gridCol w:w="1892"/>
        <w:gridCol w:w="7429"/>
      </w:tblGrid>
      <w:tr w:rsidR="00F57B3C" w:rsidRPr="005C7612" w14:paraId="30BE4F7E" w14:textId="77777777" w:rsidTr="00AC0DD1">
        <w:tc>
          <w:tcPr>
            <w:tcW w:w="1892" w:type="dxa"/>
            <w:vAlign w:val="center"/>
          </w:tcPr>
          <w:p w14:paraId="63646125" w14:textId="77777777" w:rsidR="00F57B3C" w:rsidRPr="005C7612" w:rsidRDefault="00F57B3C" w:rsidP="00AC0DD1">
            <w:pPr>
              <w:pStyle w:val="Equationlegend0"/>
              <w:rPr>
                <w:color w:val="000000"/>
                <w:lang w:val="es-ES_tradnl"/>
              </w:rPr>
            </w:pPr>
            <w:r w:rsidRPr="005C7612">
              <w:rPr>
                <w:i/>
                <w:color w:val="000000"/>
                <w:lang w:val="es-ES_tradnl"/>
              </w:rPr>
              <w:tab/>
              <w:t>M</w:t>
            </w:r>
            <w:r w:rsidRPr="005C7612">
              <w:rPr>
                <w:i/>
                <w:color w:val="000000"/>
                <w:sz w:val="12"/>
                <w:lang w:val="es-ES_tradnl"/>
              </w:rPr>
              <w:t> </w:t>
            </w:r>
            <w:r w:rsidRPr="005C7612">
              <w:rPr>
                <w:color w:val="000000"/>
                <w:lang w:val="es-ES_tradnl"/>
              </w:rPr>
              <w:t>:</w:t>
            </w:r>
          </w:p>
        </w:tc>
        <w:tc>
          <w:tcPr>
            <w:tcW w:w="7429" w:type="dxa"/>
            <w:vAlign w:val="center"/>
          </w:tcPr>
          <w:p w14:paraId="1CEFA5F4" w14:textId="77777777" w:rsidR="00F57B3C" w:rsidRPr="005C7612" w:rsidRDefault="00F57B3C" w:rsidP="00AC0DD1">
            <w:pPr>
              <w:pStyle w:val="Equationlegend0"/>
              <w:ind w:left="0" w:firstLine="0"/>
              <w:rPr>
                <w:color w:val="000000"/>
                <w:lang w:val="es-ES_tradnl"/>
              </w:rPr>
            </w:pPr>
            <w:r w:rsidRPr="005C7612">
              <w:rPr>
                <w:color w:val="000000"/>
                <w:lang w:val="es-ES_tradnl"/>
              </w:rPr>
              <w:t>margen (dB)</w:t>
            </w:r>
          </w:p>
        </w:tc>
      </w:tr>
      <w:tr w:rsidR="00F57B3C" w:rsidRPr="00244EFF" w14:paraId="1C0BFC90" w14:textId="77777777" w:rsidTr="00AC0DD1">
        <w:tc>
          <w:tcPr>
            <w:tcW w:w="1892" w:type="dxa"/>
            <w:vAlign w:val="center"/>
          </w:tcPr>
          <w:p w14:paraId="0FFC640D" w14:textId="77777777" w:rsidR="00F57B3C" w:rsidRPr="005C7612" w:rsidRDefault="00F57B3C" w:rsidP="00AC0DD1">
            <w:pPr>
              <w:pStyle w:val="Equationlegend0"/>
              <w:rPr>
                <w:color w:val="000000"/>
                <w:lang w:val="es-ES_tradnl"/>
              </w:rPr>
            </w:pPr>
            <w:r w:rsidRPr="005C7612">
              <w:rPr>
                <w:color w:val="000000"/>
                <w:lang w:val="es-ES_tradnl"/>
              </w:rPr>
              <w:tab/>
            </w:r>
            <w:r w:rsidRPr="005C7612">
              <w:rPr>
                <w:color w:val="000000"/>
                <w:position w:val="-32"/>
                <w:sz w:val="20"/>
                <w:lang w:val="es-ES_tradnl"/>
              </w:rPr>
              <w:object w:dxaOrig="700" w:dyaOrig="720" w14:anchorId="5C51264B">
                <v:shape id="_x0000_i1037" type="#_x0000_t75" style="width:34.5pt;height:36pt" o:ole="">
                  <v:imagedata r:id="rId33" o:title=""/>
                </v:shape>
                <o:OLEObject Type="Embed" ProgID="Equation.3" ShapeID="_x0000_i1037" DrawAspect="Content" ObjectID="_1831207884" r:id="rId34"/>
              </w:object>
            </w:r>
          </w:p>
        </w:tc>
        <w:tc>
          <w:tcPr>
            <w:tcW w:w="7429" w:type="dxa"/>
            <w:vAlign w:val="center"/>
          </w:tcPr>
          <w:p w14:paraId="609700F1" w14:textId="77777777" w:rsidR="00F57B3C" w:rsidRPr="005C7612" w:rsidRDefault="00F57B3C" w:rsidP="00AC0DD1">
            <w:pPr>
              <w:pStyle w:val="Equationlegend0"/>
              <w:spacing w:before="320"/>
              <w:ind w:left="0" w:firstLine="0"/>
              <w:rPr>
                <w:color w:val="000000"/>
                <w:lang w:val="es-ES_tradnl"/>
              </w:rPr>
            </w:pPr>
            <w:r w:rsidRPr="005C7612">
              <w:rPr>
                <w:color w:val="000000"/>
                <w:lang w:val="es-ES_tradnl"/>
              </w:rPr>
              <w:t xml:space="preserve">valor ajustado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tomando en cuenta el factor de ajuste de la interferencia (dB)</w:t>
            </w:r>
          </w:p>
        </w:tc>
      </w:tr>
      <w:tr w:rsidR="00F57B3C" w:rsidRPr="00244EFF" w14:paraId="36ACCE8C" w14:textId="77777777" w:rsidTr="00AC0DD1">
        <w:tc>
          <w:tcPr>
            <w:tcW w:w="1892" w:type="dxa"/>
            <w:vAlign w:val="center"/>
          </w:tcPr>
          <w:p w14:paraId="12E4E014" w14:textId="77777777" w:rsidR="00F57B3C" w:rsidRPr="005C7612" w:rsidRDefault="00F57B3C" w:rsidP="00AC0DD1">
            <w:pPr>
              <w:pStyle w:val="Equationlegend0"/>
              <w:rPr>
                <w:color w:val="000000"/>
                <w:lang w:val="es-ES_tradnl"/>
              </w:rPr>
            </w:pPr>
            <w:r w:rsidRPr="005C7612">
              <w:rPr>
                <w:color w:val="000000"/>
                <w:lang w:val="es-ES_tradnl"/>
              </w:rPr>
              <w:tab/>
            </w:r>
            <w:r w:rsidRPr="005C7612">
              <w:rPr>
                <w:color w:val="000000"/>
                <w:position w:val="-32"/>
                <w:sz w:val="20"/>
                <w:lang w:val="es-ES_tradnl"/>
              </w:rPr>
              <w:object w:dxaOrig="720" w:dyaOrig="720" w14:anchorId="3037011C">
                <v:shape id="_x0000_i1038" type="#_x0000_t75" style="width:36pt;height:36pt" o:ole="">
                  <v:imagedata r:id="rId35" o:title=""/>
                </v:shape>
                <o:OLEObject Type="Embed" ProgID="Equation.3" ShapeID="_x0000_i1038" DrawAspect="Content" ObjectID="_1831207885" r:id="rId36"/>
              </w:object>
            </w:r>
          </w:p>
        </w:tc>
        <w:tc>
          <w:tcPr>
            <w:tcW w:w="7429" w:type="dxa"/>
            <w:vAlign w:val="center"/>
          </w:tcPr>
          <w:p w14:paraId="717528D8" w14:textId="77777777" w:rsidR="00F57B3C" w:rsidRPr="005C7612" w:rsidRDefault="00F57B3C" w:rsidP="00AC0DD1">
            <w:pPr>
              <w:pStyle w:val="Equationlegend0"/>
              <w:spacing w:before="0"/>
              <w:ind w:left="0" w:firstLine="0"/>
              <w:rPr>
                <w:color w:val="000000"/>
                <w:lang w:val="es-ES_tradnl"/>
              </w:rPr>
            </w:pPr>
            <w:r w:rsidRPr="005C7612">
              <w:rPr>
                <w:color w:val="000000"/>
                <w:lang w:val="es-ES_tradnl"/>
              </w:rPr>
              <w:t xml:space="preserve">valor requerido de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(dB), calculado más arriba.</w:t>
            </w:r>
          </w:p>
        </w:tc>
      </w:tr>
    </w:tbl>
    <w:p w14:paraId="2BA85500" w14:textId="77777777" w:rsidR="00F57B3C" w:rsidRDefault="00F57B3C" w:rsidP="00F57B3C">
      <w:pPr>
        <w:rPr>
          <w:color w:val="000000"/>
          <w:lang w:val="es-ES_tradnl"/>
        </w:rPr>
      </w:pPr>
      <w:r w:rsidRPr="005C7612">
        <w:rPr>
          <w:color w:val="000000"/>
          <w:lang w:val="es-ES_tradnl"/>
        </w:rPr>
        <w:t>En consecuencia, por sustitución obtenemos:</w:t>
      </w:r>
    </w:p>
    <w:p w14:paraId="73D1A58E" w14:textId="77777777" w:rsidR="00DE695C" w:rsidRPr="00DE695C" w:rsidRDefault="00DE695C" w:rsidP="00DE695C">
      <w:pPr>
        <w:pStyle w:val="Equation"/>
        <w:tabs>
          <w:tab w:val="center" w:pos="4536"/>
        </w:tabs>
        <w:rPr>
          <w:rFonts w:asciiTheme="minorHAnsi" w:hAnsiTheme="minorHAnsi" w:cstheme="minorHAnsi"/>
          <w:color w:val="000000"/>
          <w:szCs w:val="18"/>
          <w:lang w:val="es-ES"/>
        </w:rPr>
      </w:pPr>
      <w:r w:rsidRPr="00DE695C">
        <w:rPr>
          <w:rFonts w:asciiTheme="minorHAnsi" w:hAnsiTheme="minorHAnsi" w:cstheme="minorHAnsi"/>
          <w:color w:val="000000"/>
          <w:szCs w:val="18"/>
          <w:lang w:val="es-ES"/>
        </w:rPr>
        <w:tab/>
      </w:r>
      <w:r w:rsidRPr="00DE695C">
        <w:rPr>
          <w:rFonts w:asciiTheme="minorHAnsi" w:hAnsiTheme="minorHAnsi" w:cstheme="minorHAnsi"/>
          <w:color w:val="000000"/>
          <w:szCs w:val="18"/>
          <w:lang w:val="es-ES"/>
        </w:rPr>
        <w:tab/>
      </w:r>
      <w:r w:rsidRPr="00DE695C">
        <w:rPr>
          <w:rFonts w:asciiTheme="minorHAnsi" w:hAnsiTheme="minorHAnsi" w:cstheme="minorHAnsi"/>
          <w:i/>
          <w:color w:val="000000"/>
          <w:szCs w:val="18"/>
          <w:lang w:val="es-ES"/>
        </w:rPr>
        <w:t>M</w:t>
      </w:r>
      <w:r w:rsidRPr="00DE695C">
        <w:rPr>
          <w:rFonts w:asciiTheme="minorHAnsi" w:hAnsiTheme="minorHAnsi" w:cstheme="minorHAnsi"/>
          <w:color w:val="000000"/>
          <w:szCs w:val="18"/>
          <w:lang w:val="es-ES"/>
        </w:rPr>
        <w:t xml:space="preserve">  =  </w:t>
      </w:r>
      <w:r w:rsidRPr="00DE695C">
        <w:rPr>
          <w:rFonts w:asciiTheme="minorHAnsi" w:hAnsiTheme="minorHAnsi" w:cstheme="minorHAnsi"/>
          <w:color w:val="FF0000"/>
          <w:position w:val="-32"/>
          <w:sz w:val="18"/>
          <w:szCs w:val="18"/>
          <w:lang w:val="es-ES"/>
        </w:rPr>
        <w:object w:dxaOrig="1560" w:dyaOrig="760" w14:anchorId="49325E4C">
          <v:shape id="_x0000_i1039" type="#_x0000_t75" style="width:78.75pt;height:39pt" o:ole="">
            <v:imagedata r:id="rId37" o:title=""/>
          </v:shape>
          <o:OLEObject Type="Embed" ProgID="Equation.DSMT4" ShapeID="_x0000_i1039" DrawAspect="Content" ObjectID="_1831207886" r:id="rId38"/>
        </w:object>
      </w:r>
      <w:r w:rsidRPr="00DE695C">
        <w:rPr>
          <w:rFonts w:asciiTheme="minorHAnsi" w:hAnsiTheme="minorHAnsi" w:cstheme="minorHAnsi"/>
          <w:color w:val="000000"/>
          <w:szCs w:val="18"/>
          <w:lang w:val="es-ES"/>
        </w:rPr>
        <w:t xml:space="preserve">  –  </w:t>
      </w:r>
      <w:r w:rsidRPr="00DE695C">
        <w:rPr>
          <w:rFonts w:asciiTheme="minorHAnsi" w:hAnsiTheme="minorHAnsi" w:cstheme="minorHAnsi"/>
          <w:i/>
          <w:color w:val="000000"/>
          <w:szCs w:val="18"/>
          <w:lang w:val="es-ES"/>
        </w:rPr>
        <w:t>K</w:t>
      </w:r>
    </w:p>
    <w:p w14:paraId="4CC94081" w14:textId="77777777" w:rsidR="00300D25" w:rsidRPr="002148C9" w:rsidRDefault="00300D25" w:rsidP="002E56ED">
      <w:pPr>
        <w:pStyle w:val="Heading1"/>
        <w:rPr>
          <w:lang w:val="es-ES"/>
        </w:rPr>
      </w:pPr>
      <w:r w:rsidRPr="002148C9">
        <w:rPr>
          <w:lang w:val="es-ES"/>
        </w:rPr>
        <w:t>2</w:t>
      </w:r>
      <w:r w:rsidRPr="002148C9">
        <w:rPr>
          <w:lang w:val="es-ES"/>
        </w:rPr>
        <w:tab/>
        <w:t xml:space="preserve">Algoritmo de </w:t>
      </w:r>
      <w:r w:rsidRPr="002148C9">
        <w:rPr>
          <w:position w:val="-32"/>
          <w:lang w:val="es-ES"/>
        </w:rPr>
        <w:object w:dxaOrig="620" w:dyaOrig="720" w14:anchorId="2C585C42">
          <v:shape id="_x0000_i1040" type="#_x0000_t75" style="width:30.75pt;height:36pt" o:ole="">
            <v:imagedata r:id="rId28" o:title=""/>
          </v:shape>
          <o:OLEObject Type="Embed" ProgID="Equation.3" ShapeID="_x0000_i1040" DrawAspect="Content" ObjectID="_1831207887" r:id="rId39"/>
        </w:object>
      </w:r>
      <w:r w:rsidRPr="002148C9">
        <w:rPr>
          <w:lang w:val="es-ES"/>
        </w:rPr>
        <w:t> para las situaciones de interferencia</w:t>
      </w:r>
      <w:r w:rsidR="00D20E69" w:rsidRPr="00D20E69">
        <w:rPr>
          <w:bCs/>
          <w:lang w:val="es-ES"/>
        </w:rPr>
        <w:t xml:space="preserve"> </w:t>
      </w:r>
    </w:p>
    <w:p w14:paraId="5FBC81E2" w14:textId="77777777" w:rsidR="00300D25" w:rsidRPr="002148C9" w:rsidRDefault="00300D25" w:rsidP="00300D25">
      <w:pPr>
        <w:rPr>
          <w:color w:val="000000"/>
          <w:szCs w:val="24"/>
          <w:lang w:val="es-ES"/>
        </w:rPr>
      </w:pPr>
      <w:r w:rsidRPr="002148C9">
        <w:rPr>
          <w:color w:val="000000"/>
          <w:szCs w:val="24"/>
          <w:lang w:val="es-ES"/>
        </w:rPr>
        <w:t xml:space="preserve">La relación </w:t>
      </w:r>
      <w:r w:rsidRPr="002148C9">
        <w:rPr>
          <w:i/>
          <w:color w:val="000000"/>
          <w:szCs w:val="24"/>
          <w:lang w:val="es-ES"/>
        </w:rPr>
        <w:t>C</w:t>
      </w:r>
      <w:r w:rsidRPr="002148C9">
        <w:rPr>
          <w:color w:val="000000"/>
          <w:szCs w:val="24"/>
          <w:lang w:val="es-ES"/>
        </w:rPr>
        <w:t>/</w:t>
      </w:r>
      <w:r w:rsidRPr="002148C9">
        <w:rPr>
          <w:i/>
          <w:color w:val="000000"/>
          <w:szCs w:val="24"/>
          <w:lang w:val="es-ES"/>
        </w:rPr>
        <w:t>I</w:t>
      </w:r>
      <w:r w:rsidRPr="002148C9">
        <w:rPr>
          <w:color w:val="000000"/>
          <w:szCs w:val="24"/>
          <w:lang w:val="es-ES"/>
        </w:rPr>
        <w:t xml:space="preserve"> básica se ajusta del siguiente modo:</w:t>
      </w:r>
    </w:p>
    <w:p w14:paraId="5DCF9FF4" w14:textId="77777777" w:rsidR="00300D25" w:rsidRPr="002148C9" w:rsidRDefault="00300D25" w:rsidP="00300D25">
      <w:pPr>
        <w:tabs>
          <w:tab w:val="center" w:pos="4536"/>
          <w:tab w:val="right" w:pos="9356"/>
        </w:tabs>
        <w:jc w:val="center"/>
        <w:rPr>
          <w:color w:val="000000"/>
          <w:szCs w:val="24"/>
          <w:lang w:val="es-ES"/>
        </w:rPr>
      </w:pPr>
      <w:r w:rsidRPr="002148C9">
        <w:rPr>
          <w:color w:val="000000"/>
          <w:position w:val="-32"/>
          <w:szCs w:val="24"/>
          <w:lang w:val="es-ES"/>
        </w:rPr>
        <w:object w:dxaOrig="1920" w:dyaOrig="720" w14:anchorId="54D810DD">
          <v:shape id="_x0000_i1041" type="#_x0000_t75" style="width:95.25pt;height:36pt" o:ole="">
            <v:imagedata r:id="rId40" o:title=""/>
          </v:shape>
          <o:OLEObject Type="Embed" ProgID="Equation.3" ShapeID="_x0000_i1041" DrawAspect="Content" ObjectID="_1831207888" r:id="rId41"/>
        </w:object>
      </w:r>
    </w:p>
    <w:p w14:paraId="01384037" w14:textId="77777777" w:rsidR="00300D25" w:rsidRPr="002148C9" w:rsidRDefault="00300D25" w:rsidP="00300D25">
      <w:pPr>
        <w:rPr>
          <w:color w:val="000000"/>
          <w:szCs w:val="24"/>
          <w:lang w:val="es-ES"/>
        </w:rPr>
      </w:pPr>
      <w:r w:rsidRPr="002148C9">
        <w:rPr>
          <w:color w:val="000000"/>
          <w:szCs w:val="24"/>
          <w:lang w:val="es-ES"/>
        </w:rPr>
        <w:t>donde:</w:t>
      </w:r>
    </w:p>
    <w:tbl>
      <w:tblPr>
        <w:tblW w:w="9429" w:type="dxa"/>
        <w:jc w:val="center"/>
        <w:tblLayout w:type="fixed"/>
        <w:tblLook w:val="0000" w:firstRow="0" w:lastRow="0" w:firstColumn="0" w:lastColumn="0" w:noHBand="0" w:noVBand="0"/>
      </w:tblPr>
      <w:tblGrid>
        <w:gridCol w:w="2164"/>
        <w:gridCol w:w="7265"/>
      </w:tblGrid>
      <w:tr w:rsidR="00300D25" w:rsidRPr="00244EFF" w14:paraId="38B59529" w14:textId="77777777" w:rsidTr="00442E9D">
        <w:trPr>
          <w:jc w:val="center"/>
        </w:trPr>
        <w:tc>
          <w:tcPr>
            <w:tcW w:w="2164" w:type="dxa"/>
            <w:vAlign w:val="center"/>
          </w:tcPr>
          <w:p w14:paraId="66043906" w14:textId="77777777" w:rsidR="00300D25" w:rsidRPr="002148C9" w:rsidRDefault="00300D25" w:rsidP="00442E9D">
            <w:pPr>
              <w:tabs>
                <w:tab w:val="clear" w:pos="1871"/>
                <w:tab w:val="right" w:pos="1772"/>
              </w:tabs>
              <w:spacing w:before="80"/>
              <w:ind w:left="1985" w:hanging="1985"/>
              <w:rPr>
                <w:color w:val="000000"/>
                <w:szCs w:val="24"/>
                <w:lang w:val="es-ES"/>
              </w:rPr>
            </w:pPr>
            <w:r>
              <w:rPr>
                <w:color w:val="000000"/>
                <w:szCs w:val="24"/>
                <w:lang w:val="es-ES"/>
              </w:rPr>
              <w:tab/>
            </w:r>
            <w:r w:rsidRPr="002148C9">
              <w:rPr>
                <w:color w:val="000000"/>
                <w:position w:val="-32"/>
                <w:szCs w:val="24"/>
                <w:lang w:val="es-ES"/>
              </w:rPr>
              <w:object w:dxaOrig="700" w:dyaOrig="720" w14:anchorId="000BD3AB">
                <v:shape id="_x0000_i1042" type="#_x0000_t75" style="width:36pt;height:36pt" o:ole="">
                  <v:imagedata r:id="rId33" o:title=""/>
                </v:shape>
                <o:OLEObject Type="Embed" ProgID="Equation.3" ShapeID="_x0000_i1042" DrawAspect="Content" ObjectID="_1831207889" r:id="rId42"/>
              </w:object>
            </w:r>
          </w:p>
        </w:tc>
        <w:tc>
          <w:tcPr>
            <w:tcW w:w="7265" w:type="dxa"/>
            <w:vAlign w:val="center"/>
          </w:tcPr>
          <w:p w14:paraId="4B0C7A1D" w14:textId="77777777" w:rsidR="00300D25" w:rsidRPr="002148C9" w:rsidRDefault="00300D25" w:rsidP="00AC0DD1">
            <w:pPr>
              <w:tabs>
                <w:tab w:val="right" w:pos="1814"/>
              </w:tabs>
              <w:spacing w:before="240"/>
              <w:ind w:left="113"/>
              <w:rPr>
                <w:color w:val="000000"/>
                <w:szCs w:val="24"/>
                <w:lang w:val="es-ES"/>
              </w:rPr>
            </w:pPr>
            <w:r w:rsidRPr="002148C9">
              <w:rPr>
                <w:color w:val="000000"/>
                <w:szCs w:val="24"/>
                <w:lang w:val="es-ES"/>
              </w:rPr>
              <w:t xml:space="preserve">Valor ajustado de </w:t>
            </w:r>
            <w:r w:rsidRPr="002148C9">
              <w:rPr>
                <w:i/>
                <w:color w:val="000000"/>
                <w:szCs w:val="24"/>
                <w:lang w:val="es-ES"/>
              </w:rPr>
              <w:t>C</w:t>
            </w:r>
            <w:r w:rsidRPr="002148C9">
              <w:rPr>
                <w:color w:val="000000"/>
                <w:szCs w:val="24"/>
                <w:lang w:val="es-ES"/>
              </w:rPr>
              <w:t>/</w:t>
            </w:r>
            <w:r w:rsidRPr="002148C9">
              <w:rPr>
                <w:i/>
                <w:color w:val="000000"/>
                <w:szCs w:val="24"/>
                <w:lang w:val="es-ES"/>
              </w:rPr>
              <w:t>I</w:t>
            </w:r>
            <w:r w:rsidRPr="002148C9">
              <w:rPr>
                <w:color w:val="000000"/>
                <w:szCs w:val="24"/>
                <w:lang w:val="es-ES"/>
              </w:rPr>
              <w:t>, tomando en cuenta el factor de ajuste de la interferencia (dB)</w:t>
            </w:r>
          </w:p>
        </w:tc>
      </w:tr>
      <w:tr w:rsidR="00300D25" w:rsidRPr="00244EFF" w14:paraId="3F09FEE5" w14:textId="77777777" w:rsidTr="00442E9D">
        <w:trPr>
          <w:jc w:val="center"/>
        </w:trPr>
        <w:tc>
          <w:tcPr>
            <w:tcW w:w="2164" w:type="dxa"/>
            <w:vAlign w:val="center"/>
          </w:tcPr>
          <w:p w14:paraId="29280B94" w14:textId="77777777" w:rsidR="00300D25" w:rsidRPr="002148C9" w:rsidRDefault="00442E9D" w:rsidP="00442E9D">
            <w:pPr>
              <w:tabs>
                <w:tab w:val="clear" w:pos="1871"/>
                <w:tab w:val="right" w:pos="1772"/>
              </w:tabs>
              <w:spacing w:before="80"/>
              <w:ind w:left="1985" w:hanging="1985"/>
              <w:rPr>
                <w:color w:val="000000"/>
                <w:szCs w:val="24"/>
                <w:lang w:val="es-ES"/>
              </w:rPr>
            </w:pPr>
            <w:r>
              <w:rPr>
                <w:color w:val="000000"/>
                <w:szCs w:val="24"/>
                <w:lang w:val="es-ES"/>
              </w:rPr>
              <w:tab/>
            </w:r>
            <w:r w:rsidRPr="002148C9">
              <w:rPr>
                <w:color w:val="000000"/>
                <w:position w:val="-32"/>
                <w:szCs w:val="24"/>
                <w:lang w:val="es-ES"/>
              </w:rPr>
              <w:object w:dxaOrig="639" w:dyaOrig="720" w14:anchorId="60C3F161">
                <v:shape id="_x0000_i1043" type="#_x0000_t75" style="width:36pt;height:36pt" o:ole="">
                  <v:imagedata r:id="rId43" o:title=""/>
                </v:shape>
                <o:OLEObject Type="Embed" ProgID="Equation.3" ShapeID="_x0000_i1043" DrawAspect="Content" ObjectID="_1831207890" r:id="rId44"/>
              </w:object>
            </w:r>
          </w:p>
        </w:tc>
        <w:tc>
          <w:tcPr>
            <w:tcW w:w="7265" w:type="dxa"/>
            <w:vAlign w:val="center"/>
          </w:tcPr>
          <w:p w14:paraId="005103C3" w14:textId="77777777" w:rsidR="00300D25" w:rsidRPr="002148C9" w:rsidRDefault="00300D25" w:rsidP="00AC0DD1">
            <w:pPr>
              <w:tabs>
                <w:tab w:val="right" w:pos="1814"/>
              </w:tabs>
              <w:spacing w:before="240"/>
              <w:ind w:left="113"/>
              <w:rPr>
                <w:color w:val="000000"/>
                <w:szCs w:val="24"/>
                <w:lang w:val="es-ES"/>
              </w:rPr>
            </w:pPr>
            <w:r w:rsidRPr="002148C9">
              <w:rPr>
                <w:color w:val="000000"/>
                <w:szCs w:val="24"/>
                <w:lang w:val="es-ES"/>
              </w:rPr>
              <w:t xml:space="preserve">Valor calculado básico de </w:t>
            </w:r>
            <w:r w:rsidRPr="002148C9">
              <w:rPr>
                <w:i/>
                <w:color w:val="000000"/>
                <w:szCs w:val="24"/>
                <w:lang w:val="es-ES"/>
              </w:rPr>
              <w:t>C</w:t>
            </w:r>
            <w:r w:rsidRPr="002148C9">
              <w:rPr>
                <w:color w:val="000000"/>
                <w:szCs w:val="24"/>
                <w:lang w:val="es-ES"/>
              </w:rPr>
              <w:t>/</w:t>
            </w:r>
            <w:r w:rsidRPr="002148C9">
              <w:rPr>
                <w:i/>
                <w:color w:val="000000"/>
                <w:szCs w:val="24"/>
                <w:lang w:val="es-ES"/>
              </w:rPr>
              <w:t>I</w:t>
            </w:r>
            <w:r w:rsidRPr="002148C9">
              <w:rPr>
                <w:color w:val="000000"/>
                <w:szCs w:val="24"/>
                <w:lang w:val="es-ES"/>
              </w:rPr>
              <w:t>, antes de tomar en cuenta el factor de ajuste de la interferencia (dB)</w:t>
            </w:r>
          </w:p>
        </w:tc>
      </w:tr>
      <w:tr w:rsidR="00300D25" w:rsidRPr="00244EFF" w14:paraId="2B4AFF8A" w14:textId="77777777" w:rsidTr="00442E9D">
        <w:trPr>
          <w:jc w:val="center"/>
        </w:trPr>
        <w:tc>
          <w:tcPr>
            <w:tcW w:w="2164" w:type="dxa"/>
            <w:vAlign w:val="center"/>
          </w:tcPr>
          <w:p w14:paraId="7D8473BA" w14:textId="77777777" w:rsidR="00300D25" w:rsidRPr="002148C9" w:rsidRDefault="00300D25" w:rsidP="00442E9D">
            <w:pPr>
              <w:tabs>
                <w:tab w:val="clear" w:pos="1871"/>
                <w:tab w:val="right" w:pos="1772"/>
              </w:tabs>
              <w:spacing w:before="80"/>
              <w:ind w:left="1985" w:hanging="1985"/>
              <w:rPr>
                <w:color w:val="000000"/>
                <w:szCs w:val="24"/>
                <w:lang w:val="es-ES"/>
              </w:rPr>
            </w:pPr>
            <w:r>
              <w:rPr>
                <w:i/>
                <w:color w:val="000000"/>
                <w:szCs w:val="24"/>
                <w:lang w:val="es-ES"/>
              </w:rPr>
              <w:tab/>
            </w:r>
            <w:r w:rsidR="00442E9D">
              <w:rPr>
                <w:i/>
                <w:color w:val="000000"/>
                <w:szCs w:val="24"/>
                <w:lang w:val="es-ES"/>
              </w:rPr>
              <w:tab/>
            </w:r>
            <w:r w:rsidRPr="002148C9">
              <w:rPr>
                <w:i/>
                <w:color w:val="000000"/>
                <w:szCs w:val="24"/>
                <w:lang w:val="es-ES"/>
              </w:rPr>
              <w:t>I</w:t>
            </w:r>
            <w:r w:rsidRPr="00081A84">
              <w:rPr>
                <w:i/>
                <w:color w:val="000000"/>
                <w:position w:val="-4"/>
                <w:szCs w:val="24"/>
                <w:vertAlign w:val="subscript"/>
                <w:lang w:val="es-ES"/>
              </w:rPr>
              <w:t>a</w:t>
            </w:r>
            <w:r w:rsidRPr="002148C9">
              <w:rPr>
                <w:rFonts w:ascii="Tms Rmn" w:hAnsi="Tms Rmn"/>
                <w:color w:val="000000"/>
                <w:szCs w:val="24"/>
                <w:lang w:val="es-ES"/>
              </w:rPr>
              <w:t> </w:t>
            </w:r>
            <w:r w:rsidRPr="002148C9">
              <w:rPr>
                <w:color w:val="000000"/>
                <w:szCs w:val="24"/>
                <w:lang w:val="es-ES"/>
              </w:rPr>
              <w:t>:</w:t>
            </w:r>
          </w:p>
        </w:tc>
        <w:tc>
          <w:tcPr>
            <w:tcW w:w="7265" w:type="dxa"/>
            <w:vAlign w:val="center"/>
          </w:tcPr>
          <w:p w14:paraId="5D589B4F" w14:textId="77777777" w:rsidR="00300D25" w:rsidRPr="002148C9" w:rsidRDefault="00300D25" w:rsidP="00AC0DD1">
            <w:pPr>
              <w:tabs>
                <w:tab w:val="right" w:pos="1814"/>
              </w:tabs>
              <w:spacing w:before="80"/>
              <w:ind w:left="113"/>
              <w:rPr>
                <w:color w:val="000000"/>
                <w:szCs w:val="24"/>
                <w:lang w:val="es-ES"/>
              </w:rPr>
            </w:pPr>
            <w:r w:rsidRPr="002148C9">
              <w:rPr>
                <w:color w:val="000000"/>
                <w:szCs w:val="24"/>
                <w:lang w:val="es-ES"/>
              </w:rPr>
              <w:t>Factor de ajuste de la interferencia (dB).</w:t>
            </w:r>
          </w:p>
        </w:tc>
      </w:tr>
    </w:tbl>
    <w:p w14:paraId="773A22CD" w14:textId="77777777" w:rsidR="00361A40" w:rsidRPr="005C7612" w:rsidRDefault="00361A40">
      <w:pPr>
        <w:pStyle w:val="Heading2"/>
        <w:rPr>
          <w:color w:val="000000"/>
          <w:lang w:val="es-ES_tradnl"/>
        </w:rPr>
      </w:pPr>
      <w:r w:rsidRPr="005C7612">
        <w:rPr>
          <w:color w:val="000000"/>
          <w:lang w:val="es-ES_tradnl"/>
        </w:rPr>
        <w:lastRenderedPageBreak/>
        <w:t>2.1</w:t>
      </w:r>
      <w:r w:rsidRPr="005C7612">
        <w:rPr>
          <w:color w:val="000000"/>
          <w:lang w:val="es-ES_tradnl"/>
        </w:rPr>
        <w:tab/>
        <w:t>Determinación del factor de ajuste de la interferencia</w:t>
      </w:r>
    </w:p>
    <w:p w14:paraId="0C56123B" w14:textId="77777777" w:rsidR="00361A40" w:rsidRPr="005C7612" w:rsidRDefault="00361A40" w:rsidP="000132AA">
      <w:pPr>
        <w:pStyle w:val="Heading3"/>
        <w:spacing w:before="240"/>
        <w:rPr>
          <w:color w:val="000000"/>
          <w:lang w:val="es-ES_tradnl"/>
        </w:rPr>
      </w:pPr>
      <w:r w:rsidRPr="005C7612">
        <w:rPr>
          <w:color w:val="000000"/>
          <w:lang w:val="es-ES_tradnl"/>
        </w:rPr>
        <w:t>2.1.1</w:t>
      </w:r>
      <w:r w:rsidRPr="005C7612">
        <w:rPr>
          <w:color w:val="000000"/>
          <w:lang w:val="es-ES_tradnl"/>
        </w:rPr>
        <w:tab/>
        <w:t>Interferencia causada por portadoras digitales de tipo ruido (factor de ajuste de la interferencia 1)</w:t>
      </w:r>
    </w:p>
    <w:p w14:paraId="5D06095E" w14:textId="77777777" w:rsidR="00361A40" w:rsidRPr="005C7612" w:rsidRDefault="00361A40">
      <w:pPr>
        <w:rPr>
          <w:color w:val="000000"/>
          <w:lang w:val="es-ES_tradnl"/>
        </w:rPr>
      </w:pPr>
      <w:r w:rsidRPr="005C7612">
        <w:rPr>
          <w:color w:val="000000"/>
          <w:lang w:val="es-ES_tradnl"/>
        </w:rPr>
        <w:t>La actual Recomendación UIT-R S.741-2 abarca el caso de la interferencia en la misma frecuencia procedente de portadoras digitales de tipo ruido. Para la interferencia en distintas frecuencias de un factor de ajuste de la interferencia (o factor de ventaja de anchura de banda) conforme a los resultados del trabajo de las Comisiones de Estudio de Radiocomunicaciones sobre la metodología para tratar los casos de portadoras con desplazamiento de frecuencia. Esto está reflejado en la aplicación del factor </w:t>
      </w:r>
      <w:r w:rsidRPr="005C7612">
        <w:rPr>
          <w:i/>
          <w:color w:val="000000"/>
          <w:lang w:val="es-ES_tradnl"/>
        </w:rPr>
        <w:t>A</w:t>
      </w:r>
      <w:r w:rsidRPr="005C7612">
        <w:rPr>
          <w:color w:val="000000"/>
          <w:lang w:val="es-ES_tradnl"/>
        </w:rPr>
        <w:t xml:space="preserve"> definido más adelante (mencionado como </w:t>
      </w:r>
      <w:r w:rsidRPr="005C7612">
        <w:rPr>
          <w:i/>
          <w:color w:val="000000"/>
          <w:lang w:val="es-ES_tradnl"/>
        </w:rPr>
        <w:t>I</w:t>
      </w:r>
      <w:r w:rsidRPr="005C7612">
        <w:rPr>
          <w:i/>
          <w:color w:val="000000"/>
          <w:position w:val="-4"/>
          <w:sz w:val="22"/>
          <w:lang w:val="es-ES_tradnl"/>
        </w:rPr>
        <w:t>a</w:t>
      </w:r>
      <w:r w:rsidRPr="005C7612">
        <w:rPr>
          <w:color w:val="000000"/>
          <w:lang w:val="es-ES_tradnl"/>
        </w:rPr>
        <w:t xml:space="preserve"> en el anterior § 2).</w:t>
      </w:r>
    </w:p>
    <w:p w14:paraId="4BA2543B" w14:textId="77777777" w:rsidR="00361A40" w:rsidRPr="005C7612" w:rsidRDefault="00361A40">
      <w:pPr>
        <w:rPr>
          <w:color w:val="000000"/>
          <w:lang w:val="es-ES_tradnl"/>
        </w:rPr>
      </w:pPr>
      <w:r w:rsidRPr="005C7612">
        <w:rPr>
          <w:color w:val="000000"/>
          <w:lang w:val="es-ES_tradnl"/>
        </w:rPr>
        <w:t xml:space="preserve">En el caso de desplazamiento de frecuencia entre portadoras,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resultante puede determinarse por la siguiente ecuación:</w:t>
      </w:r>
    </w:p>
    <w:p w14:paraId="2D8649A8" w14:textId="77777777" w:rsidR="00361A40" w:rsidRPr="005C7612" w:rsidRDefault="00361A40">
      <w:pPr>
        <w:pStyle w:val="Equation"/>
        <w:tabs>
          <w:tab w:val="clear" w:pos="4678"/>
          <w:tab w:val="center" w:pos="4536"/>
        </w:tabs>
        <w:jc w:val="center"/>
        <w:rPr>
          <w:color w:val="000000"/>
          <w:lang w:val="es-ES_tradnl"/>
        </w:rPr>
      </w:pP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10 log (</w:t>
      </w:r>
      <w:r w:rsidRPr="005C7612">
        <w:rPr>
          <w:i/>
          <w:color w:val="000000"/>
          <w:lang w:val="es-ES_tradnl"/>
        </w:rPr>
        <w:t>c</w:t>
      </w:r>
      <w:r w:rsidRPr="005C7612">
        <w:rPr>
          <w:color w:val="000000"/>
          <w:lang w:val="es-ES_tradnl"/>
        </w:rPr>
        <w:t>/</w:t>
      </w:r>
      <w:r w:rsidRPr="005C7612">
        <w:rPr>
          <w:i/>
          <w:color w:val="000000"/>
          <w:lang w:val="es-ES_tradnl"/>
        </w:rPr>
        <w:t>i</w:t>
      </w:r>
      <w:r w:rsidRPr="005C7612">
        <w:rPr>
          <w:rFonts w:ascii="Tms Rmn" w:hAnsi="Tms Rmn"/>
          <w:color w:val="000000"/>
          <w:sz w:val="12"/>
          <w:lang w:val="es-ES_tradnl"/>
        </w:rPr>
        <w:t> </w:t>
      </w:r>
      <w:r w:rsidRPr="005C7612">
        <w:rPr>
          <w:color w:val="000000"/>
          <w:lang w:val="es-ES_tradnl"/>
        </w:rPr>
        <w:t xml:space="preserve">)  –  </w:t>
      </w:r>
      <w:r w:rsidRPr="005C7612">
        <w:rPr>
          <w:i/>
          <w:color w:val="000000"/>
          <w:lang w:val="es-ES_tradnl"/>
        </w:rPr>
        <w:t>A</w:t>
      </w:r>
    </w:p>
    <w:p w14:paraId="13C46CEE" w14:textId="10ED1FDF" w:rsidR="00361A40" w:rsidRPr="005C7612" w:rsidRDefault="00361A40">
      <w:pPr>
        <w:rPr>
          <w:color w:val="000000"/>
          <w:lang w:val="es-ES_tradnl"/>
        </w:rPr>
      </w:pPr>
      <w:r w:rsidRPr="005C7612">
        <w:rPr>
          <w:color w:val="000000"/>
          <w:lang w:val="es-ES_tradnl"/>
        </w:rPr>
        <w:t xml:space="preserve">donde </w:t>
      </w:r>
      <w:r w:rsidRPr="005C7612">
        <w:rPr>
          <w:i/>
          <w:color w:val="000000"/>
          <w:lang w:val="es-ES_tradnl"/>
        </w:rPr>
        <w:t>A</w:t>
      </w:r>
      <w:r w:rsidRPr="005C7612">
        <w:rPr>
          <w:color w:val="000000"/>
          <w:lang w:val="es-ES_tradnl"/>
        </w:rPr>
        <w:t xml:space="preserve"> es el factor de ventaja de anchura de banda (dB).</w:t>
      </w:r>
    </w:p>
    <w:p w14:paraId="71939118" w14:textId="65C52F80" w:rsidR="002474FB" w:rsidRDefault="00361A40">
      <w:pPr>
        <w:rPr>
          <w:color w:val="000000"/>
          <w:lang w:val="es-ES_tradnl"/>
        </w:rPr>
      </w:pPr>
      <w:r w:rsidRPr="005C7612">
        <w:rPr>
          <w:color w:val="000000"/>
          <w:lang w:val="es-ES_tradnl"/>
        </w:rPr>
        <w:t xml:space="preserve">El factor </w:t>
      </w:r>
      <w:r w:rsidRPr="005C7612">
        <w:rPr>
          <w:i/>
          <w:color w:val="000000"/>
          <w:lang w:val="es-ES_tradnl"/>
        </w:rPr>
        <w:t>A</w:t>
      </w:r>
      <w:r w:rsidRPr="005C7612">
        <w:rPr>
          <w:color w:val="000000"/>
          <w:lang w:val="es-ES_tradnl"/>
        </w:rPr>
        <w:t xml:space="preserve"> es la relación entre la potencia de la portadora interferente contenida en la anchura de banda de la señal deseada y la potencia total de la portadora interferente, en el supuesto de que la portadora interferente tiene una densidad espectral de potencia uniforme en toda su anchura de banda ocupada.</w:t>
      </w:r>
    </w:p>
    <w:p w14:paraId="30F9CB37" w14:textId="77777777" w:rsidR="00361A40" w:rsidRPr="005C7612" w:rsidRDefault="00361A40">
      <w:pPr>
        <w:pStyle w:val="Heading3"/>
        <w:rPr>
          <w:color w:val="000000"/>
          <w:lang w:val="es-ES_tradnl"/>
        </w:rPr>
      </w:pPr>
      <w:r w:rsidRPr="005C7612">
        <w:rPr>
          <w:color w:val="000000"/>
          <w:lang w:val="es-ES_tradnl"/>
        </w:rPr>
        <w:t>2.1.2</w:t>
      </w:r>
      <w:r w:rsidRPr="005C7612">
        <w:rPr>
          <w:color w:val="000000"/>
          <w:lang w:val="es-ES_tradnl"/>
        </w:rPr>
        <w:tab/>
        <w:t>Interferencia causada por portadoras analógicas de tipo ruido (factor de ajuste de la interferencia 2)</w:t>
      </w:r>
    </w:p>
    <w:p w14:paraId="79F5C55C" w14:textId="77777777" w:rsidR="00361A40" w:rsidRPr="005C7612" w:rsidRDefault="00361A40">
      <w:pPr>
        <w:rPr>
          <w:color w:val="000000"/>
          <w:lang w:val="es-ES_tradnl"/>
        </w:rPr>
      </w:pPr>
      <w:r w:rsidRPr="005C7612">
        <w:rPr>
          <w:color w:val="000000"/>
          <w:lang w:val="es-ES_tradnl"/>
        </w:rPr>
        <w:t xml:space="preserve">En estos casos, la relación </w:t>
      </w:r>
      <w:r w:rsidRPr="005C7612">
        <w:rPr>
          <w:i/>
          <w:color w:val="000000"/>
          <w:lang w:val="es-ES_tradnl"/>
        </w:rPr>
        <w:t>C</w:t>
      </w:r>
      <w:r w:rsidRPr="005C7612">
        <w:rPr>
          <w:color w:val="000000"/>
          <w:lang w:val="es-ES_tradnl"/>
        </w:rPr>
        <w:t>/</w:t>
      </w:r>
      <w:r w:rsidRPr="005C7612">
        <w:rPr>
          <w:i/>
          <w:color w:val="000000"/>
          <w:lang w:val="es-ES_tradnl"/>
        </w:rPr>
        <w:t>I</w:t>
      </w:r>
      <w:r w:rsidRPr="005C7612">
        <w:rPr>
          <w:color w:val="000000"/>
          <w:lang w:val="es-ES_tradnl"/>
        </w:rPr>
        <w:t xml:space="preserve"> resultante puede determinarse mediante la ecuación del § 2.1.1 anterior, donde el factor </w:t>
      </w:r>
      <w:r w:rsidRPr="005C7612">
        <w:rPr>
          <w:i/>
          <w:color w:val="000000"/>
          <w:lang w:val="es-ES_tradnl"/>
        </w:rPr>
        <w:t>A</w:t>
      </w:r>
      <w:r w:rsidRPr="005C7612">
        <w:rPr>
          <w:color w:val="000000"/>
          <w:lang w:val="es-ES_tradnl"/>
        </w:rPr>
        <w:t xml:space="preserve"> es la relación entre la potencia de la portadora interferente contenida en la anchura de banda de la señal deseada y la potencia total de la portadora inter</w:t>
      </w:r>
      <w:r w:rsidRPr="005C7612">
        <w:rPr>
          <w:color w:val="000000"/>
          <w:lang w:val="es-ES_tradnl"/>
        </w:rPr>
        <w:softHyphen/>
        <w:t>ferente, con la aproximación de que la densidad espectral de potencia de la portadora inter</w:t>
      </w:r>
      <w:r w:rsidRPr="005C7612">
        <w:rPr>
          <w:color w:val="000000"/>
          <w:lang w:val="es-ES_tradnl"/>
        </w:rPr>
        <w:softHyphen/>
        <w:t>ferente es constante dentro de la anchura de banda de la portadora deseada e igual al valor máximo (véase el tercer párrafo del § 3.4 del Anexo 1 a la Recomendación UIT</w:t>
      </w:r>
      <w:r w:rsidRPr="005C7612">
        <w:rPr>
          <w:color w:val="000000"/>
          <w:lang w:val="es-ES_tradnl"/>
        </w:rPr>
        <w:noBreakHyphen/>
        <w:t>R S.741</w:t>
      </w:r>
      <w:r w:rsidRPr="005C7612">
        <w:rPr>
          <w:color w:val="000000"/>
          <w:lang w:val="es-ES_tradnl"/>
        </w:rPr>
        <w:noBreakHyphen/>
        <w:t>2).</w:t>
      </w:r>
      <w:r w:rsidRPr="005C7612">
        <w:rPr>
          <w:color w:val="000000"/>
          <w:sz w:val="16"/>
          <w:lang w:val="es-ES_tradnl"/>
        </w:rPr>
        <w:t xml:space="preserve"> </w:t>
      </w:r>
    </w:p>
    <w:p w14:paraId="64A14618" w14:textId="41C57B05" w:rsidR="00361A40" w:rsidRPr="005C7612" w:rsidRDefault="00361A40" w:rsidP="00AC02D7">
      <w:pPr>
        <w:pStyle w:val="Heading1"/>
        <w:rPr>
          <w:color w:val="000000"/>
          <w:lang w:val="es-ES_tradnl"/>
        </w:rPr>
      </w:pPr>
      <w:r w:rsidRPr="005C7612">
        <w:rPr>
          <w:color w:val="000000"/>
          <w:lang w:val="es-ES_tradnl"/>
        </w:rPr>
        <w:t>3</w:t>
      </w:r>
      <w:r w:rsidRPr="005C7612">
        <w:rPr>
          <w:color w:val="000000"/>
          <w:lang w:val="es-ES_tradnl"/>
        </w:rPr>
        <w:tab/>
        <w:t xml:space="preserve">Algoritmo de </w:t>
      </w:r>
      <w:r w:rsidRPr="005C7612">
        <w:rPr>
          <w:i/>
          <w:color w:val="000000"/>
          <w:lang w:val="es-ES_tradnl"/>
        </w:rPr>
        <w:t>C</w:t>
      </w:r>
      <w:r w:rsidRPr="005C7612">
        <w:rPr>
          <w:color w:val="000000"/>
          <w:lang w:val="es-ES_tradnl"/>
        </w:rPr>
        <w:t>/</w:t>
      </w:r>
      <w:r w:rsidRPr="005C7612">
        <w:rPr>
          <w:i/>
          <w:color w:val="000000"/>
          <w:lang w:val="es-ES_tradnl"/>
        </w:rPr>
        <w:t>N</w:t>
      </w:r>
    </w:p>
    <w:p w14:paraId="1A0AE14F" w14:textId="77777777" w:rsidR="00031083" w:rsidRPr="002148C9" w:rsidRDefault="00031083" w:rsidP="00031083">
      <w:pPr>
        <w:rPr>
          <w:color w:val="000000"/>
          <w:szCs w:val="24"/>
          <w:lang w:val="es-ES"/>
        </w:rPr>
      </w:pPr>
      <w:r w:rsidRPr="002148C9">
        <w:rPr>
          <w:color w:val="000000"/>
          <w:szCs w:val="24"/>
          <w:lang w:val="es-ES"/>
        </w:rPr>
        <w:t xml:space="preserve">El algoritmo de </w:t>
      </w:r>
      <w:r w:rsidRPr="002148C9">
        <w:rPr>
          <w:i/>
          <w:color w:val="000000"/>
          <w:szCs w:val="24"/>
          <w:lang w:val="es-ES"/>
        </w:rPr>
        <w:t>C</w:t>
      </w:r>
      <w:r w:rsidRPr="002148C9">
        <w:rPr>
          <w:color w:val="000000"/>
          <w:szCs w:val="24"/>
          <w:lang w:val="es-ES"/>
        </w:rPr>
        <w:t>/</w:t>
      </w:r>
      <w:r w:rsidRPr="002148C9">
        <w:rPr>
          <w:i/>
          <w:color w:val="000000"/>
          <w:szCs w:val="24"/>
          <w:lang w:val="es-ES"/>
        </w:rPr>
        <w:t>N</w:t>
      </w:r>
      <w:r w:rsidRPr="002148C9">
        <w:rPr>
          <w:color w:val="000000"/>
          <w:szCs w:val="24"/>
          <w:lang w:val="es-ES"/>
        </w:rPr>
        <w:t xml:space="preserve"> requiere el cálculo del valor de </w:t>
      </w:r>
      <w:r w:rsidRPr="002148C9">
        <w:rPr>
          <w:i/>
          <w:color w:val="000000"/>
          <w:szCs w:val="24"/>
          <w:lang w:val="es-ES"/>
        </w:rPr>
        <w:t>N</w:t>
      </w:r>
      <w:r w:rsidRPr="002148C9">
        <w:rPr>
          <w:color w:val="000000"/>
          <w:szCs w:val="24"/>
          <w:lang w:val="es-ES"/>
        </w:rPr>
        <w:t>, efectuado del siguiente modo:</w:t>
      </w:r>
    </w:p>
    <w:p w14:paraId="2E725E54" w14:textId="77777777" w:rsidR="00031083" w:rsidRPr="002148C9" w:rsidRDefault="00031083" w:rsidP="00031083">
      <w:pPr>
        <w:tabs>
          <w:tab w:val="center" w:pos="4678"/>
          <w:tab w:val="right" w:pos="9356"/>
        </w:tabs>
        <w:jc w:val="center"/>
        <w:rPr>
          <w:color w:val="000000"/>
          <w:szCs w:val="24"/>
          <w:lang w:val="es-ES"/>
        </w:rPr>
      </w:pPr>
      <w:r w:rsidRPr="00986BF1">
        <w:rPr>
          <w:color w:val="000000"/>
          <w:position w:val="-10"/>
          <w:szCs w:val="24"/>
          <w:lang w:val="es-ES"/>
        </w:rPr>
        <w:object w:dxaOrig="4140" w:dyaOrig="320" w14:anchorId="58100129">
          <v:shape id="_x0000_i1044" type="#_x0000_t75" style="width:207.75pt;height:15.75pt" o:ole="">
            <v:imagedata r:id="rId45" o:title=""/>
          </v:shape>
          <o:OLEObject Type="Embed" ProgID="Equation.3" ShapeID="_x0000_i1044" DrawAspect="Content" ObjectID="_1831207891" r:id="rId46"/>
        </w:object>
      </w:r>
    </w:p>
    <w:p w14:paraId="7499930E" w14:textId="77777777" w:rsidR="00031083" w:rsidRPr="00031083" w:rsidRDefault="00031083" w:rsidP="00031083">
      <w:pPr>
        <w:rPr>
          <w:color w:val="000000"/>
          <w:szCs w:val="24"/>
          <w:lang w:val="es-ES"/>
        </w:rPr>
      </w:pPr>
      <w:r w:rsidRPr="00031083">
        <w:rPr>
          <w:color w:val="000000"/>
          <w:szCs w:val="24"/>
          <w:lang w:val="es-ES"/>
        </w:rPr>
        <w:t>donde:</w:t>
      </w:r>
    </w:p>
    <w:p w14:paraId="42AB786C" w14:textId="77777777" w:rsidR="00031083" w:rsidRPr="00031083" w:rsidRDefault="00031083" w:rsidP="00031083">
      <w:pPr>
        <w:tabs>
          <w:tab w:val="right" w:pos="1814"/>
        </w:tabs>
        <w:ind w:left="1985" w:hanging="1985"/>
        <w:rPr>
          <w:color w:val="000000"/>
          <w:szCs w:val="24"/>
          <w:lang w:val="es-ES"/>
        </w:rPr>
      </w:pPr>
      <w:r w:rsidRPr="00031083">
        <w:rPr>
          <w:i/>
          <w:color w:val="000000"/>
          <w:szCs w:val="24"/>
          <w:lang w:val="es-ES"/>
        </w:rPr>
        <w:tab/>
        <w:t>N</w:t>
      </w:r>
      <w:r w:rsidRPr="00685A53">
        <w:rPr>
          <w:rFonts w:ascii="Tms Rmn" w:hAnsi="Tms Rmn"/>
          <w:i/>
          <w:color w:val="000000"/>
          <w:szCs w:val="24"/>
          <w:vertAlign w:val="subscript"/>
          <w:lang w:val="es-ES"/>
        </w:rPr>
        <w:t>i</w:t>
      </w:r>
      <w:r w:rsidRPr="00031083">
        <w:rPr>
          <w:rFonts w:ascii="Tms Rmn" w:hAnsi="Tms Rmn"/>
          <w:iCs/>
          <w:color w:val="000000"/>
          <w:szCs w:val="24"/>
          <w:lang w:val="es-ES"/>
        </w:rPr>
        <w:t> </w:t>
      </w:r>
      <w:r w:rsidRPr="00031083">
        <w:rPr>
          <w:i/>
          <w:color w:val="000000"/>
          <w:szCs w:val="24"/>
          <w:lang w:val="es-ES"/>
        </w:rPr>
        <w:t xml:space="preserve"> </w:t>
      </w:r>
      <w:r w:rsidRPr="00031083">
        <w:rPr>
          <w:rFonts w:ascii="Tms Rmn" w:hAnsi="Tms Rmn"/>
          <w:iCs/>
          <w:color w:val="000000"/>
          <w:szCs w:val="24"/>
          <w:lang w:val="es-ES"/>
        </w:rPr>
        <w:t> </w:t>
      </w:r>
      <w:r w:rsidRPr="00031083">
        <w:rPr>
          <w:color w:val="000000"/>
          <w:szCs w:val="24"/>
          <w:lang w:val="es-ES"/>
        </w:rPr>
        <w:t>:</w:t>
      </w:r>
      <w:r w:rsidRPr="00031083">
        <w:rPr>
          <w:color w:val="000000"/>
          <w:szCs w:val="24"/>
          <w:lang w:val="es-ES"/>
        </w:rPr>
        <w:tab/>
      </w:r>
      <w:r w:rsidR="00036886">
        <w:rPr>
          <w:color w:val="000000"/>
          <w:szCs w:val="24"/>
          <w:lang w:val="es-ES"/>
        </w:rPr>
        <w:tab/>
      </w:r>
      <w:r w:rsidRPr="00031083">
        <w:rPr>
          <w:color w:val="000000"/>
          <w:szCs w:val="24"/>
          <w:lang w:val="es-ES"/>
        </w:rPr>
        <w:t>valor del ruido interno del sistema (dBW)</w:t>
      </w:r>
    </w:p>
    <w:p w14:paraId="47379649" w14:textId="77777777" w:rsidR="00031083" w:rsidRPr="002148C9" w:rsidRDefault="00031083" w:rsidP="00031083">
      <w:pPr>
        <w:tabs>
          <w:tab w:val="right" w:pos="1814"/>
        </w:tabs>
        <w:ind w:left="1985" w:hanging="1985"/>
        <w:rPr>
          <w:color w:val="000000"/>
          <w:szCs w:val="24"/>
          <w:lang w:val="es-ES"/>
        </w:rPr>
      </w:pPr>
      <w:r w:rsidRPr="00031083">
        <w:rPr>
          <w:i/>
          <w:color w:val="000000"/>
          <w:szCs w:val="24"/>
          <w:lang w:val="es-ES"/>
        </w:rPr>
        <w:tab/>
      </w:r>
      <w:r w:rsidRPr="002148C9">
        <w:rPr>
          <w:i/>
          <w:color w:val="000000"/>
          <w:szCs w:val="24"/>
          <w:lang w:val="es-ES"/>
        </w:rPr>
        <w:t>T</w:t>
      </w:r>
      <w:r w:rsidRPr="00F65C28">
        <w:rPr>
          <w:i/>
          <w:color w:val="000000"/>
          <w:position w:val="-4"/>
          <w:szCs w:val="24"/>
          <w:vertAlign w:val="subscript"/>
          <w:lang w:val="es-ES"/>
        </w:rPr>
        <w:t>R</w:t>
      </w:r>
      <w:r w:rsidRPr="002148C9">
        <w:rPr>
          <w:rFonts w:ascii="Tms Rmn" w:hAnsi="Tms Rmn"/>
          <w:iCs/>
          <w:color w:val="000000"/>
          <w:szCs w:val="24"/>
          <w:lang w:val="es-ES"/>
        </w:rPr>
        <w:t> </w:t>
      </w:r>
      <w:r w:rsidRPr="002148C9">
        <w:rPr>
          <w:color w:val="000000"/>
          <w:szCs w:val="24"/>
          <w:lang w:val="es-ES"/>
        </w:rPr>
        <w:t>:</w:t>
      </w:r>
      <w:r w:rsidRPr="002148C9">
        <w:rPr>
          <w:color w:val="000000"/>
          <w:szCs w:val="24"/>
          <w:lang w:val="es-ES"/>
        </w:rPr>
        <w:tab/>
      </w:r>
      <w:r w:rsidRPr="002148C9">
        <w:rPr>
          <w:color w:val="000000"/>
          <w:szCs w:val="24"/>
          <w:lang w:val="es-ES"/>
        </w:rPr>
        <w:tab/>
        <w:t>temperatura de ruido del sistema receptor (K)</w:t>
      </w:r>
    </w:p>
    <w:p w14:paraId="3A8D3A33" w14:textId="2239513E" w:rsidR="00031083" w:rsidRDefault="00031083" w:rsidP="00031083">
      <w:pPr>
        <w:tabs>
          <w:tab w:val="right" w:pos="1814"/>
        </w:tabs>
        <w:ind w:left="1985" w:hanging="1985"/>
        <w:rPr>
          <w:color w:val="000000"/>
          <w:szCs w:val="24"/>
          <w:lang w:val="es-ES"/>
        </w:rPr>
      </w:pPr>
      <w:r w:rsidRPr="002148C9">
        <w:rPr>
          <w:i/>
          <w:color w:val="000000"/>
          <w:szCs w:val="24"/>
          <w:lang w:val="es-ES"/>
        </w:rPr>
        <w:tab/>
        <w:t>BW</w:t>
      </w:r>
      <w:r w:rsidRPr="002148C9">
        <w:rPr>
          <w:rFonts w:ascii="Tms Rmn" w:hAnsi="Tms Rmn"/>
          <w:iCs/>
          <w:color w:val="000000"/>
          <w:szCs w:val="24"/>
          <w:lang w:val="es-ES"/>
        </w:rPr>
        <w:t> </w:t>
      </w:r>
      <w:r w:rsidRPr="002148C9">
        <w:rPr>
          <w:color w:val="000000"/>
          <w:szCs w:val="24"/>
          <w:lang w:val="es-ES"/>
        </w:rPr>
        <w:t>:</w:t>
      </w:r>
      <w:r w:rsidRPr="002148C9">
        <w:rPr>
          <w:color w:val="000000"/>
          <w:szCs w:val="24"/>
          <w:lang w:val="es-ES"/>
        </w:rPr>
        <w:tab/>
      </w:r>
      <w:r w:rsidR="00036886">
        <w:rPr>
          <w:color w:val="000000"/>
          <w:szCs w:val="24"/>
          <w:lang w:val="es-ES"/>
        </w:rPr>
        <w:tab/>
      </w:r>
      <w:r w:rsidRPr="002148C9">
        <w:rPr>
          <w:color w:val="000000"/>
          <w:szCs w:val="24"/>
          <w:lang w:val="es-ES"/>
        </w:rPr>
        <w:t>anchura de banda (MHz).</w:t>
      </w:r>
    </w:p>
    <w:p w14:paraId="0BEE8CA5" w14:textId="75217EA0" w:rsidR="00DF0DD1" w:rsidRDefault="00DF0DD1">
      <w:pPr>
        <w:tabs>
          <w:tab w:val="clear" w:pos="1134"/>
          <w:tab w:val="clear" w:pos="1871"/>
          <w:tab w:val="clear" w:pos="2268"/>
        </w:tabs>
        <w:overflowPunct/>
        <w:autoSpaceDE/>
        <w:autoSpaceDN/>
        <w:adjustRightInd/>
        <w:spacing w:before="0"/>
        <w:jc w:val="left"/>
        <w:textAlignment w:val="auto"/>
        <w:rPr>
          <w:lang w:val="es-ES"/>
        </w:rPr>
      </w:pPr>
      <w:r>
        <w:rPr>
          <w:lang w:val="es-ES"/>
        </w:rPr>
        <w:br w:type="page"/>
      </w:r>
    </w:p>
    <w:p w14:paraId="56FE7B89" w14:textId="77777777" w:rsidR="00031083" w:rsidRPr="002148C9" w:rsidRDefault="00031083" w:rsidP="00685A53">
      <w:pPr>
        <w:rPr>
          <w:color w:val="000000"/>
          <w:szCs w:val="24"/>
          <w:lang w:val="es-ES"/>
        </w:rPr>
      </w:pPr>
      <w:r w:rsidRPr="002148C9">
        <w:rPr>
          <w:color w:val="000000"/>
          <w:szCs w:val="24"/>
          <w:lang w:val="es-ES"/>
        </w:rPr>
        <w:lastRenderedPageBreak/>
        <w:t xml:space="preserve">El valor de </w:t>
      </w:r>
      <w:r w:rsidRPr="00031083">
        <w:rPr>
          <w:i/>
          <w:color w:val="000000"/>
          <w:szCs w:val="24"/>
          <w:lang w:val="es-ES"/>
        </w:rPr>
        <w:t>N</w:t>
      </w:r>
      <w:r w:rsidR="00685A53" w:rsidRPr="00685A53">
        <w:rPr>
          <w:rFonts w:ascii="Tms Rmn" w:hAnsi="Tms Rmn"/>
          <w:i/>
          <w:color w:val="000000"/>
          <w:szCs w:val="24"/>
          <w:vertAlign w:val="subscript"/>
          <w:lang w:val="es-ES"/>
        </w:rPr>
        <w:t>i</w:t>
      </w:r>
      <w:r w:rsidRPr="002148C9">
        <w:rPr>
          <w:color w:val="000000"/>
          <w:szCs w:val="24"/>
          <w:lang w:val="es-ES"/>
        </w:rPr>
        <w:t xml:space="preserve"> se determina una vez para el enlace ascendente (si lo hay) y una vez para el enlace descendente (si lo hay) en el caso del sistema deseado.</w:t>
      </w:r>
    </w:p>
    <w:p w14:paraId="7BD61BC5" w14:textId="77777777" w:rsidR="00031083" w:rsidRPr="002148C9" w:rsidRDefault="00031083" w:rsidP="00685A53">
      <w:pPr>
        <w:rPr>
          <w:color w:val="000000"/>
          <w:szCs w:val="24"/>
          <w:lang w:val="es-ES"/>
        </w:rPr>
      </w:pPr>
      <w:r w:rsidRPr="002148C9">
        <w:rPr>
          <w:color w:val="000000"/>
          <w:szCs w:val="24"/>
          <w:lang w:val="es-ES"/>
        </w:rPr>
        <w:t xml:space="preserve">Una vez determinado el valor de </w:t>
      </w:r>
      <w:r w:rsidRPr="00031083">
        <w:rPr>
          <w:i/>
          <w:color w:val="000000"/>
          <w:szCs w:val="24"/>
          <w:lang w:val="es-ES"/>
        </w:rPr>
        <w:t>N</w:t>
      </w:r>
      <w:r w:rsidR="00685A53" w:rsidRPr="00685A53">
        <w:rPr>
          <w:rFonts w:ascii="Tms Rmn" w:hAnsi="Tms Rmn"/>
          <w:i/>
          <w:color w:val="000000"/>
          <w:szCs w:val="24"/>
          <w:vertAlign w:val="subscript"/>
          <w:lang w:val="es-ES"/>
        </w:rPr>
        <w:t>i</w:t>
      </w:r>
      <w:r w:rsidRPr="00685A53">
        <w:rPr>
          <w:iCs/>
          <w:color w:val="000000"/>
          <w:szCs w:val="24"/>
          <w:lang w:val="es-ES"/>
        </w:rPr>
        <w:t>,</w:t>
      </w:r>
      <w:r w:rsidRPr="002148C9">
        <w:rPr>
          <w:color w:val="000000"/>
          <w:szCs w:val="24"/>
          <w:lang w:val="es-ES"/>
        </w:rPr>
        <w:t xml:space="preserve"> se calcula la relación </w:t>
      </w:r>
      <w:r w:rsidRPr="002148C9">
        <w:rPr>
          <w:i/>
          <w:color w:val="000000"/>
          <w:szCs w:val="24"/>
          <w:lang w:val="es-ES"/>
        </w:rPr>
        <w:t>C</w:t>
      </w:r>
      <w:r w:rsidRPr="002148C9">
        <w:rPr>
          <w:color w:val="000000"/>
          <w:szCs w:val="24"/>
          <w:lang w:val="es-ES"/>
        </w:rPr>
        <w:t>/</w:t>
      </w:r>
      <w:r w:rsidRPr="002148C9">
        <w:rPr>
          <w:i/>
          <w:color w:val="000000"/>
          <w:szCs w:val="24"/>
          <w:lang w:val="es-ES"/>
        </w:rPr>
        <w:t>N</w:t>
      </w:r>
      <w:r w:rsidRPr="00081A84">
        <w:rPr>
          <w:rFonts w:ascii="Tms Rmn" w:hAnsi="Tms Rmn"/>
          <w:i/>
          <w:color w:val="000000"/>
          <w:szCs w:val="24"/>
          <w:vertAlign w:val="subscript"/>
          <w:lang w:val="es-ES"/>
        </w:rPr>
        <w:t>i</w:t>
      </w:r>
      <w:r w:rsidRPr="002148C9">
        <w:rPr>
          <w:color w:val="000000"/>
          <w:szCs w:val="24"/>
          <w:lang w:val="es-ES"/>
        </w:rPr>
        <w:t xml:space="preserve"> en cada punto de prueba del enlace ascendente (si lo hay) y en cada punto de prueba del enlace descendente (si lo hay):</w:t>
      </w:r>
    </w:p>
    <w:p w14:paraId="5FF44F13" w14:textId="77777777" w:rsidR="00031083" w:rsidRPr="002148C9" w:rsidRDefault="00031083" w:rsidP="00031083">
      <w:pPr>
        <w:tabs>
          <w:tab w:val="center" w:pos="4536"/>
          <w:tab w:val="right" w:pos="9356"/>
        </w:tabs>
        <w:jc w:val="center"/>
        <w:rPr>
          <w:color w:val="000000"/>
          <w:szCs w:val="24"/>
          <w:lang w:val="es-ES"/>
        </w:rPr>
      </w:pPr>
      <w:r w:rsidRPr="002148C9">
        <w:rPr>
          <w:color w:val="000000"/>
          <w:position w:val="-32"/>
          <w:szCs w:val="24"/>
          <w:lang w:val="es-ES"/>
        </w:rPr>
        <w:object w:dxaOrig="1500" w:dyaOrig="760" w14:anchorId="79097116">
          <v:shape id="_x0000_i1045" type="#_x0000_t75" style="width:75pt;height:37.5pt" o:ole="">
            <v:imagedata r:id="rId47" o:title=""/>
          </v:shape>
          <o:OLEObject Type="Embed" ProgID="Equation.3" ShapeID="_x0000_i1045" DrawAspect="Content" ObjectID="_1831207892" r:id="rId48"/>
        </w:object>
      </w:r>
    </w:p>
    <w:p w14:paraId="3A8A6525" w14:textId="77777777" w:rsidR="00031083" w:rsidRPr="00031083" w:rsidRDefault="00031083" w:rsidP="00031083">
      <w:pPr>
        <w:rPr>
          <w:color w:val="000000"/>
          <w:szCs w:val="24"/>
          <w:lang w:val="es-ES"/>
        </w:rPr>
      </w:pPr>
      <w:r w:rsidRPr="00031083">
        <w:rPr>
          <w:color w:val="000000"/>
          <w:szCs w:val="24"/>
          <w:lang w:val="es-ES"/>
        </w:rPr>
        <w:t>donde:</w:t>
      </w:r>
    </w:p>
    <w:p w14:paraId="6A56FCBA" w14:textId="77777777" w:rsidR="00031083" w:rsidRPr="00031083" w:rsidRDefault="00031083" w:rsidP="00031083">
      <w:pPr>
        <w:tabs>
          <w:tab w:val="right" w:pos="1814"/>
        </w:tabs>
        <w:ind w:left="1985" w:hanging="1985"/>
        <w:rPr>
          <w:color w:val="000000"/>
          <w:szCs w:val="24"/>
          <w:lang w:val="es-ES"/>
        </w:rPr>
      </w:pPr>
      <w:r w:rsidRPr="00031083">
        <w:rPr>
          <w:i/>
          <w:color w:val="000000"/>
          <w:szCs w:val="24"/>
          <w:lang w:val="es-ES"/>
        </w:rPr>
        <w:tab/>
        <w:t>C</w:t>
      </w:r>
      <w:r w:rsidRPr="00031083">
        <w:rPr>
          <w:rFonts w:ascii="Tms Rmn" w:hAnsi="Tms Rmn"/>
          <w:iCs/>
          <w:color w:val="000000"/>
          <w:szCs w:val="24"/>
          <w:lang w:val="es-ES"/>
        </w:rPr>
        <w:t> </w:t>
      </w:r>
      <w:r w:rsidRPr="00031083">
        <w:rPr>
          <w:color w:val="000000"/>
          <w:szCs w:val="24"/>
          <w:lang w:val="es-ES"/>
        </w:rPr>
        <w:t>:</w:t>
      </w:r>
      <w:r w:rsidR="00792867">
        <w:rPr>
          <w:color w:val="000000"/>
          <w:szCs w:val="24"/>
          <w:lang w:val="es-ES"/>
        </w:rPr>
        <w:tab/>
      </w:r>
      <w:r w:rsidRPr="00031083">
        <w:rPr>
          <w:color w:val="000000"/>
          <w:szCs w:val="24"/>
          <w:lang w:val="es-ES"/>
        </w:rPr>
        <w:tab/>
        <w:t>portadora (dBW)</w:t>
      </w:r>
    </w:p>
    <w:p w14:paraId="262A65EE" w14:textId="77777777" w:rsidR="00031083" w:rsidRPr="00031083" w:rsidRDefault="00031083" w:rsidP="00792867">
      <w:pPr>
        <w:tabs>
          <w:tab w:val="right" w:pos="1814"/>
        </w:tabs>
        <w:ind w:left="1985" w:hanging="1985"/>
        <w:rPr>
          <w:color w:val="000000"/>
          <w:szCs w:val="24"/>
          <w:lang w:val="es-ES"/>
        </w:rPr>
      </w:pPr>
      <w:r w:rsidRPr="00031083">
        <w:rPr>
          <w:i/>
          <w:color w:val="000000"/>
          <w:szCs w:val="24"/>
          <w:lang w:val="es-ES"/>
        </w:rPr>
        <w:tab/>
        <w:t>N</w:t>
      </w:r>
      <w:r w:rsidR="00792867" w:rsidRPr="00685A53">
        <w:rPr>
          <w:rFonts w:ascii="Tms Rmn" w:hAnsi="Tms Rmn"/>
          <w:i/>
          <w:color w:val="000000"/>
          <w:szCs w:val="24"/>
          <w:vertAlign w:val="subscript"/>
          <w:lang w:val="es-ES"/>
        </w:rPr>
        <w:t>i</w:t>
      </w:r>
      <w:r w:rsidRPr="00031083">
        <w:rPr>
          <w:rFonts w:ascii="Tms Rmn" w:hAnsi="Tms Rmn"/>
          <w:iCs/>
          <w:color w:val="000000"/>
          <w:szCs w:val="24"/>
          <w:lang w:val="es-ES"/>
        </w:rPr>
        <w:t> </w:t>
      </w:r>
      <w:r w:rsidRPr="00031083">
        <w:rPr>
          <w:color w:val="000000"/>
          <w:szCs w:val="24"/>
          <w:lang w:val="es-ES"/>
        </w:rPr>
        <w:t>:</w:t>
      </w:r>
      <w:r w:rsidRPr="00031083">
        <w:rPr>
          <w:color w:val="000000"/>
          <w:szCs w:val="24"/>
          <w:lang w:val="es-ES"/>
        </w:rPr>
        <w:tab/>
      </w:r>
      <w:r w:rsidR="00792867">
        <w:rPr>
          <w:color w:val="000000"/>
          <w:szCs w:val="24"/>
          <w:lang w:val="es-ES"/>
        </w:rPr>
        <w:tab/>
      </w:r>
      <w:r w:rsidRPr="00031083">
        <w:rPr>
          <w:color w:val="000000"/>
          <w:szCs w:val="24"/>
          <w:lang w:val="es-ES"/>
        </w:rPr>
        <w:t>ruido interno del sistema (dBW)</w:t>
      </w:r>
      <w:r w:rsidRPr="002148C9">
        <w:rPr>
          <w:color w:val="000000"/>
          <w:szCs w:val="24"/>
          <w:lang w:val="es-ES"/>
        </w:rPr>
        <w:t>, calculado más arriba</w:t>
      </w:r>
      <w:r w:rsidRPr="00031083">
        <w:rPr>
          <w:color w:val="000000"/>
          <w:szCs w:val="24"/>
          <w:lang w:val="es-ES"/>
        </w:rPr>
        <w:t>.</w:t>
      </w:r>
    </w:p>
    <w:p w14:paraId="542596A7" w14:textId="77777777" w:rsidR="00361A40" w:rsidRPr="005C7612" w:rsidRDefault="00361A40">
      <w:pPr>
        <w:pStyle w:val="Heading2"/>
        <w:rPr>
          <w:color w:val="000000"/>
          <w:lang w:val="es-ES_tradnl"/>
        </w:rPr>
      </w:pPr>
      <w:r w:rsidRPr="005C7612">
        <w:rPr>
          <w:color w:val="000000"/>
          <w:lang w:val="es-ES_tradnl"/>
        </w:rPr>
        <w:t>3.1</w:t>
      </w:r>
      <w:r w:rsidRPr="005C7612">
        <w:rPr>
          <w:color w:val="000000"/>
          <w:lang w:val="es-ES_tradnl"/>
        </w:rPr>
        <w:tab/>
        <w:t>Determinación de la relación de protección relativa para el Caso (V) del anterior Cuadro 1 en el caso de (TV-MF) a (TV-MF)</w:t>
      </w:r>
    </w:p>
    <w:p w14:paraId="41115691" w14:textId="77777777" w:rsidR="00361A40" w:rsidRPr="005C7612" w:rsidRDefault="00361A40" w:rsidP="009623E6">
      <w:pPr>
        <w:rPr>
          <w:color w:val="000000"/>
          <w:sz w:val="16"/>
          <w:lang w:val="es-ES_tradnl"/>
        </w:rPr>
      </w:pPr>
      <w:r w:rsidRPr="005C7612">
        <w:rPr>
          <w:color w:val="000000"/>
          <w:lang w:val="es-ES_tradnl"/>
        </w:rPr>
        <w:t>Al tratar de la situación de interferencia en frecuencias distintas producida por una portadora TV</w:t>
      </w:r>
      <w:r w:rsidRPr="005C7612">
        <w:rPr>
          <w:color w:val="000000"/>
          <w:lang w:val="es-ES_tradnl"/>
        </w:rPr>
        <w:noBreakHyphen/>
        <w:t>MF a otra portadora TV-MF, la Oficina de Radiocomunicaciones está utilizando las plantillas definidas en las Reglas de Procedimiento relativas a los § 3.5.1 y</w:t>
      </w:r>
      <w:r w:rsidR="009623E6">
        <w:rPr>
          <w:color w:val="000000"/>
          <w:lang w:val="es-ES_tradnl"/>
        </w:rPr>
        <w:t xml:space="preserve"> </w:t>
      </w:r>
      <w:r w:rsidRPr="005C7612">
        <w:rPr>
          <w:color w:val="000000"/>
          <w:lang w:val="es-ES_tradnl"/>
        </w:rPr>
        <w:t>3.8 del Anexo 5 al Apéndice </w:t>
      </w:r>
      <w:r w:rsidRPr="005C7612">
        <w:rPr>
          <w:rStyle w:val="Appref"/>
          <w:b/>
          <w:bCs/>
          <w:color w:val="000000"/>
          <w:lang w:val="es-ES_tradnl"/>
        </w:rPr>
        <w:t>30</w:t>
      </w:r>
      <w:r w:rsidRPr="005C7612">
        <w:rPr>
          <w:color w:val="000000"/>
          <w:lang w:val="es-ES_tradnl"/>
        </w:rPr>
        <w:t xml:space="preserve"> para el mismo caso de interferencia. Esa relajación resultante de la relación de protección se aplica al factor </w:t>
      </w:r>
      <w:r w:rsidRPr="005C7612">
        <w:rPr>
          <w:i/>
          <w:color w:val="000000"/>
          <w:lang w:val="es-ES_tradnl"/>
        </w:rPr>
        <w:t>K</w:t>
      </w:r>
      <w:r w:rsidRPr="005C7612">
        <w:rPr>
          <w:color w:val="000000"/>
          <w:lang w:val="es-ES_tradnl"/>
        </w:rPr>
        <w:t xml:space="preserve"> de 14,0 dB establecido en la Recomendación</w:t>
      </w:r>
      <w:r w:rsidR="009623E6">
        <w:rPr>
          <w:color w:val="000000"/>
          <w:lang w:val="es-ES_tradnl"/>
        </w:rPr>
        <w:t> </w:t>
      </w:r>
      <w:r w:rsidRPr="005C7612">
        <w:rPr>
          <w:color w:val="000000"/>
          <w:lang w:val="es-ES_tradnl"/>
        </w:rPr>
        <w:t>UIT</w:t>
      </w:r>
      <w:r w:rsidR="009623E6">
        <w:rPr>
          <w:color w:val="000000"/>
          <w:lang w:val="es-ES_tradnl"/>
        </w:rPr>
        <w:noBreakHyphen/>
      </w:r>
      <w:r w:rsidRPr="005C7612">
        <w:rPr>
          <w:color w:val="000000"/>
          <w:lang w:val="es-ES_tradnl"/>
        </w:rPr>
        <w:t>R S.483.</w:t>
      </w:r>
      <w:r w:rsidRPr="005C7612">
        <w:rPr>
          <w:color w:val="000000"/>
          <w:sz w:val="16"/>
          <w:lang w:val="es-ES_tradnl"/>
        </w:rPr>
        <w:t xml:space="preserve"> </w:t>
      </w:r>
    </w:p>
    <w:p w14:paraId="5132C09B" w14:textId="77777777" w:rsidR="00361A40" w:rsidRPr="005C7612" w:rsidRDefault="00361A40">
      <w:pPr>
        <w:pStyle w:val="Heading1"/>
        <w:ind w:left="0" w:firstLine="0"/>
        <w:jc w:val="center"/>
        <w:rPr>
          <w:b w:val="0"/>
          <w:color w:val="000000"/>
          <w:lang w:val="es-ES_tradnl"/>
        </w:rPr>
      </w:pPr>
      <w:r w:rsidRPr="005C7612">
        <w:rPr>
          <w:b w:val="0"/>
          <w:color w:val="000000"/>
          <w:lang w:val="es-ES_tradnl"/>
        </w:rPr>
        <w:t>ADJUNTO  2</w:t>
      </w:r>
    </w:p>
    <w:p w14:paraId="2313E289" w14:textId="77777777" w:rsidR="00361A40" w:rsidRPr="005C7612" w:rsidRDefault="00361A40">
      <w:pPr>
        <w:pStyle w:val="Heading1"/>
        <w:spacing w:before="240"/>
        <w:ind w:left="0" w:firstLine="0"/>
        <w:jc w:val="center"/>
        <w:rPr>
          <w:color w:val="000000"/>
          <w:lang w:val="es-ES_tradnl"/>
        </w:rPr>
      </w:pPr>
      <w:r w:rsidRPr="005C7612">
        <w:rPr>
          <w:color w:val="000000"/>
          <w:lang w:val="es-ES_tradnl"/>
        </w:rPr>
        <w:t>Márgenes adicionales que han de tomarse en consideración</w:t>
      </w:r>
    </w:p>
    <w:p w14:paraId="4CE66EA5" w14:textId="77777777" w:rsidR="00361A40" w:rsidRPr="005C7612" w:rsidRDefault="00361A40">
      <w:pPr>
        <w:pStyle w:val="Heading1"/>
        <w:rPr>
          <w:color w:val="000000"/>
          <w:lang w:val="es-ES_tradnl"/>
        </w:rPr>
      </w:pPr>
      <w:r w:rsidRPr="005C7612">
        <w:rPr>
          <w:color w:val="000000"/>
          <w:lang w:val="es-ES_tradnl"/>
        </w:rPr>
        <w:t>1</w:t>
      </w:r>
      <w:r w:rsidRPr="005C7612">
        <w:rPr>
          <w:color w:val="000000"/>
          <w:lang w:val="es-ES_tradnl"/>
        </w:rPr>
        <w:tab/>
        <w:t>Introducción</w:t>
      </w:r>
    </w:p>
    <w:p w14:paraId="3F2F97B8" w14:textId="0DA12B17" w:rsidR="00361A40" w:rsidRPr="005C7612" w:rsidRDefault="00361A40">
      <w:pPr>
        <w:rPr>
          <w:color w:val="000000"/>
          <w:lang w:val="es-ES_tradnl"/>
        </w:rPr>
      </w:pPr>
      <w:r w:rsidRPr="005C7612">
        <w:rPr>
          <w:color w:val="000000"/>
          <w:lang w:val="es-ES_tradnl"/>
        </w:rPr>
        <w:t>Para evaluar en definitiva el efecto interferente en una emisión dada, es preciso ajustar los</w:t>
      </w:r>
      <w:r w:rsidR="00DF0DD1">
        <w:rPr>
          <w:color w:val="000000"/>
          <w:lang w:val="es-ES_tradnl"/>
        </w:rPr>
        <w:t xml:space="preserve"> </w:t>
      </w:r>
      <w:r w:rsidRPr="005C7612">
        <w:rPr>
          <w:color w:val="000000"/>
          <w:lang w:val="es-ES_tradnl"/>
        </w:rPr>
        <w:t xml:space="preserve">márgenes resultantes tomando en cuenta la definición de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 xml:space="preserve"> dada por la Recomendación</w:t>
      </w:r>
      <w:r w:rsidR="00DF0DD1">
        <w:rPr>
          <w:color w:val="000000"/>
          <w:lang w:val="es-ES_tradnl"/>
        </w:rPr>
        <w:t xml:space="preserve"> </w:t>
      </w:r>
      <w:r w:rsidRPr="005C7612">
        <w:rPr>
          <w:color w:val="000000"/>
          <w:lang w:val="es-ES_tradnl"/>
        </w:rPr>
        <w:t>UIT</w:t>
      </w:r>
      <w:r w:rsidRPr="005C7612">
        <w:rPr>
          <w:color w:val="000000"/>
          <w:lang w:val="es-ES_tradnl"/>
        </w:rPr>
        <w:noBreakHyphen/>
        <w:t>R </w:t>
      </w:r>
      <w:r w:rsidRPr="005C7612">
        <w:rPr>
          <w:rFonts w:ascii="Tms Rmn" w:hAnsi="Tms Rmn"/>
          <w:color w:val="000000"/>
          <w:sz w:val="12"/>
          <w:lang w:val="es-ES_tradnl"/>
        </w:rPr>
        <w:t> </w:t>
      </w:r>
      <w:r w:rsidRPr="005C7612">
        <w:rPr>
          <w:color w:val="000000"/>
          <w:lang w:val="es-ES_tradnl"/>
        </w:rPr>
        <w:t>S.741</w:t>
      </w:r>
      <w:r w:rsidRPr="005C7612">
        <w:rPr>
          <w:color w:val="000000"/>
          <w:lang w:val="es-ES_tradnl"/>
        </w:rPr>
        <w:noBreakHyphen/>
        <w:t>2 que, en la mayoría de los casos, es la referencia necesaria en materia de calidad de funcionamiento para determinar los niveles de los criterios de interferencia de</w:t>
      </w:r>
      <w:r w:rsidR="00973109">
        <w:rPr>
          <w:color w:val="000000"/>
          <w:lang w:val="es-ES_tradnl"/>
        </w:rPr>
        <w:t xml:space="preserve"> </w:t>
      </w:r>
      <w:r w:rsidRPr="005C7612">
        <w:rPr>
          <w:color w:val="000000"/>
          <w:lang w:val="es-ES_tradnl"/>
        </w:rPr>
        <w:t>una sola fuente para las portadoras del SFS (véase el Cuadro</w:t>
      </w:r>
      <w:r w:rsidR="00C96959">
        <w:rPr>
          <w:color w:val="000000"/>
          <w:lang w:val="es-ES_tradnl"/>
        </w:rPr>
        <w:t> </w:t>
      </w:r>
      <w:r w:rsidRPr="005C7612">
        <w:rPr>
          <w:color w:val="000000"/>
          <w:lang w:val="es-ES_tradnl"/>
        </w:rPr>
        <w:t>2 de la Recomendación</w:t>
      </w:r>
      <w:r w:rsidR="00C96959">
        <w:rPr>
          <w:color w:val="000000"/>
          <w:lang w:val="es-ES_tradnl"/>
        </w:rPr>
        <w:t xml:space="preserve"> </w:t>
      </w:r>
      <w:r w:rsidRPr="005C7612">
        <w:rPr>
          <w:color w:val="000000"/>
          <w:lang w:val="es-ES_tradnl"/>
        </w:rPr>
        <w:t>UIT</w:t>
      </w:r>
      <w:r w:rsidRPr="005C7612">
        <w:rPr>
          <w:color w:val="000000"/>
          <w:lang w:val="es-ES_tradnl"/>
        </w:rPr>
        <w:noBreakHyphen/>
        <w:t>R S.741</w:t>
      </w:r>
      <w:r w:rsidRPr="005C7612">
        <w:rPr>
          <w:color w:val="000000"/>
          <w:lang w:val="es-ES_tradnl"/>
        </w:rPr>
        <w:noBreakHyphen/>
        <w:t>2).</w:t>
      </w:r>
    </w:p>
    <w:p w14:paraId="1FDC3747" w14:textId="26039125" w:rsidR="00361A40" w:rsidRDefault="00361A40">
      <w:pPr>
        <w:rPr>
          <w:color w:val="000000"/>
          <w:lang w:val="es-ES_tradnl"/>
        </w:rPr>
      </w:pPr>
      <w:r w:rsidRPr="005C7612">
        <w:rPr>
          <w:color w:val="000000"/>
          <w:lang w:val="es-ES_tradnl"/>
        </w:rPr>
        <w:t xml:space="preserve">En el Cuadro antes citado se define </w:t>
      </w:r>
      <w:r w:rsidRPr="005C7612">
        <w:rPr>
          <w:i/>
          <w:color w:val="000000"/>
          <w:lang w:val="es-ES_tradnl"/>
        </w:rPr>
        <w:t>C</w:t>
      </w:r>
      <w:r w:rsidRPr="005C7612">
        <w:rPr>
          <w:color w:val="000000"/>
          <w:lang w:val="es-ES_tradnl"/>
        </w:rPr>
        <w:t>/</w:t>
      </w:r>
      <w:r w:rsidRPr="005C7612">
        <w:rPr>
          <w:i/>
          <w:color w:val="000000"/>
          <w:lang w:val="es-ES_tradnl"/>
        </w:rPr>
        <w:t>N</w:t>
      </w:r>
      <w:r w:rsidRPr="005C7612">
        <w:rPr>
          <w:color w:val="000000"/>
          <w:lang w:val="es-ES_tradnl"/>
        </w:rPr>
        <w:t xml:space="preserve"> como la: «relación (dB) entre la potencia de la portadora y la del ruido total que incluye todo el ruido interno del sistema y la interferencia procedente de otros sistemas».</w:t>
      </w:r>
    </w:p>
    <w:p w14:paraId="71E3EC84" w14:textId="14D63C93" w:rsidR="00C96959" w:rsidRDefault="00C96959">
      <w:pPr>
        <w:rPr>
          <w:color w:val="000000"/>
          <w:lang w:val="es-ES_tradnl"/>
        </w:rPr>
      </w:pPr>
      <w:r>
        <w:rPr>
          <w:color w:val="000000"/>
          <w:lang w:val="es-ES_tradnl"/>
        </w:rPr>
        <w:br w:type="page"/>
      </w:r>
    </w:p>
    <w:p w14:paraId="5E415291" w14:textId="77777777" w:rsidR="00361A40" w:rsidRPr="005C7612" w:rsidRDefault="00361A40">
      <w:pPr>
        <w:pStyle w:val="Heading1"/>
        <w:rPr>
          <w:color w:val="000000"/>
          <w:u w:val="single"/>
          <w:lang w:val="es-ES_tradnl"/>
        </w:rPr>
      </w:pPr>
      <w:r w:rsidRPr="005C7612">
        <w:rPr>
          <w:color w:val="000000"/>
          <w:lang w:val="es-ES_tradnl"/>
        </w:rPr>
        <w:lastRenderedPageBreak/>
        <w:t>2</w:t>
      </w:r>
      <w:r w:rsidRPr="005C7612">
        <w:rPr>
          <w:color w:val="000000"/>
          <w:lang w:val="es-ES_tradnl"/>
        </w:rPr>
        <w:tab/>
        <w:t xml:space="preserve">Cálculos realizados conforme al número </w:t>
      </w:r>
      <w:r w:rsidRPr="005C7612">
        <w:rPr>
          <w:rStyle w:val="Artref"/>
          <w:color w:val="000000"/>
          <w:lang w:val="es-ES_tradnl"/>
        </w:rPr>
        <w:t>1.174</w:t>
      </w:r>
    </w:p>
    <w:p w14:paraId="0B097239" w14:textId="77777777" w:rsidR="00361A40" w:rsidRPr="005C7612" w:rsidRDefault="00361A40">
      <w:pPr>
        <w:rPr>
          <w:color w:val="000000"/>
          <w:lang w:val="es-ES_tradnl"/>
        </w:rPr>
      </w:pPr>
      <w:r w:rsidRPr="005C7612">
        <w:rPr>
          <w:color w:val="000000"/>
          <w:lang w:val="es-ES_tradnl"/>
        </w:rPr>
        <w:t xml:space="preserve">En el número </w:t>
      </w:r>
      <w:r w:rsidRPr="005C7612">
        <w:rPr>
          <w:rStyle w:val="Artref"/>
          <w:b/>
          <w:color w:val="000000"/>
          <w:lang w:val="es-ES_tradnl"/>
        </w:rPr>
        <w:t>1.174</w:t>
      </w:r>
      <w:r w:rsidRPr="005C7612">
        <w:rPr>
          <w:color w:val="000000"/>
          <w:lang w:val="es-ES_tradnl"/>
        </w:rPr>
        <w:t xml:space="preserve"> se define la</w:t>
      </w:r>
      <w:r w:rsidRPr="005C7612">
        <w:rPr>
          <w:i/>
          <w:color w:val="000000"/>
          <w:lang w:val="es-ES_tradnl"/>
        </w:rPr>
        <w:t xml:space="preserve"> </w:t>
      </w:r>
      <w:r w:rsidRPr="005C7612">
        <w:rPr>
          <w:iCs/>
          <w:color w:val="000000"/>
          <w:lang w:val="es-ES_tradnl"/>
        </w:rPr>
        <w:t>temperatura de ruido equivalente de un enlace por satélite</w:t>
      </w:r>
      <w:r w:rsidRPr="005C7612">
        <w:rPr>
          <w:color w:val="000000"/>
          <w:lang w:val="es-ES_tradnl"/>
        </w:rPr>
        <w:t xml:space="preserve"> del siguiente modo:</w:t>
      </w:r>
    </w:p>
    <w:p w14:paraId="046FBD9E" w14:textId="7196708F" w:rsidR="00361A40" w:rsidRPr="007A01F5" w:rsidRDefault="00361A40">
      <w:pPr>
        <w:rPr>
          <w:i/>
          <w:iCs/>
          <w:color w:val="000000"/>
          <w:lang w:val="es-ES_tradnl"/>
        </w:rPr>
      </w:pPr>
      <w:r w:rsidRPr="007A01F5">
        <w:rPr>
          <w:i/>
          <w:iCs/>
          <w:color w:val="000000"/>
          <w:lang w:val="es-ES_tradnl"/>
        </w:rPr>
        <w:t xml:space="preserve">«Temperatura de ruido referida a la salida de la antena receptora de la </w:t>
      </w:r>
      <w:r w:rsidRPr="000309B6">
        <w:rPr>
          <w:i/>
          <w:iCs/>
          <w:color w:val="000000"/>
          <w:lang w:val="es-ES_tradnl"/>
        </w:rPr>
        <w:t>estación terrena</w:t>
      </w:r>
      <w:r w:rsidRPr="007A01F5">
        <w:rPr>
          <w:i/>
          <w:iCs/>
          <w:color w:val="000000"/>
          <w:lang w:val="es-ES_tradnl"/>
        </w:rPr>
        <w:t xml:space="preserve"> que corresponda a la potencia de ruido de radiofrecuencia que produce el ruido total observado en la salida del </w:t>
      </w:r>
      <w:r w:rsidRPr="000309B6">
        <w:rPr>
          <w:i/>
          <w:iCs/>
          <w:color w:val="000000"/>
          <w:lang w:val="es-ES_tradnl"/>
        </w:rPr>
        <w:t>enlace por satélite</w:t>
      </w:r>
      <w:r w:rsidRPr="007A01F5">
        <w:rPr>
          <w:i/>
          <w:iCs/>
          <w:color w:val="000000"/>
          <w:lang w:val="es-ES_tradnl"/>
        </w:rPr>
        <w:t xml:space="preserve">, con exclusión del ruido debido a las </w:t>
      </w:r>
      <w:r w:rsidRPr="000309B6">
        <w:rPr>
          <w:i/>
          <w:iCs/>
          <w:color w:val="000000"/>
          <w:lang w:val="es-ES_tradnl"/>
        </w:rPr>
        <w:t>interferencias</w:t>
      </w:r>
      <w:r w:rsidRPr="007A01F5">
        <w:rPr>
          <w:i/>
          <w:iCs/>
          <w:color w:val="000000"/>
          <w:lang w:val="es-ES_tradnl"/>
        </w:rPr>
        <w:t xml:space="preserve"> provocadas por los </w:t>
      </w:r>
      <w:r w:rsidRPr="000309B6">
        <w:rPr>
          <w:i/>
          <w:iCs/>
          <w:color w:val="000000"/>
          <w:lang w:val="es-ES_tradnl"/>
        </w:rPr>
        <w:t>enlaces por satélite</w:t>
      </w:r>
      <w:r w:rsidRPr="007A01F5">
        <w:rPr>
          <w:i/>
          <w:iCs/>
          <w:color w:val="000000"/>
          <w:lang w:val="es-ES_tradnl"/>
        </w:rPr>
        <w:t xml:space="preserve"> que utilizan otros </w:t>
      </w:r>
      <w:r w:rsidRPr="000309B6">
        <w:rPr>
          <w:i/>
          <w:iCs/>
          <w:color w:val="000000"/>
          <w:lang w:val="es-ES_tradnl"/>
        </w:rPr>
        <w:t>satélites</w:t>
      </w:r>
      <w:r w:rsidRPr="007A01F5">
        <w:rPr>
          <w:i/>
          <w:iCs/>
          <w:color w:val="000000"/>
          <w:lang w:val="es-ES_tradnl"/>
        </w:rPr>
        <w:t xml:space="preserve"> y por los sistemas terrenales.»</w:t>
      </w:r>
    </w:p>
    <w:p w14:paraId="59659981" w14:textId="77777777" w:rsidR="00361A40" w:rsidRPr="005C7612" w:rsidRDefault="00361A40" w:rsidP="009623E6">
      <w:pPr>
        <w:rPr>
          <w:color w:val="000000"/>
          <w:lang w:val="es-ES_tradnl"/>
        </w:rPr>
      </w:pPr>
      <w:r w:rsidRPr="005C7612">
        <w:rPr>
          <w:color w:val="000000"/>
          <w:lang w:val="es-ES_tradnl"/>
        </w:rPr>
        <w:t xml:space="preserve">Los valores de temperatura de ruido internos del sistema indicados por las administraciones para calcular el ruido interno del sistema, </w:t>
      </w:r>
      <w:r w:rsidRPr="005C7612">
        <w:rPr>
          <w:i/>
          <w:color w:val="000000"/>
          <w:lang w:val="es-ES_tradnl"/>
        </w:rPr>
        <w:t>N</w:t>
      </w:r>
      <w:r w:rsidRPr="005C7612">
        <w:rPr>
          <w:color w:val="000000"/>
          <w:lang w:val="es-ES_tradnl"/>
        </w:rPr>
        <w:t xml:space="preserve">, esto es, </w:t>
      </w:r>
      <w:r w:rsidRPr="005C7612">
        <w:rPr>
          <w:i/>
          <w:color w:val="000000"/>
          <w:lang w:val="es-ES_tradnl"/>
        </w:rPr>
        <w:t>T</w:t>
      </w:r>
      <w:r w:rsidRPr="00AA0C4B">
        <w:rPr>
          <w:i/>
          <w:iCs/>
          <w:vertAlign w:val="subscript"/>
          <w:lang w:val="es-ES_tradnl"/>
        </w:rPr>
        <w:t>s</w:t>
      </w:r>
      <w:r w:rsidRPr="005C7612">
        <w:rPr>
          <w:color w:val="000000"/>
          <w:lang w:val="es-ES_tradnl"/>
        </w:rPr>
        <w:t xml:space="preserve"> y </w:t>
      </w:r>
      <w:r w:rsidRPr="005C7612">
        <w:rPr>
          <w:i/>
          <w:color w:val="000000"/>
          <w:lang w:val="es-ES_tradnl"/>
        </w:rPr>
        <w:t>T</w:t>
      </w:r>
      <w:r w:rsidRPr="00AA0C4B">
        <w:rPr>
          <w:i/>
          <w:iCs/>
          <w:vertAlign w:val="subscript"/>
          <w:lang w:val="es-ES_tradnl"/>
        </w:rPr>
        <w:t>e</w:t>
      </w:r>
      <w:r w:rsidRPr="005C7612">
        <w:rPr>
          <w:color w:val="000000"/>
          <w:lang w:val="es-ES_tradnl"/>
        </w:rPr>
        <w:t>, se definen en el Apéndice</w:t>
      </w:r>
      <w:r w:rsidR="009623E6">
        <w:rPr>
          <w:color w:val="000000"/>
          <w:lang w:val="es-ES_tradnl"/>
        </w:rPr>
        <w:t> </w:t>
      </w:r>
      <w:r w:rsidRPr="005C7612">
        <w:rPr>
          <w:rStyle w:val="Appref"/>
          <w:b/>
          <w:bCs/>
          <w:color w:val="000000"/>
          <w:lang w:val="es-ES_tradnl"/>
        </w:rPr>
        <w:t>8</w:t>
      </w:r>
      <w:r w:rsidRPr="005C7612">
        <w:rPr>
          <w:color w:val="000000"/>
          <w:lang w:val="es-ES_tradnl"/>
        </w:rPr>
        <w:t xml:space="preserve"> del siguiente modo:</w:t>
      </w:r>
    </w:p>
    <w:p w14:paraId="29BED683" w14:textId="77777777" w:rsidR="00361A40" w:rsidRPr="005C7612" w:rsidRDefault="00361A40" w:rsidP="005C7612">
      <w:pPr>
        <w:pStyle w:val="enumlev1"/>
        <w:tabs>
          <w:tab w:val="left" w:pos="680"/>
        </w:tabs>
        <w:ind w:left="680" w:hanging="680"/>
        <w:rPr>
          <w:color w:val="000000"/>
          <w:lang w:val="es-ES_tradnl"/>
        </w:rPr>
      </w:pPr>
      <w:r w:rsidRPr="000360E1">
        <w:rPr>
          <w:color w:val="000000"/>
          <w:lang w:val="es-ES_tradnl"/>
        </w:rPr>
        <w:t>«</w:t>
      </w:r>
      <w:r w:rsidRPr="000360E1">
        <w:rPr>
          <w:i/>
          <w:color w:val="000000"/>
          <w:lang w:val="es-ES_tradnl"/>
        </w:rPr>
        <w:t>T</w:t>
      </w:r>
      <w:r w:rsidRPr="000360E1">
        <w:rPr>
          <w:i/>
          <w:iCs/>
          <w:vertAlign w:val="subscript"/>
          <w:lang w:val="es-ES_tradnl"/>
        </w:rPr>
        <w:t>s</w:t>
      </w:r>
      <w:r w:rsidRPr="000360E1">
        <w:rPr>
          <w:color w:val="000000"/>
          <w:sz w:val="12"/>
          <w:lang w:val="es-ES_tradnl"/>
        </w:rPr>
        <w:t> </w:t>
      </w:r>
      <w:r w:rsidRPr="000360E1">
        <w:rPr>
          <w:color w:val="000000"/>
          <w:lang w:val="es-ES_tradnl"/>
        </w:rPr>
        <w:t>:</w:t>
      </w:r>
      <w:r w:rsidRPr="000360E1">
        <w:rPr>
          <w:color w:val="000000"/>
          <w:lang w:val="es-ES_tradnl"/>
        </w:rPr>
        <w:tab/>
      </w:r>
      <w:r w:rsidRPr="007A01F5">
        <w:rPr>
          <w:i/>
          <w:iCs/>
          <w:color w:val="000000"/>
          <w:lang w:val="es-ES_tradnl"/>
        </w:rPr>
        <w:t>temperatura de ruido del sistema de recepción de la estación espacial referida a la salida de la antena de recepción de la estación espacial</w:t>
      </w:r>
      <w:r w:rsidR="005C7612" w:rsidRPr="007A01F5">
        <w:rPr>
          <w:i/>
          <w:iCs/>
          <w:color w:val="000000"/>
          <w:lang w:val="es-ES_tradnl"/>
        </w:rPr>
        <w:t> </w:t>
      </w:r>
      <w:r w:rsidRPr="007A01F5">
        <w:rPr>
          <w:i/>
          <w:iCs/>
          <w:color w:val="000000"/>
          <w:lang w:val="es-ES_tradnl"/>
        </w:rPr>
        <w:t>(K)»</w:t>
      </w:r>
    </w:p>
    <w:p w14:paraId="1938219B" w14:textId="77777777" w:rsidR="00361A40" w:rsidRPr="005C7612" w:rsidRDefault="00361A40" w:rsidP="005C7612">
      <w:pPr>
        <w:pStyle w:val="enumlev1"/>
        <w:tabs>
          <w:tab w:val="left" w:pos="680"/>
        </w:tabs>
        <w:ind w:left="680" w:hanging="680"/>
        <w:rPr>
          <w:color w:val="000000"/>
          <w:lang w:val="es-ES_tradnl"/>
        </w:rPr>
      </w:pPr>
      <w:r w:rsidRPr="000360E1">
        <w:rPr>
          <w:i/>
          <w:color w:val="000000"/>
          <w:lang w:val="es-ES_tradnl"/>
        </w:rPr>
        <w:t>«T</w:t>
      </w:r>
      <w:r w:rsidRPr="000360E1">
        <w:rPr>
          <w:i/>
          <w:iCs/>
          <w:vertAlign w:val="subscript"/>
          <w:lang w:val="es-ES_tradnl"/>
        </w:rPr>
        <w:t>e</w:t>
      </w:r>
      <w:r w:rsidRPr="000360E1">
        <w:rPr>
          <w:color w:val="000000"/>
          <w:sz w:val="12"/>
          <w:lang w:val="es-ES_tradnl"/>
        </w:rPr>
        <w:t> </w:t>
      </w:r>
      <w:r w:rsidRPr="000360E1">
        <w:rPr>
          <w:color w:val="000000"/>
          <w:lang w:val="es-ES_tradnl"/>
        </w:rPr>
        <w:t>:</w:t>
      </w:r>
      <w:r w:rsidRPr="000360E1">
        <w:rPr>
          <w:color w:val="000000"/>
          <w:lang w:val="es-ES_tradnl"/>
        </w:rPr>
        <w:tab/>
      </w:r>
      <w:r w:rsidRPr="000360E1">
        <w:rPr>
          <w:i/>
          <w:iCs/>
          <w:color w:val="000000"/>
          <w:lang w:val="es-ES_tradnl"/>
        </w:rPr>
        <w:t>temperatura</w:t>
      </w:r>
      <w:r w:rsidRPr="007A01F5">
        <w:rPr>
          <w:i/>
          <w:iCs/>
          <w:color w:val="000000"/>
          <w:lang w:val="es-ES_tradnl"/>
        </w:rPr>
        <w:t xml:space="preserve"> de ruido del sistema de recepción de la estación terrena referida a la salida de la antena de recepción de la estación terrena</w:t>
      </w:r>
      <w:r w:rsidR="005C7612" w:rsidRPr="007A01F5">
        <w:rPr>
          <w:i/>
          <w:iCs/>
          <w:color w:val="000000"/>
          <w:lang w:val="es-ES_tradnl"/>
        </w:rPr>
        <w:t> </w:t>
      </w:r>
      <w:r w:rsidRPr="007A01F5">
        <w:rPr>
          <w:i/>
          <w:iCs/>
          <w:color w:val="000000"/>
          <w:lang w:val="es-ES_tradnl"/>
        </w:rPr>
        <w:t>(K)»</w:t>
      </w:r>
      <w:r w:rsidRPr="005C7612">
        <w:rPr>
          <w:color w:val="000000"/>
          <w:lang w:val="es-ES_tradnl"/>
        </w:rPr>
        <w:t>.</w:t>
      </w:r>
    </w:p>
    <w:p w14:paraId="196DEBC3" w14:textId="77777777" w:rsidR="00361A40" w:rsidRDefault="00361A40">
      <w:pPr>
        <w:rPr>
          <w:color w:val="000000"/>
          <w:lang w:val="es-ES_tradnl"/>
        </w:rPr>
      </w:pPr>
      <w:r w:rsidRPr="005C7612">
        <w:rPr>
          <w:color w:val="000000"/>
          <w:lang w:val="es-ES_tradnl"/>
        </w:rPr>
        <w:t xml:space="preserve">Los valores antes mencionados se combinan conforme a la Recomendación UIT-R S.738 para determinar </w:t>
      </w:r>
      <w:r w:rsidRPr="005C7612">
        <w:rPr>
          <w:i/>
          <w:color w:val="000000"/>
          <w:lang w:val="es-ES_tradnl"/>
        </w:rPr>
        <w:t>T</w:t>
      </w:r>
      <w:r w:rsidRPr="0078448F">
        <w:rPr>
          <w:i/>
          <w:iCs/>
          <w:vertAlign w:val="subscript"/>
          <w:lang w:val="es-ES_tradnl"/>
        </w:rPr>
        <w:t>mín</w:t>
      </w:r>
      <w:r w:rsidRPr="005C7612">
        <w:rPr>
          <w:color w:val="000000"/>
          <w:lang w:val="es-ES_tradnl"/>
        </w:rPr>
        <w:t xml:space="preserve">, </w:t>
      </w:r>
      <w:r w:rsidRPr="005C7612">
        <w:rPr>
          <w:i/>
          <w:color w:val="000000"/>
          <w:lang w:val="es-ES_tradnl"/>
        </w:rPr>
        <w:t>temperatura de ruido equivalente del enlace por satélite</w:t>
      </w:r>
      <w:r w:rsidRPr="005C7612">
        <w:rPr>
          <w:color w:val="000000"/>
          <w:lang w:val="es-ES_tradnl"/>
        </w:rPr>
        <w:t xml:space="preserve"> más baja, del siguiente modo:</w:t>
      </w:r>
    </w:p>
    <w:p w14:paraId="28FA5103" w14:textId="77777777" w:rsidR="00081B89" w:rsidRPr="002148C9" w:rsidRDefault="00081B89" w:rsidP="00081B89">
      <w:pPr>
        <w:tabs>
          <w:tab w:val="center" w:pos="4536"/>
          <w:tab w:val="right" w:pos="9356"/>
        </w:tabs>
        <w:jc w:val="center"/>
        <w:rPr>
          <w:color w:val="000000"/>
          <w:lang w:val="es-ES"/>
        </w:rPr>
      </w:pPr>
      <w:r w:rsidRPr="002148C9">
        <w:rPr>
          <w:i/>
          <w:color w:val="000000"/>
          <w:lang w:val="es-ES"/>
        </w:rPr>
        <w:t>T</w:t>
      </w:r>
      <w:r w:rsidRPr="002148C9">
        <w:rPr>
          <w:i/>
          <w:color w:val="000000"/>
          <w:position w:val="-4"/>
          <w:sz w:val="20"/>
          <w:lang w:val="es-ES"/>
        </w:rPr>
        <w:t>min</w:t>
      </w:r>
      <w:r w:rsidRPr="002148C9">
        <w:rPr>
          <w:color w:val="000000"/>
          <w:lang w:val="es-ES"/>
        </w:rPr>
        <w:t> </w:t>
      </w:r>
      <w:r w:rsidRPr="002148C9">
        <w:rPr>
          <w:rFonts w:ascii="Symbol" w:hAnsi="Symbol"/>
          <w:color w:val="000000"/>
          <w:szCs w:val="24"/>
          <w:lang w:val="es-ES"/>
        </w:rPr>
        <w:t></w:t>
      </w:r>
      <w:r w:rsidRPr="002148C9">
        <w:rPr>
          <w:color w:val="000000"/>
          <w:lang w:val="es-ES"/>
        </w:rPr>
        <w:t> </w:t>
      </w:r>
      <w:r w:rsidRPr="002148C9">
        <w:rPr>
          <w:i/>
          <w:color w:val="000000"/>
          <w:lang w:val="es-ES"/>
        </w:rPr>
        <w:t>T</w:t>
      </w:r>
      <w:r w:rsidRPr="002148C9">
        <w:rPr>
          <w:i/>
          <w:color w:val="000000"/>
          <w:position w:val="-4"/>
          <w:sz w:val="20"/>
          <w:lang w:val="es-ES"/>
        </w:rPr>
        <w:t>e</w:t>
      </w:r>
      <w:r w:rsidRPr="002148C9">
        <w:rPr>
          <w:color w:val="000000"/>
          <w:lang w:val="es-ES"/>
        </w:rPr>
        <w:t> </w:t>
      </w:r>
      <w:r w:rsidRPr="002148C9">
        <w:rPr>
          <w:rFonts w:ascii="Symbol" w:hAnsi="Symbol"/>
          <w:color w:val="000000"/>
          <w:szCs w:val="24"/>
          <w:lang w:val="es-ES"/>
        </w:rPr>
        <w:t></w:t>
      </w:r>
      <w:r w:rsidRPr="002148C9">
        <w:rPr>
          <w:color w:val="000000"/>
          <w:lang w:val="es-ES"/>
        </w:rPr>
        <w:t> </w:t>
      </w:r>
      <w:r w:rsidRPr="002148C9">
        <w:rPr>
          <w:rFonts w:ascii="Symbol" w:hAnsi="Symbol"/>
          <w:color w:val="000000"/>
          <w:szCs w:val="24"/>
          <w:lang w:val="es-ES"/>
        </w:rPr>
        <w:t></w:t>
      </w:r>
      <w:r w:rsidRPr="002148C9">
        <w:rPr>
          <w:i/>
          <w:color w:val="000000"/>
          <w:position w:val="-4"/>
          <w:sz w:val="20"/>
          <w:lang w:val="es-ES"/>
        </w:rPr>
        <w:t>min</w:t>
      </w:r>
      <w:r w:rsidRPr="002148C9">
        <w:rPr>
          <w:color w:val="000000"/>
          <w:lang w:val="es-ES"/>
        </w:rPr>
        <w:t> </w:t>
      </w:r>
      <w:r w:rsidRPr="002148C9">
        <w:rPr>
          <w:i/>
          <w:color w:val="000000"/>
          <w:lang w:val="es-ES"/>
        </w:rPr>
        <w:t>T</w:t>
      </w:r>
      <w:r w:rsidRPr="002148C9">
        <w:rPr>
          <w:i/>
          <w:color w:val="000000"/>
          <w:position w:val="-4"/>
          <w:sz w:val="20"/>
          <w:lang w:val="es-ES"/>
        </w:rPr>
        <w:t>s</w:t>
      </w:r>
      <w:r w:rsidRPr="002148C9">
        <w:rPr>
          <w:color w:val="000000"/>
          <w:lang w:val="es-ES"/>
        </w:rPr>
        <w:t> </w:t>
      </w:r>
      <w:r w:rsidRPr="002148C9">
        <w:rPr>
          <w:rFonts w:ascii="Symbol" w:hAnsi="Symbol"/>
          <w:color w:val="000000"/>
          <w:szCs w:val="24"/>
          <w:lang w:val="es-ES"/>
        </w:rPr>
        <w:t></w:t>
      </w:r>
      <w:r w:rsidRPr="002148C9">
        <w:rPr>
          <w:color w:val="000000"/>
          <w:lang w:val="es-ES"/>
        </w:rPr>
        <w:t> </w:t>
      </w:r>
      <w:r w:rsidRPr="002148C9">
        <w:rPr>
          <w:i/>
          <w:color w:val="000000"/>
          <w:lang w:val="es-ES"/>
        </w:rPr>
        <w:t>T</w:t>
      </w:r>
      <w:r w:rsidRPr="002148C9">
        <w:rPr>
          <w:i/>
          <w:color w:val="000000"/>
          <w:position w:val="-4"/>
          <w:sz w:val="20"/>
          <w:lang w:val="es-ES"/>
        </w:rPr>
        <w:t>a</w:t>
      </w:r>
    </w:p>
    <w:p w14:paraId="2602AA45" w14:textId="77777777" w:rsidR="00081B89" w:rsidRPr="002148C9" w:rsidRDefault="00081B89" w:rsidP="00081B89">
      <w:pPr>
        <w:spacing w:before="0"/>
        <w:rPr>
          <w:color w:val="000000"/>
          <w:szCs w:val="24"/>
          <w:lang w:val="es-ES"/>
        </w:rPr>
      </w:pPr>
      <w:r w:rsidRPr="002148C9">
        <w:rPr>
          <w:color w:val="000000"/>
          <w:szCs w:val="24"/>
          <w:lang w:val="es-ES"/>
        </w:rPr>
        <w:t>donde:</w:t>
      </w:r>
    </w:p>
    <w:p w14:paraId="4F4AEC29" w14:textId="77777777" w:rsidR="00081B89" w:rsidRPr="002148C9" w:rsidRDefault="00081B89" w:rsidP="00081B89">
      <w:pPr>
        <w:tabs>
          <w:tab w:val="right" w:pos="1814"/>
        </w:tabs>
        <w:spacing w:before="80"/>
        <w:ind w:left="1985" w:hanging="1985"/>
        <w:rPr>
          <w:color w:val="000000"/>
          <w:szCs w:val="24"/>
          <w:lang w:val="es-ES"/>
        </w:rPr>
      </w:pPr>
      <w:r w:rsidRPr="002148C9">
        <w:rPr>
          <w:i/>
          <w:color w:val="000000"/>
          <w:szCs w:val="24"/>
          <w:lang w:val="es-ES"/>
        </w:rPr>
        <w:tab/>
        <w:t>T</w:t>
      </w:r>
      <w:r w:rsidRPr="002148C9">
        <w:rPr>
          <w:i/>
          <w:iCs/>
          <w:szCs w:val="24"/>
          <w:vertAlign w:val="subscript"/>
          <w:lang w:val="es-ES"/>
        </w:rPr>
        <w:t>a</w:t>
      </w:r>
      <w:r w:rsidRPr="002148C9">
        <w:rPr>
          <w:rFonts w:ascii="Tms Rmn" w:hAnsi="Tms Rmn"/>
          <w:color w:val="000000"/>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otro ruido interno</w:t>
      </w:r>
    </w:p>
    <w:p w14:paraId="0852CB99" w14:textId="77777777" w:rsidR="00081B89" w:rsidRPr="002148C9" w:rsidRDefault="00081B89" w:rsidP="00E71481">
      <w:pPr>
        <w:tabs>
          <w:tab w:val="right" w:pos="1814"/>
        </w:tabs>
        <w:spacing w:before="80"/>
        <w:ind w:left="1871" w:hanging="1871"/>
        <w:rPr>
          <w:color w:val="000000"/>
          <w:szCs w:val="24"/>
          <w:lang w:val="es-ES"/>
        </w:rPr>
      </w:pPr>
      <w:r w:rsidRPr="002148C9">
        <w:rPr>
          <w:rFonts w:ascii="Symbol" w:hAnsi="Symbol"/>
          <w:color w:val="000000"/>
          <w:szCs w:val="24"/>
          <w:lang w:val="es-ES"/>
        </w:rPr>
        <w:tab/>
      </w:r>
      <w:r w:rsidRPr="002148C9">
        <w:rPr>
          <w:rFonts w:ascii="Symbol" w:hAnsi="Symbol"/>
          <w:color w:val="000000"/>
          <w:szCs w:val="24"/>
          <w:lang w:val="es-ES"/>
        </w:rPr>
        <w:t></w:t>
      </w:r>
      <w:r w:rsidRPr="002148C9">
        <w:rPr>
          <w:i/>
          <w:iCs/>
          <w:szCs w:val="24"/>
          <w:vertAlign w:val="subscript"/>
          <w:lang w:val="es-ES"/>
        </w:rPr>
        <w:t>min</w:t>
      </w:r>
      <w:r w:rsidRPr="002148C9">
        <w:rPr>
          <w:rFonts w:ascii="Tms Rmn" w:hAnsi="Tms Rmn"/>
          <w:color w:val="000000"/>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ganancia de transmisión mínima de un determinado enlace por satélite sujeto a interferencia.</w:t>
      </w:r>
    </w:p>
    <w:p w14:paraId="6B5952DE" w14:textId="77777777" w:rsidR="00081B89" w:rsidRPr="00081B89" w:rsidRDefault="00081B89" w:rsidP="00AC02D7">
      <w:pPr>
        <w:rPr>
          <w:color w:val="000000"/>
          <w:szCs w:val="24"/>
          <w:lang w:val="es-ES"/>
        </w:rPr>
      </w:pPr>
      <w:r w:rsidRPr="00081B89">
        <w:rPr>
          <w:color w:val="000000"/>
          <w:szCs w:val="24"/>
          <w:lang w:val="es-ES"/>
        </w:rPr>
        <w:t xml:space="preserve">El cálculo del enlace de satélite equivalente era obligatorio antes de la CMR-2000. </w:t>
      </w:r>
      <w:r w:rsidRPr="002148C9">
        <w:rPr>
          <w:color w:val="000000"/>
          <w:szCs w:val="24"/>
          <w:lang w:val="es-ES"/>
        </w:rPr>
        <w:t xml:space="preserve">Tras las decisiones adoptadas por la CMR-2000 sobre el Apéndice </w:t>
      </w:r>
      <w:r w:rsidRPr="000309B6">
        <w:rPr>
          <w:b/>
          <w:bCs/>
          <w:color w:val="000000"/>
          <w:szCs w:val="24"/>
          <w:lang w:val="es-ES"/>
        </w:rPr>
        <w:t>4</w:t>
      </w:r>
      <w:r w:rsidRPr="002148C9">
        <w:rPr>
          <w:color w:val="000000"/>
          <w:szCs w:val="24"/>
          <w:lang w:val="es-ES"/>
        </w:rPr>
        <w:t xml:space="preserve"> del RR, la información de conexión del Apéndice </w:t>
      </w:r>
      <w:r w:rsidRPr="000309B6">
        <w:rPr>
          <w:b/>
          <w:bCs/>
          <w:color w:val="000000"/>
          <w:szCs w:val="24"/>
          <w:lang w:val="es-ES"/>
        </w:rPr>
        <w:t>4</w:t>
      </w:r>
      <w:r w:rsidRPr="002148C9">
        <w:rPr>
          <w:color w:val="000000"/>
          <w:szCs w:val="24"/>
          <w:lang w:val="es-ES"/>
        </w:rPr>
        <w:t>, necesaria para efectuar el cálculo del enlace global, es opcional.</w:t>
      </w:r>
      <w:r w:rsidR="0072029C">
        <w:rPr>
          <w:color w:val="000000"/>
          <w:szCs w:val="24"/>
          <w:lang w:val="es-ES"/>
        </w:rPr>
        <w:t xml:space="preserve"> </w:t>
      </w:r>
    </w:p>
    <w:p w14:paraId="5CCD07E2" w14:textId="3E363479" w:rsidR="00081B89" w:rsidRDefault="00081B89" w:rsidP="00AC02D7">
      <w:pPr>
        <w:rPr>
          <w:color w:val="000000"/>
          <w:szCs w:val="24"/>
          <w:lang w:val="es-ES"/>
        </w:rPr>
      </w:pPr>
      <w:r w:rsidRPr="00081B89">
        <w:rPr>
          <w:szCs w:val="24"/>
          <w:lang w:val="es-ES"/>
        </w:rPr>
        <w:t xml:space="preserve">Por consiguiente, y para simplificar las cosas, </w:t>
      </w:r>
      <w:r w:rsidRPr="00081B89">
        <w:rPr>
          <w:i/>
          <w:color w:val="000000"/>
          <w:szCs w:val="24"/>
          <w:lang w:val="es-ES"/>
        </w:rPr>
        <w:t>T</w:t>
      </w:r>
      <w:r w:rsidRPr="00081B89">
        <w:rPr>
          <w:i/>
          <w:iCs/>
          <w:szCs w:val="24"/>
          <w:vertAlign w:val="subscript"/>
          <w:lang w:val="es-ES"/>
        </w:rPr>
        <w:t>s</w:t>
      </w:r>
      <w:r w:rsidRPr="00081B89">
        <w:rPr>
          <w:color w:val="000000"/>
          <w:szCs w:val="24"/>
          <w:lang w:val="es-ES"/>
        </w:rPr>
        <w:t xml:space="preserve"> y </w:t>
      </w:r>
      <w:r w:rsidRPr="00081B89">
        <w:rPr>
          <w:i/>
          <w:color w:val="000000"/>
          <w:szCs w:val="24"/>
          <w:lang w:val="es-ES"/>
        </w:rPr>
        <w:t>T</w:t>
      </w:r>
      <w:r w:rsidRPr="00081B89">
        <w:rPr>
          <w:i/>
          <w:iCs/>
          <w:szCs w:val="24"/>
          <w:vertAlign w:val="subscript"/>
          <w:lang w:val="es-ES"/>
        </w:rPr>
        <w:t>e</w:t>
      </w:r>
      <w:r w:rsidRPr="00081B89">
        <w:rPr>
          <w:color w:val="000000"/>
          <w:szCs w:val="24"/>
          <w:lang w:val="es-ES"/>
        </w:rPr>
        <w:t xml:space="preserve"> se utilizan por separado para calcular la</w:t>
      </w:r>
      <w:r w:rsidR="00C96959">
        <w:rPr>
          <w:color w:val="000000"/>
          <w:szCs w:val="24"/>
          <w:lang w:val="es-ES"/>
        </w:rPr>
        <w:t> </w:t>
      </w:r>
      <w:r w:rsidRPr="00081B89">
        <w:rPr>
          <w:i/>
          <w:iCs/>
          <w:color w:val="000000"/>
          <w:szCs w:val="24"/>
          <w:lang w:val="es-ES"/>
        </w:rPr>
        <w:t>C</w:t>
      </w:r>
      <w:r w:rsidR="000A25DF" w:rsidRPr="000A25DF">
        <w:rPr>
          <w:color w:val="000000"/>
          <w:szCs w:val="24"/>
          <w:lang w:val="es-ES"/>
        </w:rPr>
        <w:t>/</w:t>
      </w:r>
      <w:r w:rsidRPr="00081B89">
        <w:rPr>
          <w:i/>
          <w:iCs/>
          <w:color w:val="000000"/>
          <w:szCs w:val="24"/>
          <w:lang w:val="es-ES"/>
        </w:rPr>
        <w:t>I</w:t>
      </w:r>
      <w:r w:rsidRPr="00081B89">
        <w:rPr>
          <w:color w:val="000000"/>
          <w:szCs w:val="24"/>
          <w:lang w:val="es-ES"/>
        </w:rPr>
        <w:t xml:space="preserve"> de enlace ascendente y enlace descendente, respectivamente, en todos los casos.</w:t>
      </w:r>
    </w:p>
    <w:p w14:paraId="4087D921" w14:textId="4A0CEA07" w:rsidR="00C96959" w:rsidRDefault="00C96959" w:rsidP="00AC02D7">
      <w:pPr>
        <w:rPr>
          <w:color w:val="000000"/>
          <w:szCs w:val="24"/>
          <w:lang w:val="es-ES"/>
        </w:rPr>
      </w:pPr>
      <w:r>
        <w:rPr>
          <w:color w:val="000000"/>
          <w:szCs w:val="24"/>
          <w:lang w:val="es-ES"/>
        </w:rPr>
        <w:br w:type="page"/>
      </w:r>
    </w:p>
    <w:p w14:paraId="40B43F0B" w14:textId="781CF572" w:rsidR="00361A40" w:rsidRPr="005C7612" w:rsidRDefault="00361A40" w:rsidP="00AC02D7">
      <w:pPr>
        <w:pStyle w:val="Heading1"/>
        <w:rPr>
          <w:color w:val="000000"/>
          <w:lang w:val="es-ES_tradnl"/>
        </w:rPr>
      </w:pPr>
      <w:r w:rsidRPr="005C7612">
        <w:rPr>
          <w:color w:val="000000"/>
          <w:lang w:val="es-ES_tradnl"/>
        </w:rPr>
        <w:lastRenderedPageBreak/>
        <w:t>3</w:t>
      </w:r>
      <w:r w:rsidRPr="005C7612">
        <w:rPr>
          <w:color w:val="000000"/>
          <w:lang w:val="es-ES_tradnl"/>
        </w:rPr>
        <w:tab/>
        <w:t>Ruido que ha de calcularse conforme a la Recomendación UIT</w:t>
      </w:r>
      <w:r w:rsidRPr="005C7612">
        <w:rPr>
          <w:color w:val="000000"/>
          <w:lang w:val="es-ES_tradnl"/>
        </w:rPr>
        <w:noBreakHyphen/>
        <w:t>R  S.741</w:t>
      </w:r>
      <w:r w:rsidRPr="005C7612">
        <w:rPr>
          <w:color w:val="000000"/>
          <w:lang w:val="es-ES_tradnl"/>
        </w:rPr>
        <w:noBreakHyphen/>
        <w:t>2</w:t>
      </w:r>
      <w:r w:rsidR="00B941ED">
        <w:rPr>
          <w:color w:val="000000"/>
          <w:lang w:val="es-ES_tradnl"/>
        </w:rPr>
        <w:t xml:space="preserve"> </w:t>
      </w:r>
    </w:p>
    <w:p w14:paraId="5DE36FF2" w14:textId="405A6B01" w:rsidR="00B941ED" w:rsidRDefault="00B941ED" w:rsidP="00B941ED">
      <w:pPr>
        <w:rPr>
          <w:color w:val="000000"/>
          <w:szCs w:val="24"/>
          <w:lang w:val="es-ES"/>
        </w:rPr>
      </w:pPr>
      <w:r w:rsidRPr="002148C9">
        <w:rPr>
          <w:color w:val="000000"/>
          <w:szCs w:val="24"/>
          <w:lang w:val="es-ES"/>
        </w:rPr>
        <w:t xml:space="preserve">Para estar de acuerdo con la Recomendación UIT-R S.741-2 parece necesario añadir a los valores de </w:t>
      </w:r>
      <w:r w:rsidRPr="002148C9">
        <w:rPr>
          <w:i/>
          <w:color w:val="000000"/>
          <w:szCs w:val="24"/>
          <w:lang w:val="es-ES"/>
        </w:rPr>
        <w:t>N</w:t>
      </w:r>
      <w:r w:rsidRPr="002148C9">
        <w:rPr>
          <w:color w:val="000000"/>
          <w:szCs w:val="24"/>
          <w:lang w:val="es-ES"/>
        </w:rPr>
        <w:t xml:space="preserve"> calculados por el programa con arreglo a los valores de </w:t>
      </w:r>
      <w:r w:rsidRPr="002148C9">
        <w:rPr>
          <w:i/>
          <w:color w:val="000000"/>
          <w:szCs w:val="24"/>
          <w:lang w:val="es-ES"/>
        </w:rPr>
        <w:t>T</w:t>
      </w:r>
      <w:r w:rsidRPr="002148C9">
        <w:rPr>
          <w:i/>
          <w:iCs/>
          <w:szCs w:val="24"/>
          <w:vertAlign w:val="subscript"/>
          <w:lang w:val="es-ES"/>
        </w:rPr>
        <w:t>e</w:t>
      </w:r>
      <w:r w:rsidRPr="002148C9">
        <w:rPr>
          <w:color w:val="000000"/>
          <w:szCs w:val="24"/>
          <w:lang w:val="es-ES"/>
        </w:rPr>
        <w:t xml:space="preserve"> y </w:t>
      </w:r>
      <w:r w:rsidRPr="002148C9">
        <w:rPr>
          <w:i/>
          <w:color w:val="000000"/>
          <w:szCs w:val="24"/>
          <w:lang w:val="es-ES"/>
        </w:rPr>
        <w:t>T</w:t>
      </w:r>
      <w:r w:rsidRPr="002148C9">
        <w:rPr>
          <w:i/>
          <w:iCs/>
          <w:szCs w:val="24"/>
          <w:vertAlign w:val="subscript"/>
          <w:lang w:val="es-ES"/>
        </w:rPr>
        <w:t>s</w:t>
      </w:r>
      <w:r w:rsidRPr="002148C9">
        <w:rPr>
          <w:color w:val="000000"/>
          <w:szCs w:val="24"/>
          <w:lang w:val="es-ES"/>
        </w:rPr>
        <w:t xml:space="preserve"> antes mencionados, el nivel admisible máximo de la interferencia combinada producida por otros sistemas de satélite, tal como aparece en las Recomendaciones UIT-R S.466 (para la telefonía MDF-MF), UIT-R S.483 (para la TV analógica) y UIT-R S.523 (para las emisiones digitales), así como la contribución de las emisiones terrenales que comparten las mismas bandas de frecuencias, según se define en las Recomendaciones UIT</w:t>
      </w:r>
      <w:r w:rsidRPr="002148C9">
        <w:rPr>
          <w:color w:val="000000"/>
          <w:szCs w:val="24"/>
          <w:lang w:val="es-ES"/>
        </w:rPr>
        <w:noBreakHyphen/>
        <w:t>R SF.356</w:t>
      </w:r>
      <w:r w:rsidR="00BA5C95">
        <w:rPr>
          <w:color w:val="000000"/>
          <w:szCs w:val="24"/>
          <w:lang w:val="es-ES"/>
        </w:rPr>
        <w:t>-4</w:t>
      </w:r>
      <w:r w:rsidR="00BA5C95">
        <w:rPr>
          <w:rStyle w:val="FootnoteReference"/>
          <w:color w:val="000000"/>
          <w:szCs w:val="24"/>
          <w:lang w:val="es-ES"/>
        </w:rPr>
        <w:footnoteReference w:customMarkFollows="1" w:id="1"/>
        <w:t>*</w:t>
      </w:r>
      <w:r w:rsidRPr="002148C9">
        <w:rPr>
          <w:color w:val="000000"/>
          <w:szCs w:val="24"/>
          <w:lang w:val="es-ES"/>
        </w:rPr>
        <w:t xml:space="preserve"> (interferencia en canales telefónicos que emplean modulación de frecuencia) y UIT</w:t>
      </w:r>
      <w:r w:rsidRPr="002148C9">
        <w:rPr>
          <w:color w:val="000000"/>
          <w:szCs w:val="24"/>
          <w:lang w:val="es-ES"/>
        </w:rPr>
        <w:noBreakHyphen/>
        <w:t>R SF.558</w:t>
      </w:r>
      <w:r w:rsidR="00BA5C95">
        <w:rPr>
          <w:color w:val="000000"/>
          <w:szCs w:val="24"/>
          <w:lang w:val="es-ES"/>
        </w:rPr>
        <w:t>-2</w:t>
      </w:r>
      <w:r w:rsidR="00BA5C95">
        <w:rPr>
          <w:rStyle w:val="FootnoteReference"/>
          <w:color w:val="000000"/>
          <w:szCs w:val="24"/>
          <w:lang w:val="es-ES"/>
        </w:rPr>
        <w:footnoteReference w:customMarkFollows="1" w:id="2"/>
        <w:t>**</w:t>
      </w:r>
      <w:r w:rsidRPr="002148C9">
        <w:rPr>
          <w:color w:val="000000"/>
          <w:szCs w:val="24"/>
          <w:lang w:val="es-ES"/>
        </w:rPr>
        <w:t xml:space="preserve"> (interferencia en sistemas que emplean telefonía codificada MIC de 8 bits).</w:t>
      </w:r>
    </w:p>
    <w:p w14:paraId="794A86C7" w14:textId="3B868367" w:rsidR="00361A40" w:rsidRPr="005C7612" w:rsidRDefault="00361A40" w:rsidP="002630FE">
      <w:pPr>
        <w:pStyle w:val="Heading1"/>
        <w:spacing w:before="360"/>
        <w:rPr>
          <w:color w:val="000000"/>
          <w:lang w:val="es-ES_tradnl"/>
        </w:rPr>
      </w:pPr>
      <w:r w:rsidRPr="005C7612">
        <w:rPr>
          <w:color w:val="000000"/>
          <w:lang w:val="es-ES_tradnl"/>
        </w:rPr>
        <w:t>4</w:t>
      </w:r>
      <w:r w:rsidRPr="005C7612">
        <w:rPr>
          <w:color w:val="000000"/>
          <w:lang w:val="es-ES_tradnl"/>
        </w:rPr>
        <w:tab/>
        <w:t>Cálculos de los márgenes adicionales</w:t>
      </w:r>
    </w:p>
    <w:p w14:paraId="3B2187C4" w14:textId="77777777" w:rsidR="00361A40" w:rsidRPr="005C7612" w:rsidRDefault="00361A40">
      <w:pPr>
        <w:pStyle w:val="Heading2"/>
        <w:rPr>
          <w:color w:val="000000"/>
          <w:lang w:val="es-ES_tradnl"/>
        </w:rPr>
      </w:pPr>
      <w:r w:rsidRPr="005C7612">
        <w:rPr>
          <w:color w:val="000000"/>
          <w:lang w:val="es-ES_tradnl"/>
        </w:rPr>
        <w:t>4.1</w:t>
      </w:r>
      <w:r w:rsidRPr="005C7612">
        <w:rPr>
          <w:color w:val="000000"/>
          <w:lang w:val="es-ES_tradnl"/>
        </w:rPr>
        <w:tab/>
        <w:t>Telefonía MDF-MF</w:t>
      </w:r>
    </w:p>
    <w:p w14:paraId="10622D44" w14:textId="0D77AE0E" w:rsidR="00361A40" w:rsidRPr="005C7612" w:rsidRDefault="00361A40" w:rsidP="00AC02D7">
      <w:pPr>
        <w:pStyle w:val="Heading3"/>
        <w:rPr>
          <w:color w:val="000000"/>
          <w:lang w:val="es-ES_tradnl"/>
        </w:rPr>
      </w:pPr>
      <w:r w:rsidRPr="005C7612">
        <w:rPr>
          <w:color w:val="000000"/>
          <w:lang w:val="es-ES_tradnl"/>
        </w:rPr>
        <w:t>4.1.1</w:t>
      </w:r>
      <w:r w:rsidRPr="005C7612">
        <w:rPr>
          <w:color w:val="000000"/>
          <w:lang w:val="es-ES_tradnl"/>
        </w:rPr>
        <w:tab/>
      </w:r>
      <w:r w:rsidR="00C3227A" w:rsidRPr="002148C9">
        <w:rPr>
          <w:color w:val="000000"/>
          <w:szCs w:val="24"/>
          <w:lang w:val="es-ES"/>
        </w:rPr>
        <w:t xml:space="preserve">Interferencia combinada producida por otros sistemas de satélite que comparten las mismas bandas de frecuencias </w:t>
      </w:r>
      <w:r w:rsidR="00C3227A" w:rsidRPr="00C3227A">
        <w:rPr>
          <w:b w:val="0"/>
          <w:color w:val="000000"/>
          <w:szCs w:val="24"/>
          <w:lang w:val="es-ES"/>
        </w:rPr>
        <w:t>(Recomendación UIT -R S.466)</w:t>
      </w:r>
    </w:p>
    <w:p w14:paraId="216F52FC" w14:textId="4F4D8C6B" w:rsidR="00361A40" w:rsidRPr="005C7612" w:rsidRDefault="00361A40" w:rsidP="009623E6">
      <w:pPr>
        <w:rPr>
          <w:color w:val="000000"/>
          <w:lang w:val="es-ES_tradnl"/>
        </w:rPr>
      </w:pPr>
      <w:r w:rsidRPr="005C7612">
        <w:rPr>
          <w:color w:val="000000"/>
          <w:lang w:val="es-ES_tradnl"/>
        </w:rPr>
        <w:t>Conforme a la Recomendación UIT-R S.466, en las bandas de frecuencias en las que la red no aplica la reutilización de frecuencias, la potencia de ruido de interferencia combinada no debe exceder de 2</w:t>
      </w:r>
      <w:r w:rsidRPr="005C7612">
        <w:rPr>
          <w:rFonts w:ascii="Tms Rmn" w:hAnsi="Tms Rmn"/>
          <w:color w:val="000000"/>
          <w:sz w:val="12"/>
          <w:lang w:val="es-ES_tradnl"/>
        </w:rPr>
        <w:t> </w:t>
      </w:r>
      <w:r w:rsidRPr="005C7612">
        <w:rPr>
          <w:color w:val="000000"/>
          <w:lang w:val="es-ES_tradnl"/>
        </w:rPr>
        <w:t>500</w:t>
      </w:r>
      <w:r w:rsidR="00C96959">
        <w:rPr>
          <w:color w:val="000000"/>
          <w:lang w:val="es-ES_tradnl"/>
        </w:rPr>
        <w:t> </w:t>
      </w:r>
      <w:r w:rsidRPr="005C7612">
        <w:rPr>
          <w:color w:val="000000"/>
          <w:lang w:val="es-ES_tradnl"/>
        </w:rPr>
        <w:t>pW0p, potencia media ponderada sofométricamente durante un minuto, durante más del 20% de cualquier mes. Esta magnitud corresponde al 25% de la potencia de ruido admisible de 10</w:t>
      </w:r>
      <w:r w:rsidRPr="005C7612">
        <w:rPr>
          <w:rFonts w:ascii="Tms Rmn" w:hAnsi="Tms Rmn"/>
          <w:color w:val="000000"/>
          <w:sz w:val="12"/>
          <w:lang w:val="es-ES_tradnl"/>
        </w:rPr>
        <w:t> </w:t>
      </w:r>
      <w:r w:rsidRPr="005C7612">
        <w:rPr>
          <w:color w:val="000000"/>
          <w:lang w:val="es-ES_tradnl"/>
        </w:rPr>
        <w:t>000 pW0p establecida por la Recomendación UIT-R</w:t>
      </w:r>
      <w:r w:rsidR="009623E6">
        <w:rPr>
          <w:color w:val="000000"/>
          <w:lang w:val="es-ES_tradnl"/>
        </w:rPr>
        <w:t xml:space="preserve"> </w:t>
      </w:r>
      <w:r w:rsidRPr="005C7612">
        <w:rPr>
          <w:color w:val="000000"/>
          <w:lang w:val="es-ES_tradnl"/>
        </w:rPr>
        <w:t>S.353</w:t>
      </w:r>
      <w:r w:rsidR="009E6D1C">
        <w:rPr>
          <w:color w:val="000000"/>
          <w:lang w:val="es-ES_tradnl"/>
        </w:rPr>
        <w:t>-8</w:t>
      </w:r>
      <w:r w:rsidR="007C5EE8">
        <w:rPr>
          <w:rStyle w:val="FootnoteReference"/>
          <w:color w:val="000000"/>
          <w:lang w:val="es-ES_tradnl"/>
        </w:rPr>
        <w:footnoteReference w:customMarkFollows="1" w:id="3"/>
        <w:t>***</w:t>
      </w:r>
      <w:r w:rsidRPr="005C7612">
        <w:rPr>
          <w:color w:val="000000"/>
          <w:lang w:val="es-ES_tradnl"/>
        </w:rPr>
        <w:t xml:space="preserve"> para el mismo porcentaje de tiempo.</w:t>
      </w:r>
    </w:p>
    <w:p w14:paraId="46CF59C0" w14:textId="59805774" w:rsidR="00361A40" w:rsidRPr="005C7612" w:rsidRDefault="00361A40">
      <w:pPr>
        <w:pStyle w:val="Heading3"/>
        <w:rPr>
          <w:color w:val="000000"/>
          <w:u w:val="single"/>
          <w:lang w:val="es-ES_tradnl"/>
        </w:rPr>
      </w:pPr>
      <w:r w:rsidRPr="005C7612">
        <w:rPr>
          <w:color w:val="000000"/>
          <w:lang w:val="es-ES_tradnl"/>
        </w:rPr>
        <w:t>4.1.2</w:t>
      </w:r>
      <w:r w:rsidRPr="005C7612">
        <w:rPr>
          <w:color w:val="000000"/>
          <w:lang w:val="es-ES_tradnl"/>
        </w:rPr>
        <w:tab/>
        <w:t xml:space="preserve">Valores máximos admisibles de la interferencia combinada producidos por sistemas de relevadores radioeléctricos en un canal telefónico de un sistema del SFS </w:t>
      </w:r>
      <w:r w:rsidRPr="005C7612">
        <w:rPr>
          <w:b w:val="0"/>
          <w:color w:val="000000"/>
          <w:lang w:val="es-ES_tradnl"/>
        </w:rPr>
        <w:t>(Recomendación UIT-R SF.356</w:t>
      </w:r>
      <w:r w:rsidR="009E6D1C">
        <w:rPr>
          <w:b w:val="0"/>
          <w:color w:val="000000"/>
          <w:lang w:val="es-ES_tradnl"/>
        </w:rPr>
        <w:t>-4</w:t>
      </w:r>
      <w:r w:rsidR="007C5EE8" w:rsidRPr="007C5EE8">
        <w:rPr>
          <w:b w:val="0"/>
          <w:color w:val="000000"/>
          <w:szCs w:val="24"/>
          <w:vertAlign w:val="superscript"/>
          <w:lang w:val="es-ES_tradnl"/>
        </w:rPr>
        <w:t>*</w:t>
      </w:r>
      <w:r w:rsidRPr="005C7612">
        <w:rPr>
          <w:b w:val="0"/>
          <w:color w:val="000000"/>
          <w:lang w:val="es-ES_tradnl"/>
        </w:rPr>
        <w:t>)</w:t>
      </w:r>
    </w:p>
    <w:p w14:paraId="1BB2EA2D" w14:textId="36BCC59A" w:rsidR="00361A40" w:rsidRDefault="00361A40">
      <w:pPr>
        <w:rPr>
          <w:color w:val="000000"/>
          <w:lang w:val="es-ES_tradnl"/>
        </w:rPr>
      </w:pPr>
      <w:r w:rsidRPr="005C7612">
        <w:rPr>
          <w:color w:val="000000"/>
          <w:lang w:val="es-ES_tradnl"/>
        </w:rPr>
        <w:t xml:space="preserve">Conforme a esta Recomendación, la interferencia producida por la combinación de los transmisores de estaciones de relevadores radioeléctricos no debe pasar de </w:t>
      </w:r>
      <w:r w:rsidRPr="005C7612">
        <w:rPr>
          <w:lang w:val="es-ES_tradnl"/>
        </w:rPr>
        <w:t>1</w:t>
      </w:r>
      <w:r w:rsidRPr="005C7612">
        <w:rPr>
          <w:rFonts w:ascii="Tms Rmn" w:hAnsi="Tms Rmn"/>
          <w:color w:val="000000"/>
          <w:sz w:val="12"/>
          <w:lang w:val="es-ES_tradnl"/>
        </w:rPr>
        <w:t> </w:t>
      </w:r>
      <w:r w:rsidRPr="005C7612">
        <w:rPr>
          <w:color w:val="000000"/>
          <w:lang w:val="es-ES_tradnl"/>
        </w:rPr>
        <w:t>000 pW0p, potencia sofométrica media, durante un minuto, durante más del 20% de cualquier mes. Esta magnitud corresponde al 10% de la potencia de ruido admisible de 10</w:t>
      </w:r>
      <w:r w:rsidRPr="005C7612">
        <w:rPr>
          <w:rFonts w:ascii="Tms Rmn" w:hAnsi="Tms Rmn"/>
          <w:color w:val="000000"/>
          <w:sz w:val="12"/>
          <w:lang w:val="es-ES_tradnl"/>
        </w:rPr>
        <w:t> </w:t>
      </w:r>
      <w:r w:rsidRPr="005C7612">
        <w:rPr>
          <w:color w:val="000000"/>
          <w:lang w:val="es-ES_tradnl"/>
        </w:rPr>
        <w:t>000 pW0p establecida por la Recomendación UIT-R S.353</w:t>
      </w:r>
      <w:r w:rsidR="009E6D1C">
        <w:rPr>
          <w:color w:val="000000"/>
          <w:lang w:val="es-ES_tradnl"/>
        </w:rPr>
        <w:t>-8</w:t>
      </w:r>
      <w:r w:rsidR="007C5EE8" w:rsidRPr="007C5EE8">
        <w:rPr>
          <w:color w:val="000000"/>
          <w:szCs w:val="24"/>
          <w:vertAlign w:val="superscript"/>
          <w:lang w:val="es-ES_tradnl"/>
        </w:rPr>
        <w:t>***</w:t>
      </w:r>
      <w:r w:rsidRPr="007C5EE8">
        <w:rPr>
          <w:color w:val="000000"/>
          <w:szCs w:val="24"/>
          <w:vertAlign w:val="superscript"/>
          <w:lang w:val="es-ES_tradnl"/>
        </w:rPr>
        <w:t xml:space="preserve"> </w:t>
      </w:r>
      <w:r w:rsidRPr="005C7612">
        <w:rPr>
          <w:color w:val="000000"/>
          <w:lang w:val="es-ES_tradnl"/>
        </w:rPr>
        <w:t>para el mismo porcentaje de tiempo.</w:t>
      </w:r>
    </w:p>
    <w:p w14:paraId="0CE14ADC" w14:textId="147ACA89" w:rsidR="00C96959" w:rsidRDefault="00C96959">
      <w:pPr>
        <w:rPr>
          <w:color w:val="000000"/>
          <w:lang w:val="es-ES_tradnl"/>
        </w:rPr>
      </w:pPr>
      <w:r>
        <w:rPr>
          <w:color w:val="000000"/>
          <w:lang w:val="es-ES_tradnl"/>
        </w:rPr>
        <w:br w:type="page"/>
      </w:r>
    </w:p>
    <w:p w14:paraId="39CE8881" w14:textId="34511C5B" w:rsidR="00361A40" w:rsidRDefault="00361A40" w:rsidP="00AC02D7">
      <w:pPr>
        <w:pStyle w:val="Heading3"/>
        <w:rPr>
          <w:rFonts w:asciiTheme="majorBidi" w:hAnsiTheme="majorBidi" w:cstheme="majorBidi"/>
          <w:b w:val="0"/>
          <w:color w:val="000000"/>
          <w:sz w:val="16"/>
          <w:szCs w:val="16"/>
          <w:lang w:val="es-ES_tradnl"/>
        </w:rPr>
      </w:pPr>
      <w:r w:rsidRPr="005C7612">
        <w:rPr>
          <w:color w:val="000000"/>
          <w:lang w:val="es-ES_tradnl"/>
        </w:rPr>
        <w:lastRenderedPageBreak/>
        <w:t>4.1.3</w:t>
      </w:r>
      <w:r w:rsidRPr="005C7612">
        <w:rPr>
          <w:color w:val="000000"/>
          <w:lang w:val="es-ES_tradnl"/>
        </w:rPr>
        <w:tab/>
        <w:t>Cálculo del margen adicional</w:t>
      </w:r>
    </w:p>
    <w:p w14:paraId="435793A1" w14:textId="77777777" w:rsidR="00AF6EEB" w:rsidRPr="002148C9" w:rsidRDefault="00AF6EEB" w:rsidP="00AF6EEB">
      <w:pPr>
        <w:tabs>
          <w:tab w:val="right" w:pos="1814"/>
        </w:tabs>
        <w:spacing w:before="80"/>
        <w:ind w:left="1871" w:hanging="1871"/>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2148C9">
        <w:rPr>
          <w:rFonts w:ascii="Tms Rmn" w:hAnsi="Tms Rmn"/>
          <w:color w:val="000000"/>
          <w:position w:val="-4"/>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ruido total del enlace que incluye todo el ruido interno y la interferencia procedente de otros sistemas</w:t>
      </w:r>
    </w:p>
    <w:p w14:paraId="11C76E5E" w14:textId="77777777" w:rsidR="00AF6EEB" w:rsidRPr="002148C9" w:rsidRDefault="00AF6EEB" w:rsidP="00AF6EEB">
      <w:pPr>
        <w:tabs>
          <w:tab w:val="right" w:pos="1814"/>
        </w:tabs>
        <w:spacing w:before="80"/>
        <w:ind w:left="1985" w:hanging="1985"/>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i</w:t>
      </w:r>
      <w:r w:rsidRPr="002148C9">
        <w:rPr>
          <w:rFonts w:ascii="Tms Rmn" w:hAnsi="Tms Rmn"/>
          <w:color w:val="000000"/>
          <w:position w:val="-4"/>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ruido interno del enlace</w:t>
      </w:r>
    </w:p>
    <w:p w14:paraId="2AE1CEB0" w14:textId="77777777" w:rsidR="00AF6EEB" w:rsidRPr="002148C9" w:rsidRDefault="00AF6EEB" w:rsidP="00AF6EEB">
      <w:pPr>
        <w:tabs>
          <w:tab w:val="right" w:pos="1814"/>
        </w:tabs>
        <w:spacing w:before="80"/>
        <w:ind w:left="1985" w:hanging="1985"/>
        <w:rPr>
          <w:color w:val="000000"/>
          <w:szCs w:val="24"/>
          <w:lang w:val="es-ES"/>
        </w:rPr>
      </w:pPr>
      <w:r w:rsidRPr="002148C9">
        <w:rPr>
          <w:color w:val="000000"/>
          <w:szCs w:val="24"/>
          <w:lang w:val="es-ES"/>
        </w:rPr>
        <w:tab/>
      </w:r>
      <w:r w:rsidRPr="002148C9">
        <w:rPr>
          <w:i/>
          <w:color w:val="000000"/>
          <w:szCs w:val="24"/>
          <w:lang w:val="es-ES"/>
        </w:rPr>
        <w:t>X</w:t>
      </w:r>
      <w:r w:rsidRPr="002148C9">
        <w:rPr>
          <w:rFonts w:ascii="Tms Rmn" w:hAnsi="Tms Rmn"/>
          <w:color w:val="000000"/>
          <w:position w:val="-4"/>
          <w:szCs w:val="24"/>
          <w:lang w:val="es-ES"/>
        </w:rPr>
        <w:t> </w:t>
      </w:r>
      <w:r w:rsidRPr="002148C9">
        <w:rPr>
          <w:color w:val="000000"/>
          <w:szCs w:val="24"/>
          <w:lang w:val="es-ES"/>
        </w:rPr>
        <w:t>:</w:t>
      </w:r>
      <w:r w:rsidRPr="002148C9">
        <w:rPr>
          <w:color w:val="000000"/>
          <w:szCs w:val="24"/>
          <w:lang w:val="es-ES"/>
        </w:rPr>
        <w:tab/>
      </w:r>
      <w:r>
        <w:rPr>
          <w:color w:val="000000"/>
          <w:szCs w:val="24"/>
          <w:lang w:val="es-ES"/>
        </w:rPr>
        <w:tab/>
      </w:r>
      <w:r w:rsidRPr="002148C9">
        <w:rPr>
          <w:color w:val="000000"/>
          <w:szCs w:val="24"/>
          <w:lang w:val="es-ES"/>
        </w:rPr>
        <w:t>ruido debido a la interferenc</w:t>
      </w:r>
      <w:r w:rsidR="00FB2FEE">
        <w:rPr>
          <w:color w:val="000000"/>
          <w:szCs w:val="24"/>
          <w:lang w:val="es-ES"/>
        </w:rPr>
        <w:t>ia procedente de otros sistemas</w:t>
      </w:r>
    </w:p>
    <w:p w14:paraId="33C2F4CE" w14:textId="77777777" w:rsidR="00AF6EEB" w:rsidRPr="002148C9" w:rsidRDefault="00FB2FEE" w:rsidP="00E71481">
      <w:pPr>
        <w:spacing w:before="80"/>
        <w:ind w:left="1134" w:hanging="1134"/>
        <w:rPr>
          <w:color w:val="000000"/>
          <w:szCs w:val="24"/>
          <w:lang w:val="es-ES"/>
        </w:rPr>
      </w:pPr>
      <w:r>
        <w:rPr>
          <w:color w:val="000000"/>
          <w:szCs w:val="24"/>
          <w:lang w:val="es-ES"/>
        </w:rPr>
        <w:t>s</w:t>
      </w:r>
      <w:r w:rsidR="00AF6EEB" w:rsidRPr="002148C9">
        <w:rPr>
          <w:color w:val="000000"/>
          <w:szCs w:val="24"/>
          <w:lang w:val="es-ES"/>
        </w:rPr>
        <w:t>e tiene:</w:t>
      </w:r>
    </w:p>
    <w:p w14:paraId="59364585"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N</w:t>
      </w:r>
      <w:r w:rsidRPr="00FB2FEE">
        <w:rPr>
          <w:i/>
          <w:color w:val="000000"/>
          <w:position w:val="-4"/>
          <w:szCs w:val="24"/>
          <w:vertAlign w:val="subscript"/>
          <w:lang w:val="es-ES"/>
        </w:rPr>
        <w:t>i</w:t>
      </w:r>
      <w:r w:rsidRPr="00FB2FEE">
        <w:rPr>
          <w:color w:val="000000"/>
          <w:szCs w:val="24"/>
          <w:vertAlign w:val="subscript"/>
          <w:lang w:val="es-ES"/>
        </w:rPr>
        <w:t xml:space="preserve"> </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X</w:t>
      </w:r>
    </w:p>
    <w:p w14:paraId="1215F27C" w14:textId="77777777" w:rsidR="00AF6EEB" w:rsidRPr="002148C9" w:rsidRDefault="00AF6EEB" w:rsidP="00E71481">
      <w:pPr>
        <w:spacing w:before="80"/>
        <w:ind w:left="1134" w:hanging="1134"/>
        <w:rPr>
          <w:color w:val="000000"/>
          <w:szCs w:val="24"/>
          <w:lang w:val="es-ES"/>
        </w:rPr>
      </w:pPr>
      <w:r w:rsidRPr="002148C9">
        <w:rPr>
          <w:color w:val="000000"/>
          <w:szCs w:val="24"/>
          <w:lang w:val="es-ES"/>
        </w:rPr>
        <w:t>donde:</w:t>
      </w:r>
    </w:p>
    <w:p w14:paraId="6F04397D"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X</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(0,25  </w:t>
      </w:r>
      <w:r w:rsidRPr="002148C9">
        <w:rPr>
          <w:rFonts w:ascii="Symbol" w:hAnsi="Symbol"/>
          <w:color w:val="000000"/>
          <w:szCs w:val="24"/>
          <w:lang w:val="es-ES"/>
        </w:rPr>
        <w:t></w:t>
      </w:r>
      <w:r w:rsidRPr="002148C9">
        <w:rPr>
          <w:color w:val="000000"/>
          <w:szCs w:val="24"/>
          <w:lang w:val="es-ES"/>
        </w:rPr>
        <w:t xml:space="preserve">  0,1) </w:t>
      </w:r>
      <w:r w:rsidRPr="002148C9">
        <w:rPr>
          <w:i/>
          <w:color w:val="000000"/>
          <w:szCs w:val="24"/>
          <w:lang w:val="es-ES"/>
        </w:rPr>
        <w:t>N</w:t>
      </w:r>
      <w:r w:rsidRPr="00FB2FEE">
        <w:rPr>
          <w:i/>
          <w:color w:val="000000"/>
          <w:position w:val="-4"/>
          <w:szCs w:val="24"/>
          <w:vertAlign w:val="subscript"/>
          <w:lang w:val="es-ES"/>
        </w:rPr>
        <w:t>tot</w:t>
      </w:r>
    </w:p>
    <w:p w14:paraId="101E6454" w14:textId="77777777" w:rsidR="00AF6EEB" w:rsidRPr="002148C9" w:rsidRDefault="00AF6EEB" w:rsidP="00AF6EEB">
      <w:pPr>
        <w:rPr>
          <w:color w:val="000000"/>
          <w:szCs w:val="24"/>
          <w:lang w:val="es-ES"/>
        </w:rPr>
      </w:pPr>
      <w:r w:rsidRPr="002148C9">
        <w:rPr>
          <w:color w:val="000000"/>
          <w:szCs w:val="24"/>
          <w:lang w:val="es-ES"/>
        </w:rPr>
        <w:t>Por consiguiente:</w:t>
      </w:r>
    </w:p>
    <w:p w14:paraId="78FB9DFD"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FB2FEE">
        <w:rPr>
          <w:color w:val="000000"/>
          <w:szCs w:val="24"/>
          <w:vertAlign w:val="subscript"/>
          <w:lang w:val="es-ES"/>
        </w:rPr>
        <w:t xml:space="preserve"> </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N</w:t>
      </w:r>
      <w:r w:rsidRPr="00FB2FEE">
        <w:rPr>
          <w:i/>
          <w:color w:val="000000"/>
          <w:position w:val="-4"/>
          <w:szCs w:val="24"/>
          <w:vertAlign w:val="subscript"/>
          <w:lang w:val="es-ES"/>
        </w:rPr>
        <w:t>i</w:t>
      </w:r>
      <w:r w:rsidRPr="00FB2FEE">
        <w:rPr>
          <w:color w:val="000000"/>
          <w:szCs w:val="24"/>
          <w:vertAlign w:val="subscript"/>
          <w:lang w:val="es-ES"/>
        </w:rPr>
        <w:t xml:space="preserve"> </w:t>
      </w:r>
      <w:r w:rsidRPr="002148C9">
        <w:rPr>
          <w:color w:val="000000"/>
          <w:szCs w:val="24"/>
          <w:lang w:val="es-ES"/>
        </w:rPr>
        <w:t xml:space="preserve"> </w:t>
      </w:r>
      <w:r w:rsidRPr="002148C9">
        <w:rPr>
          <w:rFonts w:ascii="Symbol" w:hAnsi="Symbol"/>
          <w:color w:val="000000"/>
          <w:szCs w:val="24"/>
          <w:lang w:val="es-ES"/>
        </w:rPr>
        <w:t></w:t>
      </w:r>
      <w:r w:rsidRPr="002148C9">
        <w:rPr>
          <w:color w:val="000000"/>
          <w:szCs w:val="24"/>
          <w:lang w:val="es-ES"/>
        </w:rPr>
        <w:t xml:space="preserve">  0,35 </w:t>
      </w:r>
      <w:r w:rsidRPr="002148C9">
        <w:rPr>
          <w:i/>
          <w:color w:val="000000"/>
          <w:szCs w:val="24"/>
          <w:lang w:val="es-ES"/>
        </w:rPr>
        <w:t>N</w:t>
      </w:r>
      <w:r w:rsidRPr="00FB2FEE">
        <w:rPr>
          <w:i/>
          <w:color w:val="000000"/>
          <w:position w:val="-4"/>
          <w:szCs w:val="24"/>
          <w:vertAlign w:val="subscript"/>
          <w:lang w:val="es-ES"/>
        </w:rPr>
        <w:t>tot</w:t>
      </w:r>
    </w:p>
    <w:p w14:paraId="67E8EAF1"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FB2FEE">
        <w:rPr>
          <w:rFonts w:ascii="Tms Rmn" w:hAnsi="Tms Rmn"/>
          <w:color w:val="000000"/>
          <w:position w:val="-4"/>
          <w:szCs w:val="24"/>
          <w:vertAlign w:val="subscript"/>
          <w:lang w:val="es-ES"/>
        </w:rPr>
        <w:t> </w:t>
      </w:r>
      <w:r w:rsidRPr="002148C9">
        <w:rPr>
          <w:color w:val="000000"/>
          <w:szCs w:val="24"/>
          <w:lang w:val="es-ES"/>
        </w:rPr>
        <w:t xml:space="preserve">(1  –  0,35)  </w:t>
      </w:r>
      <w:r w:rsidRPr="002148C9">
        <w:rPr>
          <w:rFonts w:ascii="Symbol" w:hAnsi="Symbol"/>
          <w:color w:val="000000"/>
          <w:szCs w:val="24"/>
          <w:lang w:val="es-ES"/>
        </w:rPr>
        <w:t></w:t>
      </w:r>
      <w:r w:rsidRPr="002148C9">
        <w:rPr>
          <w:color w:val="000000"/>
          <w:szCs w:val="24"/>
          <w:lang w:val="es-ES"/>
        </w:rPr>
        <w:t xml:space="preserve">  </w:t>
      </w:r>
      <w:r w:rsidRPr="002148C9">
        <w:rPr>
          <w:i/>
          <w:color w:val="000000"/>
          <w:szCs w:val="24"/>
          <w:lang w:val="es-ES"/>
        </w:rPr>
        <w:t>N</w:t>
      </w:r>
      <w:r w:rsidRPr="00FB2FEE">
        <w:rPr>
          <w:i/>
          <w:color w:val="000000"/>
          <w:position w:val="-4"/>
          <w:szCs w:val="24"/>
          <w:vertAlign w:val="subscript"/>
          <w:lang w:val="es-ES"/>
        </w:rPr>
        <w:t>i</w:t>
      </w:r>
    </w:p>
    <w:p w14:paraId="6D8A1F73" w14:textId="77777777" w:rsidR="00AF6EEB" w:rsidRPr="002148C9" w:rsidRDefault="00AF6EEB" w:rsidP="00E71481">
      <w:pPr>
        <w:tabs>
          <w:tab w:val="left" w:pos="2608"/>
          <w:tab w:val="left" w:pos="3345"/>
        </w:tabs>
        <w:spacing w:before="80"/>
        <w:ind w:left="1134" w:hanging="1134"/>
        <w:rPr>
          <w:color w:val="000000"/>
          <w:szCs w:val="24"/>
          <w:lang w:val="es-ES"/>
        </w:rPr>
      </w:pPr>
      <w:r w:rsidRPr="002148C9">
        <w:rPr>
          <w:color w:val="000000"/>
          <w:szCs w:val="24"/>
          <w:lang w:val="es-ES"/>
        </w:rPr>
        <w:tab/>
      </w:r>
      <w:r w:rsidRPr="002148C9">
        <w:rPr>
          <w:i/>
          <w:color w:val="000000"/>
          <w:szCs w:val="24"/>
          <w:lang w:val="es-ES"/>
        </w:rPr>
        <w:t>N</w:t>
      </w:r>
      <w:r w:rsidRPr="00FB2FEE">
        <w:rPr>
          <w:i/>
          <w:color w:val="000000"/>
          <w:position w:val="-4"/>
          <w:szCs w:val="24"/>
          <w:vertAlign w:val="subscript"/>
          <w:lang w:val="es-ES"/>
        </w:rPr>
        <w:t>tot</w:t>
      </w:r>
      <w:r w:rsidRPr="00FB2FEE">
        <w:rPr>
          <w:color w:val="000000"/>
          <w:szCs w:val="24"/>
          <w:vertAlign w:val="subscript"/>
          <w:lang w:val="es-ES"/>
        </w:rPr>
        <w:t xml:space="preserve">  </w:t>
      </w:r>
      <w:r w:rsidRPr="002148C9">
        <w:rPr>
          <w:rFonts w:ascii="Symbol" w:hAnsi="Symbol"/>
          <w:color w:val="000000"/>
          <w:szCs w:val="24"/>
          <w:lang w:val="es-ES"/>
        </w:rPr>
        <w:t></w:t>
      </w:r>
      <w:r w:rsidRPr="002148C9">
        <w:rPr>
          <w:color w:val="000000"/>
          <w:szCs w:val="24"/>
          <w:lang w:val="es-ES"/>
        </w:rPr>
        <w:t xml:space="preserve">  1,53 </w:t>
      </w:r>
      <w:r w:rsidRPr="002148C9">
        <w:rPr>
          <w:i/>
          <w:color w:val="000000"/>
          <w:szCs w:val="24"/>
          <w:lang w:val="es-ES"/>
        </w:rPr>
        <w:t>N</w:t>
      </w:r>
      <w:r w:rsidRPr="00FB2FEE">
        <w:rPr>
          <w:i/>
          <w:color w:val="000000"/>
          <w:position w:val="-4"/>
          <w:szCs w:val="24"/>
          <w:vertAlign w:val="subscript"/>
          <w:lang w:val="es-ES"/>
        </w:rPr>
        <w:t>i</w:t>
      </w:r>
      <w:r w:rsidRPr="00FB2FEE">
        <w:rPr>
          <w:color w:val="000000"/>
          <w:szCs w:val="24"/>
          <w:vertAlign w:val="subscript"/>
          <w:lang w:val="es-ES"/>
        </w:rPr>
        <w:t xml:space="preserve"> </w:t>
      </w:r>
    </w:p>
    <w:p w14:paraId="19D9CDF2" w14:textId="77777777" w:rsidR="00C96959" w:rsidRDefault="00FB2FEE" w:rsidP="00AF6EEB">
      <w:pPr>
        <w:tabs>
          <w:tab w:val="left" w:pos="2608"/>
          <w:tab w:val="left" w:pos="3345"/>
        </w:tabs>
        <w:ind w:left="1134" w:hanging="1134"/>
        <w:rPr>
          <w:color w:val="000000"/>
          <w:szCs w:val="24"/>
          <w:lang w:val="es-ES"/>
        </w:rPr>
      </w:pPr>
      <w:r>
        <w:rPr>
          <w:color w:val="000000"/>
          <w:szCs w:val="24"/>
          <w:lang w:val="es-ES"/>
        </w:rPr>
        <w:tab/>
      </w:r>
      <w:r w:rsidR="00AF6EEB" w:rsidRPr="002148C9">
        <w:rPr>
          <w:color w:val="000000"/>
          <w:szCs w:val="24"/>
          <w:lang w:val="es-ES"/>
        </w:rPr>
        <w:t xml:space="preserve">Margen adicional: 10 </w:t>
      </w:r>
      <w:r w:rsidR="00AF6EEB" w:rsidRPr="002148C9">
        <w:rPr>
          <w:color w:val="000000"/>
          <w:position w:val="6"/>
          <w:szCs w:val="24"/>
          <w:lang w:val="es-ES"/>
        </w:rPr>
        <w:t xml:space="preserve">* </w:t>
      </w:r>
      <w:r w:rsidR="00AF6EEB" w:rsidRPr="002148C9">
        <w:rPr>
          <w:color w:val="000000"/>
          <w:szCs w:val="24"/>
          <w:lang w:val="es-ES"/>
        </w:rPr>
        <w:t xml:space="preserve">log(1,53)  </w:t>
      </w:r>
      <w:r w:rsidR="00AF6EEB" w:rsidRPr="002148C9">
        <w:rPr>
          <w:rFonts w:ascii="Symbol" w:hAnsi="Symbol"/>
          <w:color w:val="000000"/>
          <w:szCs w:val="24"/>
          <w:lang w:val="es-ES"/>
        </w:rPr>
        <w:t></w:t>
      </w:r>
      <w:r w:rsidR="00AF6EEB" w:rsidRPr="002148C9">
        <w:rPr>
          <w:color w:val="000000"/>
          <w:szCs w:val="24"/>
          <w:lang w:val="es-ES"/>
        </w:rPr>
        <w:t xml:space="preserve">  1,87 dB.</w:t>
      </w:r>
    </w:p>
    <w:p w14:paraId="0D9E5100" w14:textId="77777777" w:rsidR="00361A40" w:rsidRPr="005C7612" w:rsidRDefault="00361A40">
      <w:pPr>
        <w:pStyle w:val="Heading2"/>
        <w:rPr>
          <w:color w:val="000000"/>
          <w:lang w:val="es-ES_tradnl"/>
        </w:rPr>
      </w:pPr>
      <w:r w:rsidRPr="005C7612">
        <w:rPr>
          <w:color w:val="000000"/>
          <w:lang w:val="es-ES_tradnl"/>
        </w:rPr>
        <w:t>4.2</w:t>
      </w:r>
      <w:r w:rsidRPr="005C7612">
        <w:rPr>
          <w:color w:val="000000"/>
          <w:lang w:val="es-ES_tradnl"/>
        </w:rPr>
        <w:tab/>
        <w:t>Emisiones digitales</w:t>
      </w:r>
    </w:p>
    <w:p w14:paraId="0D96214E" w14:textId="2BB5D87B" w:rsidR="00361A40" w:rsidRPr="005C7612" w:rsidRDefault="00361A40" w:rsidP="00AC02D7">
      <w:pPr>
        <w:pStyle w:val="Heading3"/>
        <w:rPr>
          <w:color w:val="000000"/>
          <w:u w:val="single"/>
          <w:lang w:val="es-ES_tradnl"/>
        </w:rPr>
      </w:pPr>
      <w:r w:rsidRPr="005C7612">
        <w:rPr>
          <w:color w:val="000000"/>
          <w:lang w:val="es-ES_tradnl"/>
        </w:rPr>
        <w:t>4.2.1</w:t>
      </w:r>
      <w:r w:rsidRPr="005C7612">
        <w:rPr>
          <w:color w:val="000000"/>
          <w:lang w:val="es-ES_tradnl"/>
        </w:rPr>
        <w:tab/>
      </w:r>
      <w:r w:rsidR="00C92843" w:rsidRPr="002148C9">
        <w:rPr>
          <w:color w:val="000000"/>
          <w:szCs w:val="24"/>
          <w:lang w:val="es-ES"/>
        </w:rPr>
        <w:t xml:space="preserve">Interferencia combinada producida por otros sistemas de satélite que comparten la misma banda de frecuencias </w:t>
      </w:r>
      <w:r w:rsidR="00C92843" w:rsidRPr="00C92843">
        <w:rPr>
          <w:b w:val="0"/>
          <w:color w:val="000000"/>
          <w:szCs w:val="24"/>
          <w:lang w:val="es-ES"/>
        </w:rPr>
        <w:t>(Recomendación UIT-R S.523)</w:t>
      </w:r>
    </w:p>
    <w:p w14:paraId="53885892" w14:textId="77777777" w:rsidR="00361A40" w:rsidRPr="005C7612" w:rsidRDefault="00361A40">
      <w:pPr>
        <w:spacing w:line="280" w:lineRule="exact"/>
        <w:rPr>
          <w:color w:val="000000"/>
          <w:lang w:val="es-ES_tradnl"/>
        </w:rPr>
      </w:pPr>
      <w:r w:rsidRPr="005C7612">
        <w:rPr>
          <w:color w:val="000000"/>
          <w:lang w:val="es-ES_tradnl"/>
        </w:rPr>
        <w:t>De acuerdo con la Recomendación UIT-R S.523, en las bandas de frecuencias en las que la red no aplica la reutilización de frecuencias, el nivel de potencia de la interferencia combinada promediado en cualquier periodo de 10 min, no debe rebasar, en más del 20% de cualquier mes, del 25% del nivel total de potencia de ruido a la entrada al demodulador que daría lugar </w:t>
      </w:r>
      <w:r w:rsidR="005C7612" w:rsidRPr="005C7612">
        <w:rPr>
          <w:rFonts w:ascii="Tms Rmn" w:hAnsi="Tms Rmn"/>
          <w:color w:val="000000"/>
          <w:sz w:val="12"/>
          <w:lang w:val="es-ES_tradnl"/>
        </w:rPr>
        <w:t> </w:t>
      </w:r>
      <w:r w:rsidRPr="005C7612">
        <w:rPr>
          <w:color w:val="000000"/>
          <w:lang w:val="es-ES_tradnl"/>
        </w:rPr>
        <w:t>a una proporción de bits erróneos de 1 </w:t>
      </w:r>
      <w:r w:rsidRPr="005C7612">
        <w:rPr>
          <w:color w:val="000000"/>
          <w:lang w:val="es-ES_tradnl"/>
        </w:rPr>
        <w:sym w:font="Symbol" w:char="F0B4"/>
      </w:r>
      <w:r w:rsidRPr="005C7612">
        <w:rPr>
          <w:color w:val="000000"/>
          <w:lang w:val="es-ES_tradnl"/>
        </w:rPr>
        <w:t> 10</w:t>
      </w:r>
      <w:r w:rsidRPr="005C7612">
        <w:rPr>
          <w:vertAlign w:val="superscript"/>
          <w:lang w:val="es-ES_tradnl"/>
        </w:rPr>
        <w:t>–6</w:t>
      </w:r>
      <w:r w:rsidRPr="005C7612">
        <w:rPr>
          <w:color w:val="000000"/>
          <w:lang w:val="es-ES_tradnl"/>
        </w:rPr>
        <w:t>, como establece la Recomendación UIT</w:t>
      </w:r>
      <w:r w:rsidRPr="005C7612">
        <w:rPr>
          <w:color w:val="000000"/>
          <w:lang w:val="es-ES_tradnl"/>
        </w:rPr>
        <w:noBreakHyphen/>
        <w:t>R S.522 para el mismo porcentaje de tiempo.</w:t>
      </w:r>
    </w:p>
    <w:p w14:paraId="30BAAB76" w14:textId="77777777" w:rsidR="00361A40" w:rsidRPr="005C7612" w:rsidRDefault="00361A40">
      <w:pPr>
        <w:pStyle w:val="Heading3"/>
        <w:rPr>
          <w:color w:val="000000"/>
          <w:u w:val="single"/>
          <w:lang w:val="es-ES_tradnl"/>
        </w:rPr>
      </w:pPr>
      <w:r w:rsidRPr="005C7612">
        <w:rPr>
          <w:color w:val="000000"/>
          <w:lang w:val="es-ES_tradnl"/>
        </w:rPr>
        <w:t>4.2.2</w:t>
      </w:r>
      <w:r w:rsidRPr="005C7612">
        <w:rPr>
          <w:color w:val="000000"/>
          <w:lang w:val="es-ES_tradnl"/>
        </w:rPr>
        <w:tab/>
        <w:t xml:space="preserve">Valores máximos permisibles de interferencia combinada producida por estaciones de radioenlaces en sistemas del SFS utilizados para telefonía codificada por MIC de 8 bits </w:t>
      </w:r>
      <w:r w:rsidRPr="005C7612">
        <w:rPr>
          <w:b w:val="0"/>
          <w:color w:val="000000"/>
          <w:lang w:val="es-ES_tradnl"/>
        </w:rPr>
        <w:t>(Recomendación UIT-R SF.558</w:t>
      </w:r>
      <w:r w:rsidR="00C71E9D">
        <w:rPr>
          <w:b w:val="0"/>
          <w:color w:val="000000"/>
          <w:lang w:val="es-ES_tradnl"/>
        </w:rPr>
        <w:t>-2</w:t>
      </w:r>
      <w:r w:rsidR="0049016D" w:rsidRPr="0049016D">
        <w:rPr>
          <w:rStyle w:val="FootnoteReference"/>
          <w:b w:val="0"/>
          <w:color w:val="000000"/>
          <w:lang w:val="es-ES_tradnl"/>
        </w:rPr>
        <w:footnoteReference w:customMarkFollows="1" w:id="4"/>
        <w:t>*</w:t>
      </w:r>
      <w:r w:rsidRPr="005C7612">
        <w:rPr>
          <w:b w:val="0"/>
          <w:color w:val="000000"/>
          <w:lang w:val="es-ES_tradnl"/>
        </w:rPr>
        <w:t>)</w:t>
      </w:r>
    </w:p>
    <w:p w14:paraId="0450A038" w14:textId="7498A115" w:rsidR="00361A40" w:rsidRDefault="00361A40">
      <w:pPr>
        <w:rPr>
          <w:color w:val="000000"/>
          <w:lang w:val="es-ES_tradnl"/>
        </w:rPr>
      </w:pPr>
      <w:r w:rsidRPr="005C7612">
        <w:rPr>
          <w:color w:val="000000"/>
          <w:lang w:val="es-ES_tradnl"/>
        </w:rPr>
        <w:t>Conforme a esta Recomendación, la interferencia producida por la combinación de los transmisores de estaciones de radioenlaces promediada en cualquier periodo de 10</w:t>
      </w:r>
      <w:r w:rsidR="00292101">
        <w:rPr>
          <w:color w:val="000000"/>
          <w:lang w:val="es-ES_tradnl"/>
        </w:rPr>
        <w:t> </w:t>
      </w:r>
      <w:r w:rsidRPr="005C7612">
        <w:rPr>
          <w:color w:val="000000"/>
          <w:lang w:val="es-ES_tradnl"/>
        </w:rPr>
        <w:t>min no debe rebasar, en más del 20% de cualquier mes, del 10% de la potencia de ruido total a la entrada del demodulador que daría lugar a una proporción de bits erróneos de 1 </w:t>
      </w:r>
      <w:r w:rsidRPr="005C7612">
        <w:rPr>
          <w:color w:val="000000"/>
          <w:lang w:val="es-ES_tradnl"/>
        </w:rPr>
        <w:sym w:font="Symbol" w:char="F0B4"/>
      </w:r>
      <w:r w:rsidRPr="005C7612">
        <w:rPr>
          <w:color w:val="000000"/>
          <w:lang w:val="es-ES_tradnl"/>
        </w:rPr>
        <w:t> 10</w:t>
      </w:r>
      <w:r w:rsidRPr="005C7612">
        <w:rPr>
          <w:vertAlign w:val="superscript"/>
          <w:lang w:val="es-ES_tradnl"/>
        </w:rPr>
        <w:t>–6</w:t>
      </w:r>
      <w:r w:rsidRPr="005C7612">
        <w:rPr>
          <w:color w:val="000000"/>
          <w:lang w:val="es-ES_tradnl"/>
        </w:rPr>
        <w:t>, como establece la Recomendación UIT-R S.522 para el mismo porcentaje de tiempo.</w:t>
      </w:r>
    </w:p>
    <w:p w14:paraId="7DBA34F1" w14:textId="3A3C6D8E" w:rsidR="00C96959" w:rsidRDefault="00C96959" w:rsidP="00C96959">
      <w:pPr>
        <w:rPr>
          <w:lang w:val="es-ES_tradnl"/>
        </w:rPr>
      </w:pPr>
      <w:r>
        <w:rPr>
          <w:lang w:val="es-ES_tradnl"/>
        </w:rPr>
        <w:br w:type="page"/>
      </w:r>
    </w:p>
    <w:p w14:paraId="241F295C" w14:textId="77777777" w:rsidR="00361A40" w:rsidRPr="005C7612" w:rsidRDefault="00361A40">
      <w:pPr>
        <w:pStyle w:val="Heading3"/>
        <w:rPr>
          <w:color w:val="000000"/>
          <w:u w:val="single"/>
          <w:lang w:val="es-ES_tradnl"/>
        </w:rPr>
      </w:pPr>
      <w:r w:rsidRPr="005C7612">
        <w:rPr>
          <w:color w:val="000000"/>
          <w:lang w:val="es-ES_tradnl"/>
        </w:rPr>
        <w:lastRenderedPageBreak/>
        <w:t>4.2.3</w:t>
      </w:r>
      <w:r w:rsidRPr="005C7612">
        <w:rPr>
          <w:color w:val="000000"/>
          <w:lang w:val="es-ES_tradnl"/>
        </w:rPr>
        <w:tab/>
        <w:t>Cálculo del margen adicional</w:t>
      </w:r>
    </w:p>
    <w:p w14:paraId="5A827DEB" w14:textId="77777777" w:rsidR="00361A40" w:rsidRPr="005C7612" w:rsidRDefault="00361A40" w:rsidP="005C7612">
      <w:pPr>
        <w:rPr>
          <w:color w:val="000000"/>
          <w:lang w:val="es-ES_tradnl"/>
        </w:rPr>
      </w:pPr>
      <w:r w:rsidRPr="005C7612">
        <w:rPr>
          <w:color w:val="000000"/>
          <w:lang w:val="es-ES_tradnl"/>
        </w:rPr>
        <w:t>Se obtienen los mismos valores que en el anterior §</w:t>
      </w:r>
      <w:r w:rsidR="005C7612" w:rsidRPr="005C7612">
        <w:rPr>
          <w:color w:val="000000"/>
          <w:lang w:val="es-ES_tradnl"/>
        </w:rPr>
        <w:t> </w:t>
      </w:r>
      <w:r w:rsidRPr="005C7612">
        <w:rPr>
          <w:color w:val="000000"/>
          <w:lang w:val="es-ES_tradnl"/>
        </w:rPr>
        <w:t>4.1.3.</w:t>
      </w:r>
    </w:p>
    <w:p w14:paraId="5B2595DB" w14:textId="77777777" w:rsidR="00361A40" w:rsidRPr="005C7612" w:rsidRDefault="00361A40">
      <w:pPr>
        <w:pStyle w:val="Heading2"/>
        <w:rPr>
          <w:color w:val="000000"/>
          <w:u w:val="single"/>
          <w:lang w:val="es-ES_tradnl"/>
        </w:rPr>
      </w:pPr>
      <w:r w:rsidRPr="005C7612">
        <w:rPr>
          <w:color w:val="000000"/>
          <w:lang w:val="es-ES_tradnl"/>
        </w:rPr>
        <w:t>4.3</w:t>
      </w:r>
      <w:r w:rsidRPr="005C7612">
        <w:rPr>
          <w:color w:val="000000"/>
          <w:lang w:val="es-ES_tradnl"/>
        </w:rPr>
        <w:tab/>
        <w:t>TV analógica</w:t>
      </w:r>
    </w:p>
    <w:p w14:paraId="4BF2EB91" w14:textId="77777777" w:rsidR="00361A40" w:rsidRPr="005C7612" w:rsidRDefault="00361A40" w:rsidP="00AC02D7">
      <w:pPr>
        <w:pStyle w:val="Heading3"/>
        <w:rPr>
          <w:color w:val="000000"/>
          <w:lang w:val="es-ES_tradnl"/>
        </w:rPr>
      </w:pPr>
      <w:r w:rsidRPr="005C7612">
        <w:rPr>
          <w:color w:val="000000"/>
          <w:lang w:val="es-ES_tradnl"/>
        </w:rPr>
        <w:t>4.3.1</w:t>
      </w:r>
      <w:r w:rsidRPr="005C7612">
        <w:rPr>
          <w:color w:val="000000"/>
          <w:lang w:val="es-ES_tradnl"/>
        </w:rPr>
        <w:tab/>
      </w:r>
      <w:r w:rsidR="00B90DED" w:rsidRPr="002148C9">
        <w:rPr>
          <w:color w:val="000000"/>
          <w:szCs w:val="24"/>
          <w:lang w:val="es-ES"/>
        </w:rPr>
        <w:t xml:space="preserve">Interferencia combinada producida por otros sistemas de satélite que comparten la misma banda de frecuencias </w:t>
      </w:r>
      <w:r w:rsidR="00B90DED" w:rsidRPr="00B90DED">
        <w:rPr>
          <w:b w:val="0"/>
          <w:color w:val="000000"/>
          <w:szCs w:val="24"/>
          <w:lang w:val="es-ES"/>
        </w:rPr>
        <w:t>(Recomendación UIT-R S.483)</w:t>
      </w:r>
      <w:r w:rsidR="00B90DED">
        <w:rPr>
          <w:b w:val="0"/>
          <w:color w:val="000000"/>
          <w:szCs w:val="24"/>
          <w:lang w:val="es-ES"/>
        </w:rPr>
        <w:t xml:space="preserve">  </w:t>
      </w:r>
    </w:p>
    <w:p w14:paraId="414400ED" w14:textId="410B4B14" w:rsidR="00361A40" w:rsidRPr="005C7612" w:rsidRDefault="00361A40" w:rsidP="005C7612">
      <w:pPr>
        <w:rPr>
          <w:color w:val="000000"/>
          <w:lang w:val="es-ES_tradnl"/>
        </w:rPr>
      </w:pPr>
      <w:r w:rsidRPr="005C7612">
        <w:rPr>
          <w:color w:val="000000"/>
          <w:lang w:val="es-ES_tradnl"/>
        </w:rPr>
        <w:t>Conforme a la Recomendación UIT-R</w:t>
      </w:r>
      <w:r w:rsidR="00C96959">
        <w:rPr>
          <w:color w:val="000000"/>
          <w:lang w:val="es-ES_tradnl"/>
        </w:rPr>
        <w:t> </w:t>
      </w:r>
      <w:r w:rsidRPr="005C7612">
        <w:rPr>
          <w:color w:val="000000"/>
          <w:lang w:val="es-ES_tradnl"/>
        </w:rPr>
        <w:t>S.483, la potencia de ruido de la interferencia combinada no debe rebasar del 10% del ruido de vídeo admisible en el circuito ficticio de referencia durante más del 1% del</w:t>
      </w:r>
      <w:r w:rsidR="005C7612" w:rsidRPr="005C7612">
        <w:rPr>
          <w:color w:val="000000"/>
          <w:lang w:val="es-ES_tradnl"/>
        </w:rPr>
        <w:t> </w:t>
      </w:r>
      <w:r w:rsidRPr="005C7612">
        <w:rPr>
          <w:color w:val="000000"/>
          <w:lang w:val="es-ES_tradnl"/>
        </w:rPr>
        <w:t>mes.</w:t>
      </w:r>
    </w:p>
    <w:p w14:paraId="68E46979" w14:textId="7E283481" w:rsidR="00361A40" w:rsidRPr="005C7612" w:rsidRDefault="00361A40">
      <w:pPr>
        <w:pStyle w:val="Heading3"/>
        <w:rPr>
          <w:color w:val="000000"/>
          <w:u w:val="single"/>
          <w:lang w:val="es-ES_tradnl"/>
        </w:rPr>
      </w:pPr>
      <w:r w:rsidRPr="005C7612">
        <w:rPr>
          <w:color w:val="000000"/>
          <w:lang w:val="es-ES_tradnl"/>
        </w:rPr>
        <w:t>4.3.2</w:t>
      </w:r>
      <w:r w:rsidRPr="005C7612">
        <w:rPr>
          <w:color w:val="000000"/>
          <w:lang w:val="es-ES_tradnl"/>
        </w:rPr>
        <w:tab/>
        <w:t>Valores admisibles máximos de la interferencia combinada producida por sistemas de radioenlaces en un canal vídeo analógico del SFS</w:t>
      </w:r>
    </w:p>
    <w:p w14:paraId="1DAF3DF2" w14:textId="77777777" w:rsidR="00361A40" w:rsidRPr="005C7612" w:rsidRDefault="00361A40" w:rsidP="005C7612">
      <w:pPr>
        <w:rPr>
          <w:color w:val="000000"/>
          <w:lang w:val="es-ES_tradnl"/>
        </w:rPr>
      </w:pPr>
      <w:r w:rsidRPr="005C7612">
        <w:rPr>
          <w:color w:val="000000"/>
          <w:lang w:val="es-ES_tradnl"/>
        </w:rPr>
        <w:t>Todavía no se han formulado Recomendaciones sobre la interferencia producida por trans</w:t>
      </w:r>
      <w:r w:rsidRPr="005C7612">
        <w:rPr>
          <w:color w:val="000000"/>
          <w:lang w:val="es-ES_tradnl"/>
        </w:rPr>
        <w:softHyphen/>
        <w:t>misores del servicio fijo en canales vídeo analógicos del</w:t>
      </w:r>
      <w:r w:rsidR="005C7612" w:rsidRPr="005C7612">
        <w:rPr>
          <w:color w:val="000000"/>
          <w:lang w:val="es-ES_tradnl"/>
        </w:rPr>
        <w:t> </w:t>
      </w:r>
      <w:r w:rsidRPr="005C7612">
        <w:rPr>
          <w:color w:val="000000"/>
          <w:lang w:val="es-ES_tradnl"/>
        </w:rPr>
        <w:t>SFS.</w:t>
      </w:r>
    </w:p>
    <w:p w14:paraId="66E83179" w14:textId="77777777" w:rsidR="00361A40" w:rsidRPr="005C7612" w:rsidRDefault="00361A40">
      <w:pPr>
        <w:pStyle w:val="Heading3"/>
        <w:rPr>
          <w:color w:val="000000"/>
          <w:u w:val="single"/>
          <w:lang w:val="es-ES_tradnl"/>
        </w:rPr>
      </w:pPr>
      <w:r w:rsidRPr="005C7612">
        <w:rPr>
          <w:color w:val="000000"/>
          <w:lang w:val="es-ES_tradnl"/>
        </w:rPr>
        <w:t>4.3.3</w:t>
      </w:r>
      <w:r w:rsidRPr="005C7612">
        <w:rPr>
          <w:color w:val="000000"/>
          <w:lang w:val="es-ES_tradnl"/>
        </w:rPr>
        <w:tab/>
        <w:t>Cálculo del margen adicional</w:t>
      </w:r>
    </w:p>
    <w:p w14:paraId="74BED083" w14:textId="77777777" w:rsidR="00361A40" w:rsidRPr="005C7612" w:rsidRDefault="00361A40">
      <w:pPr>
        <w:pStyle w:val="enumlev1"/>
        <w:ind w:left="1134" w:hanging="1134"/>
        <w:rPr>
          <w:color w:val="000000"/>
          <w:lang w:val="es-ES_tradnl"/>
        </w:rPr>
      </w:pPr>
      <w:r w:rsidRPr="005C7612">
        <w:rPr>
          <w:color w:val="000000"/>
          <w:lang w:val="es-ES_tradnl"/>
        </w:rPr>
        <w:tab/>
      </w:r>
      <w:r w:rsidRPr="005C7612">
        <w:rPr>
          <w:i/>
          <w:color w:val="000000"/>
          <w:lang w:val="es-ES_tradnl"/>
        </w:rPr>
        <w:t>N</w:t>
      </w:r>
      <w:r w:rsidRPr="0078448F">
        <w:rPr>
          <w:i/>
          <w:iCs/>
          <w:vertAlign w:val="subscript"/>
          <w:lang w:val="es-ES_tradnl"/>
        </w:rPr>
        <w:t>tot</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w:t>
      </w:r>
      <w:r w:rsidRPr="005C7612">
        <w:rPr>
          <w:i/>
          <w:color w:val="000000"/>
          <w:lang w:val="es-ES_tradnl"/>
        </w:rPr>
        <w:t>N</w:t>
      </w:r>
      <w:r w:rsidRPr="005C7612">
        <w:rPr>
          <w:i/>
          <w:color w:val="000000"/>
          <w:position w:val="-4"/>
          <w:sz w:val="20"/>
          <w:lang w:val="es-ES_tradnl"/>
        </w:rPr>
        <w:t>i</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0,1 </w:t>
      </w:r>
      <w:r w:rsidRPr="005C7612">
        <w:rPr>
          <w:i/>
          <w:color w:val="000000"/>
          <w:lang w:val="es-ES_tradnl"/>
        </w:rPr>
        <w:t>N</w:t>
      </w:r>
      <w:r w:rsidRPr="0078448F">
        <w:rPr>
          <w:i/>
          <w:iCs/>
          <w:vertAlign w:val="subscript"/>
          <w:lang w:val="es-ES_tradnl"/>
        </w:rPr>
        <w:t>tot</w:t>
      </w:r>
    </w:p>
    <w:p w14:paraId="57521E76" w14:textId="77777777" w:rsidR="00361A40" w:rsidRPr="005C7612" w:rsidRDefault="00361A40">
      <w:pPr>
        <w:pStyle w:val="enumlev1"/>
        <w:ind w:left="1134" w:hanging="1134"/>
        <w:rPr>
          <w:color w:val="000000"/>
          <w:lang w:val="es-ES_tradnl"/>
        </w:rPr>
      </w:pPr>
      <w:r w:rsidRPr="005C7612">
        <w:rPr>
          <w:color w:val="000000"/>
          <w:lang w:val="es-ES_tradnl"/>
        </w:rPr>
        <w:tab/>
      </w:r>
      <w:r w:rsidRPr="005C7612">
        <w:rPr>
          <w:i/>
          <w:color w:val="000000"/>
          <w:lang w:val="es-ES_tradnl"/>
        </w:rPr>
        <w:t>N</w:t>
      </w:r>
      <w:r w:rsidRPr="0078448F">
        <w:rPr>
          <w:i/>
          <w:iCs/>
          <w:vertAlign w:val="subscript"/>
          <w:lang w:val="es-ES_tradnl"/>
        </w:rPr>
        <w:t>tot</w:t>
      </w:r>
      <w:r w:rsidRPr="005C7612">
        <w:rPr>
          <w:rFonts w:ascii="Tms Rmn" w:hAnsi="Tms Rmn"/>
          <w:color w:val="000000"/>
          <w:sz w:val="12"/>
          <w:lang w:val="es-ES_tradnl"/>
        </w:rPr>
        <w:t> </w:t>
      </w:r>
      <w:r w:rsidRPr="005C7612">
        <w:rPr>
          <w:color w:val="000000"/>
          <w:lang w:val="es-ES_tradnl"/>
        </w:rPr>
        <w:t xml:space="preserve">(1  –  0,1)  </w:t>
      </w:r>
      <w:r w:rsidRPr="005C7612">
        <w:rPr>
          <w:rFonts w:ascii="Symbol" w:hAnsi="Symbol"/>
          <w:color w:val="000000"/>
          <w:lang w:val="es-ES_tradnl"/>
        </w:rPr>
        <w:t></w:t>
      </w:r>
      <w:r w:rsidRPr="005C7612">
        <w:rPr>
          <w:color w:val="000000"/>
          <w:lang w:val="es-ES_tradnl"/>
        </w:rPr>
        <w:t xml:space="preserve">  </w:t>
      </w:r>
      <w:r w:rsidRPr="005C7612">
        <w:rPr>
          <w:i/>
          <w:color w:val="000000"/>
          <w:lang w:val="es-ES_tradnl"/>
        </w:rPr>
        <w:t>N</w:t>
      </w:r>
      <w:r w:rsidRPr="0078448F">
        <w:rPr>
          <w:i/>
          <w:iCs/>
          <w:vertAlign w:val="subscript"/>
          <w:lang w:val="es-ES_tradnl"/>
        </w:rPr>
        <w:t>i</w:t>
      </w:r>
    </w:p>
    <w:p w14:paraId="04676BDD" w14:textId="77777777" w:rsidR="00361A40" w:rsidRPr="005C7612" w:rsidRDefault="00361A40">
      <w:pPr>
        <w:pStyle w:val="enumlev1"/>
        <w:ind w:left="1134" w:hanging="1134"/>
        <w:rPr>
          <w:color w:val="000000"/>
          <w:lang w:val="es-ES_tradnl"/>
        </w:rPr>
      </w:pPr>
      <w:r w:rsidRPr="005C7612">
        <w:rPr>
          <w:color w:val="000000"/>
          <w:lang w:val="es-ES_tradnl"/>
        </w:rPr>
        <w:tab/>
      </w:r>
      <w:r w:rsidRPr="005C7612">
        <w:rPr>
          <w:i/>
          <w:color w:val="000000"/>
          <w:lang w:val="es-ES_tradnl"/>
        </w:rPr>
        <w:t>N</w:t>
      </w:r>
      <w:r w:rsidRPr="0078448F">
        <w:rPr>
          <w:i/>
          <w:iCs/>
          <w:vertAlign w:val="subscript"/>
          <w:lang w:val="es-ES_tradnl"/>
        </w:rPr>
        <w:t>tot</w:t>
      </w:r>
      <w:r w:rsidRPr="005C7612">
        <w:rPr>
          <w:color w:val="000000"/>
          <w:lang w:val="es-ES_tradnl"/>
        </w:rPr>
        <w:t xml:space="preserve">  </w:t>
      </w:r>
      <w:r w:rsidRPr="005C7612">
        <w:rPr>
          <w:rFonts w:ascii="Symbol" w:hAnsi="Symbol"/>
          <w:color w:val="000000"/>
          <w:lang w:val="es-ES_tradnl"/>
        </w:rPr>
        <w:t></w:t>
      </w:r>
      <w:r w:rsidRPr="005C7612">
        <w:rPr>
          <w:color w:val="000000"/>
          <w:lang w:val="es-ES_tradnl"/>
        </w:rPr>
        <w:t xml:space="preserve">  1,11 </w:t>
      </w:r>
      <w:r w:rsidRPr="005C7612">
        <w:rPr>
          <w:i/>
          <w:color w:val="000000"/>
          <w:lang w:val="es-ES_tradnl"/>
        </w:rPr>
        <w:t>N</w:t>
      </w:r>
      <w:r w:rsidRPr="0078448F">
        <w:rPr>
          <w:i/>
          <w:iCs/>
          <w:vertAlign w:val="subscript"/>
          <w:lang w:val="es-ES_tradnl"/>
        </w:rPr>
        <w:t>i</w:t>
      </w:r>
    </w:p>
    <w:p w14:paraId="0EA1AC58" w14:textId="77777777" w:rsidR="00361A40" w:rsidRPr="005C7612" w:rsidRDefault="00361A40">
      <w:pPr>
        <w:pStyle w:val="enumlev1"/>
        <w:ind w:left="1134" w:hanging="1134"/>
        <w:rPr>
          <w:color w:val="000000"/>
          <w:lang w:val="es-ES_tradnl"/>
        </w:rPr>
      </w:pPr>
      <w:r w:rsidRPr="005C7612">
        <w:rPr>
          <w:color w:val="000000"/>
          <w:lang w:val="es-ES_tradnl"/>
        </w:rPr>
        <w:tab/>
        <w:t xml:space="preserve">Margen adicional: 10 </w:t>
      </w:r>
      <w:r w:rsidRPr="005C7612">
        <w:rPr>
          <w:color w:val="000000"/>
          <w:position w:val="6"/>
          <w:sz w:val="20"/>
          <w:lang w:val="es-ES_tradnl"/>
        </w:rPr>
        <w:t>*</w:t>
      </w:r>
      <w:r w:rsidRPr="005C7612">
        <w:rPr>
          <w:color w:val="000000"/>
          <w:lang w:val="es-ES_tradnl"/>
        </w:rPr>
        <w:t xml:space="preserve"> log(1,11)  </w:t>
      </w:r>
      <w:r w:rsidRPr="005C7612">
        <w:rPr>
          <w:rFonts w:ascii="Symbol" w:hAnsi="Symbol"/>
          <w:color w:val="000000"/>
          <w:lang w:val="es-ES_tradnl"/>
        </w:rPr>
        <w:t></w:t>
      </w:r>
      <w:r w:rsidRPr="005C7612">
        <w:rPr>
          <w:color w:val="000000"/>
          <w:lang w:val="es-ES_tradnl"/>
        </w:rPr>
        <w:t xml:space="preserve">  0,46 dB.</w:t>
      </w:r>
    </w:p>
    <w:p w14:paraId="6B5D6224" w14:textId="124A58DF" w:rsidR="00361A40" w:rsidRDefault="00361A40">
      <w:pPr>
        <w:rPr>
          <w:color w:val="000000"/>
          <w:lang w:val="es-ES_tradnl"/>
        </w:rPr>
      </w:pPr>
      <w:r w:rsidRPr="005C7612">
        <w:rPr>
          <w:b/>
          <w:bCs/>
          <w:color w:val="000000"/>
          <w:lang w:val="es-ES_tradnl"/>
        </w:rPr>
        <w:t>5</w:t>
      </w:r>
      <w:r w:rsidRPr="005C7612">
        <w:rPr>
          <w:color w:val="000000"/>
          <w:lang w:val="es-ES_tradnl"/>
        </w:rPr>
        <w:tab/>
        <w:t>Basándose en lo anterior debe añadirse un valor de 0,46</w:t>
      </w:r>
      <w:r w:rsidR="00E2309A">
        <w:rPr>
          <w:color w:val="000000"/>
          <w:lang w:val="es-ES_tradnl"/>
        </w:rPr>
        <w:t> </w:t>
      </w:r>
      <w:r w:rsidRPr="005C7612">
        <w:rPr>
          <w:color w:val="000000"/>
          <w:lang w:val="es-ES_tradnl"/>
        </w:rPr>
        <w:t>dB a los márgenes que implican emisiones de señales de TV analógica deseadas y 1,87</w:t>
      </w:r>
      <w:r w:rsidR="00E2309A">
        <w:rPr>
          <w:color w:val="000000"/>
          <w:lang w:val="es-ES_tradnl"/>
        </w:rPr>
        <w:t> </w:t>
      </w:r>
      <w:r w:rsidRPr="005C7612">
        <w:rPr>
          <w:color w:val="000000"/>
          <w:lang w:val="es-ES_tradnl"/>
        </w:rPr>
        <w:t>dB para otras emisiones deseadas.</w:t>
      </w:r>
    </w:p>
    <w:p w14:paraId="6BDBF427" w14:textId="70E0898C" w:rsidR="00C96959" w:rsidRDefault="00C96959">
      <w:pPr>
        <w:rPr>
          <w:color w:val="000000"/>
          <w:lang w:val="es-ES_tradnl"/>
        </w:rPr>
      </w:pPr>
    </w:p>
    <w:p w14:paraId="7109BF3C" w14:textId="77777777" w:rsidR="00C96959" w:rsidRPr="005C7612" w:rsidRDefault="00C96959">
      <w:pPr>
        <w:rPr>
          <w:color w:val="000000"/>
          <w:lang w:val="es-ES_tradnl"/>
        </w:rPr>
      </w:pPr>
    </w:p>
    <w:p w14:paraId="788AE56D" w14:textId="2F633274" w:rsidR="00C96959" w:rsidRDefault="00C96959" w:rsidP="005C7612">
      <w:pPr>
        <w:rPr>
          <w:lang w:val="es-ES_tradnl"/>
        </w:rPr>
      </w:pPr>
      <w:r>
        <w:rPr>
          <w:lang w:val="es-ES_tradnl"/>
        </w:rPr>
        <w:br w:type="page"/>
      </w:r>
    </w:p>
    <w:p w14:paraId="03908B99" w14:textId="77777777" w:rsidR="00242BDC" w:rsidRPr="00242BDC" w:rsidRDefault="00242BDC" w:rsidP="00242BDC">
      <w:pPr>
        <w:keepNext/>
        <w:keepLines/>
        <w:spacing w:before="600"/>
        <w:jc w:val="center"/>
        <w:outlineLvl w:val="0"/>
        <w:rPr>
          <w:rFonts w:asciiTheme="majorBidi" w:hAnsiTheme="majorBidi" w:cstheme="majorBidi"/>
          <w:b/>
          <w:color w:val="000000"/>
          <w:sz w:val="28"/>
          <w:lang w:val="es-ES"/>
        </w:rPr>
      </w:pPr>
      <w:r w:rsidRPr="00242BDC">
        <w:rPr>
          <w:rFonts w:asciiTheme="majorBidi" w:hAnsiTheme="majorBidi" w:cstheme="majorBidi"/>
          <w:color w:val="000000"/>
          <w:sz w:val="28"/>
          <w:lang w:val="es-ES"/>
        </w:rPr>
        <w:lastRenderedPageBreak/>
        <w:t>ADJUNTO 3</w:t>
      </w:r>
    </w:p>
    <w:p w14:paraId="5B482FF1" w14:textId="3FE438C8" w:rsidR="00242BDC" w:rsidRPr="00242BDC" w:rsidRDefault="00242BDC" w:rsidP="00242BDC">
      <w:pPr>
        <w:keepNext/>
        <w:keepLines/>
        <w:spacing w:before="240"/>
        <w:jc w:val="center"/>
        <w:outlineLvl w:val="0"/>
        <w:rPr>
          <w:rFonts w:asciiTheme="majorBidi" w:hAnsiTheme="majorBidi" w:cstheme="majorBidi"/>
          <w:b/>
          <w:color w:val="000000"/>
          <w:sz w:val="28"/>
          <w:lang w:val="es-ES"/>
        </w:rPr>
      </w:pPr>
      <w:r w:rsidRPr="00242BDC">
        <w:rPr>
          <w:rFonts w:asciiTheme="majorBidi" w:hAnsiTheme="majorBidi" w:cstheme="majorBidi"/>
          <w:b/>
          <w:color w:val="000000"/>
          <w:sz w:val="28"/>
          <w:lang w:val="es-ES"/>
        </w:rPr>
        <w:t xml:space="preserve">Determinación de los puntos de prueba para calcular la </w:t>
      </w:r>
      <w:r w:rsidRPr="00BC1DDE">
        <w:rPr>
          <w:rFonts w:asciiTheme="majorBidi" w:hAnsiTheme="majorBidi" w:cstheme="majorBidi"/>
          <w:b/>
          <w:i/>
          <w:iCs/>
          <w:color w:val="000000"/>
          <w:sz w:val="28"/>
          <w:lang w:val="es-ES"/>
        </w:rPr>
        <w:t>C</w:t>
      </w:r>
      <w:r w:rsidRPr="00BC1DDE">
        <w:rPr>
          <w:rFonts w:asciiTheme="majorBidi" w:hAnsiTheme="majorBidi" w:cstheme="majorBidi"/>
          <w:b/>
          <w:color w:val="000000"/>
          <w:sz w:val="28"/>
          <w:lang w:val="es-ES"/>
        </w:rPr>
        <w:t>/</w:t>
      </w:r>
      <w:r w:rsidRPr="00BC1DDE">
        <w:rPr>
          <w:rFonts w:asciiTheme="majorBidi" w:hAnsiTheme="majorBidi" w:cstheme="majorBidi"/>
          <w:b/>
          <w:i/>
          <w:iCs/>
          <w:color w:val="000000"/>
          <w:sz w:val="28"/>
          <w:lang w:val="es-ES"/>
        </w:rPr>
        <w:t>I</w:t>
      </w:r>
    </w:p>
    <w:p w14:paraId="7B6415B3" w14:textId="77777777" w:rsidR="00242BDC" w:rsidRPr="00242BDC" w:rsidRDefault="00242BDC" w:rsidP="006C6209">
      <w:pPr>
        <w:pStyle w:val="Heading1"/>
        <w:rPr>
          <w:lang w:val="es-ES"/>
        </w:rPr>
      </w:pPr>
      <w:r w:rsidRPr="00242BDC">
        <w:rPr>
          <w:lang w:val="es-ES"/>
        </w:rPr>
        <w:t>1</w:t>
      </w:r>
      <w:r w:rsidRPr="00242BDC">
        <w:rPr>
          <w:lang w:val="es-ES"/>
        </w:rPr>
        <w:tab/>
        <w:t>Introducción</w:t>
      </w:r>
    </w:p>
    <w:p w14:paraId="49A17C79" w14:textId="77777777" w:rsidR="00242BDC" w:rsidRPr="00242BDC" w:rsidRDefault="00242BDC" w:rsidP="00242BDC">
      <w:pPr>
        <w:rPr>
          <w:rFonts w:asciiTheme="majorBidi" w:hAnsiTheme="majorBidi" w:cstheme="majorBidi"/>
          <w:color w:val="000000"/>
          <w:szCs w:val="24"/>
          <w:lang w:val="es-ES"/>
        </w:rPr>
      </w:pPr>
      <w:r w:rsidRPr="00242BDC">
        <w:rPr>
          <w:rFonts w:asciiTheme="majorBidi" w:hAnsiTheme="majorBidi" w:cstheme="majorBidi"/>
          <w:color w:val="000000"/>
          <w:szCs w:val="24"/>
          <w:lang w:val="es-ES"/>
        </w:rPr>
        <w:t>La evaluación de la probabilidad de interferencia perjudicial se basará en:</w:t>
      </w:r>
    </w:p>
    <w:p w14:paraId="5330FEF4" w14:textId="77777777" w:rsidR="00242BDC" w:rsidRPr="00242BDC" w:rsidRDefault="00A31C52" w:rsidP="00A31C52">
      <w:pPr>
        <w:pStyle w:val="enumlev1"/>
        <w:rPr>
          <w:lang w:val="es-ES"/>
        </w:rPr>
      </w:pPr>
      <w:r w:rsidRPr="00A31C52">
        <w:rPr>
          <w:lang w:val="es-ES"/>
        </w:rPr>
        <w:t>–</w:t>
      </w:r>
      <w:r>
        <w:rPr>
          <w:lang w:val="es-ES"/>
        </w:rPr>
        <w:tab/>
      </w:r>
      <w:r w:rsidR="00242BDC" w:rsidRPr="00242BDC">
        <w:rPr>
          <w:lang w:val="es-ES"/>
        </w:rPr>
        <w:t xml:space="preserve">Un punto de prueba de enlace descendente dentro de la zona de servicio del satélite deseado donde el valor de </w:t>
      </w:r>
      <w:r w:rsidR="00242BDC" w:rsidRPr="00242BDC">
        <w:rPr>
          <w:position w:val="-32"/>
          <w:lang w:val="es-ES"/>
        </w:rPr>
        <w:object w:dxaOrig="620" w:dyaOrig="720" w14:anchorId="7A44481C">
          <v:shape id="_x0000_i1046" type="#_x0000_t75" style="width:30.75pt;height:36pt" o:ole="">
            <v:imagedata r:id="rId28" o:title=""/>
          </v:shape>
          <o:OLEObject Type="Embed" ProgID="Equation.3" ShapeID="_x0000_i1046" DrawAspect="Content" ObjectID="_1831207893" r:id="rId49"/>
        </w:object>
      </w:r>
      <w:r w:rsidR="00242BDC" w:rsidRPr="00242BDC">
        <w:rPr>
          <w:lang w:val="es-ES"/>
        </w:rPr>
        <w:t xml:space="preserve"> es mínimo.</w:t>
      </w:r>
    </w:p>
    <w:p w14:paraId="19B1BE0B" w14:textId="77777777" w:rsidR="00242BDC" w:rsidRPr="00242BDC" w:rsidRDefault="00A31C52" w:rsidP="00A31C52">
      <w:pPr>
        <w:pStyle w:val="enumlev1"/>
        <w:rPr>
          <w:lang w:val="es-ES"/>
        </w:rPr>
      </w:pPr>
      <w:r w:rsidRPr="00A31C52">
        <w:rPr>
          <w:lang w:val="es-ES"/>
        </w:rPr>
        <w:t>–</w:t>
      </w:r>
      <w:r>
        <w:rPr>
          <w:lang w:val="es-ES"/>
        </w:rPr>
        <w:tab/>
      </w:r>
      <w:r w:rsidR="00242BDC" w:rsidRPr="00242BDC">
        <w:rPr>
          <w:lang w:val="es-ES"/>
        </w:rPr>
        <w:t xml:space="preserve">Dos puntos de prueba de enlace ascendente de los enlaces deseado e interferente que produzcan el valor mínimo de </w:t>
      </w:r>
      <w:r w:rsidR="00242BDC" w:rsidRPr="00242BDC">
        <w:rPr>
          <w:position w:val="-32"/>
          <w:lang w:val="es-ES"/>
        </w:rPr>
        <w:object w:dxaOrig="620" w:dyaOrig="720" w14:anchorId="288F4266">
          <v:shape id="_x0000_i1047" type="#_x0000_t75" style="width:30.75pt;height:36pt" o:ole="">
            <v:imagedata r:id="rId28" o:title=""/>
          </v:shape>
          <o:OLEObject Type="Embed" ProgID="Equation.3" ShapeID="_x0000_i1047" DrawAspect="Content" ObjectID="_1831207894" r:id="rId50"/>
        </w:object>
      </w:r>
      <w:r w:rsidR="00242BDC" w:rsidRPr="00242BDC">
        <w:rPr>
          <w:lang w:val="es-ES"/>
        </w:rPr>
        <w:t>.</w:t>
      </w:r>
    </w:p>
    <w:p w14:paraId="52D478F2" w14:textId="77777777" w:rsidR="00242BDC" w:rsidRPr="002148C9" w:rsidRDefault="00242BDC" w:rsidP="00242BDC">
      <w:pPr>
        <w:rPr>
          <w:color w:val="000000"/>
          <w:szCs w:val="24"/>
          <w:lang w:val="es-ES"/>
        </w:rPr>
      </w:pPr>
      <w:r w:rsidRPr="002148C9">
        <w:rPr>
          <w:position w:val="-32"/>
          <w:szCs w:val="24"/>
          <w:lang w:val="es-ES"/>
        </w:rPr>
        <w:object w:dxaOrig="620" w:dyaOrig="720" w14:anchorId="1AF31002">
          <v:shape id="_x0000_i1048" type="#_x0000_t75" style="width:30.75pt;height:36pt" o:ole="">
            <v:imagedata r:id="rId28" o:title=""/>
          </v:shape>
          <o:OLEObject Type="Embed" ProgID="Equation.3" ShapeID="_x0000_i1048" DrawAspect="Content" ObjectID="_1831207895" r:id="rId51"/>
        </w:object>
      </w:r>
      <w:r w:rsidRPr="002148C9">
        <w:rPr>
          <w:szCs w:val="24"/>
          <w:lang w:val="es-ES"/>
        </w:rPr>
        <w:t>tiene un valor mínimo cuando la señal deseada está en su mínimo y la señal interferente en su máximo</w:t>
      </w:r>
      <w:r w:rsidRPr="002148C9">
        <w:rPr>
          <w:color w:val="000000"/>
          <w:szCs w:val="24"/>
          <w:lang w:val="es-ES"/>
        </w:rPr>
        <w:t>.</w:t>
      </w:r>
    </w:p>
    <w:p w14:paraId="36DB7AB4" w14:textId="77777777" w:rsidR="00242BDC" w:rsidRPr="002148C9" w:rsidRDefault="00242BDC" w:rsidP="006C6209">
      <w:pPr>
        <w:pStyle w:val="Heading1"/>
        <w:rPr>
          <w:lang w:val="es-ES"/>
        </w:rPr>
      </w:pPr>
      <w:r w:rsidRPr="002148C9">
        <w:rPr>
          <w:lang w:val="es-ES"/>
        </w:rPr>
        <w:t>2</w:t>
      </w:r>
      <w:r w:rsidRPr="002148C9">
        <w:rPr>
          <w:lang w:val="es-ES"/>
        </w:rPr>
        <w:tab/>
        <w:t xml:space="preserve">Puntos de prueba para el cálculo de </w:t>
      </w:r>
      <w:r w:rsidRPr="00BC1DDE">
        <w:rPr>
          <w:i/>
          <w:iCs/>
          <w:lang w:val="es-ES"/>
        </w:rPr>
        <w:t>C</w:t>
      </w:r>
      <w:r w:rsidRPr="00BC1DDE">
        <w:rPr>
          <w:lang w:val="es-ES"/>
        </w:rPr>
        <w:t>/</w:t>
      </w:r>
      <w:r w:rsidRPr="00BC1DDE">
        <w:rPr>
          <w:i/>
          <w:iCs/>
          <w:lang w:val="es-ES"/>
        </w:rPr>
        <w:t>I</w:t>
      </w:r>
      <w:r w:rsidRPr="002148C9">
        <w:rPr>
          <w:lang w:val="es-ES"/>
        </w:rPr>
        <w:t xml:space="preserve"> de enlace descendente</w:t>
      </w:r>
    </w:p>
    <w:p w14:paraId="1CFF25E8" w14:textId="77777777" w:rsidR="00242BDC" w:rsidRPr="002148C9" w:rsidRDefault="00242BDC" w:rsidP="00242BDC">
      <w:pPr>
        <w:rPr>
          <w:szCs w:val="24"/>
          <w:lang w:val="es-ES"/>
        </w:rPr>
      </w:pPr>
      <w:r w:rsidRPr="002148C9">
        <w:rPr>
          <w:szCs w:val="24"/>
          <w:lang w:val="es-ES"/>
        </w:rPr>
        <w:t xml:space="preserve">La posición de la estación terrena receptora deseada para la que se calcula la </w:t>
      </w:r>
      <w:r w:rsidRPr="00BC1DDE">
        <w:rPr>
          <w:i/>
          <w:iCs/>
          <w:szCs w:val="24"/>
          <w:lang w:val="es-ES"/>
        </w:rPr>
        <w:t>C</w:t>
      </w:r>
      <w:r w:rsidRPr="00BC1DDE">
        <w:rPr>
          <w:szCs w:val="24"/>
          <w:lang w:val="es-ES"/>
        </w:rPr>
        <w:t>/</w:t>
      </w:r>
      <w:r w:rsidRPr="00BC1DDE">
        <w:rPr>
          <w:i/>
          <w:iCs/>
          <w:szCs w:val="24"/>
          <w:lang w:val="es-ES"/>
        </w:rPr>
        <w:t>I</w:t>
      </w:r>
      <w:r w:rsidRPr="002148C9">
        <w:rPr>
          <w:szCs w:val="24"/>
          <w:lang w:val="es-ES"/>
        </w:rPr>
        <w:t xml:space="preserve"> se selecciona utilizando los siguientes criterios:</w:t>
      </w:r>
    </w:p>
    <w:p w14:paraId="035DF8F2" w14:textId="77777777" w:rsidR="00242BDC" w:rsidRPr="0083361A" w:rsidRDefault="0083361A" w:rsidP="0083361A">
      <w:pPr>
        <w:pStyle w:val="enumlev1"/>
        <w:rPr>
          <w:lang w:val="es-ES"/>
        </w:rPr>
      </w:pPr>
      <w:r w:rsidRPr="0083361A">
        <w:rPr>
          <w:lang w:val="es-ES"/>
        </w:rPr>
        <w:t>–</w:t>
      </w:r>
      <w:r>
        <w:rPr>
          <w:lang w:val="es-ES"/>
        </w:rPr>
        <w:tab/>
      </w:r>
      <w:r w:rsidR="00242BDC" w:rsidRPr="0083361A">
        <w:rPr>
          <w:lang w:val="es-ES"/>
        </w:rPr>
        <w:t>la estación terrena está situada dentro de la zona de servicio del satélite deseado;</w:t>
      </w:r>
    </w:p>
    <w:p w14:paraId="47241037" w14:textId="77777777" w:rsidR="00242BDC" w:rsidRPr="0083361A" w:rsidRDefault="0083361A" w:rsidP="0083361A">
      <w:pPr>
        <w:pStyle w:val="enumlev1"/>
        <w:rPr>
          <w:lang w:val="es-ES"/>
        </w:rPr>
      </w:pPr>
      <w:r w:rsidRPr="0083361A">
        <w:rPr>
          <w:lang w:val="es-ES"/>
        </w:rPr>
        <w:t>–</w:t>
      </w:r>
      <w:r>
        <w:rPr>
          <w:lang w:val="es-ES"/>
        </w:rPr>
        <w:tab/>
      </w:r>
      <w:r w:rsidR="00242BDC" w:rsidRPr="0083361A">
        <w:rPr>
          <w:lang w:val="es-ES"/>
        </w:rPr>
        <w:t>la estación terrena es visible desde el satélite interferente;</w:t>
      </w:r>
    </w:p>
    <w:p w14:paraId="4D8EDF94" w14:textId="77777777" w:rsidR="00242BDC" w:rsidRPr="0083361A" w:rsidRDefault="0083361A" w:rsidP="0083361A">
      <w:pPr>
        <w:pStyle w:val="enumlev1"/>
        <w:rPr>
          <w:lang w:val="es-ES"/>
        </w:rPr>
      </w:pPr>
      <w:r w:rsidRPr="0083361A">
        <w:rPr>
          <w:lang w:val="es-ES"/>
        </w:rPr>
        <w:t>–</w:t>
      </w:r>
      <w:r>
        <w:rPr>
          <w:lang w:val="es-ES"/>
        </w:rPr>
        <w:tab/>
      </w:r>
      <w:r w:rsidR="00242BDC" w:rsidRPr="0083361A">
        <w:rPr>
          <w:lang w:val="es-ES"/>
        </w:rPr>
        <w:t>la diferencia entre la ganancia de satélite del satélite deseado y la ganancia de satélite del satélite interferente hacia la estación terrena deseada es mínima.</w:t>
      </w:r>
    </w:p>
    <w:p w14:paraId="7D24032F" w14:textId="77777777" w:rsidR="00242BDC" w:rsidRPr="002F60D7" w:rsidRDefault="00242BDC" w:rsidP="00242BDC">
      <w:pPr>
        <w:rPr>
          <w:rFonts w:asciiTheme="majorBidi" w:hAnsiTheme="majorBidi" w:cstheme="majorBidi"/>
          <w:szCs w:val="24"/>
          <w:lang w:val="es-ES"/>
        </w:rPr>
      </w:pPr>
      <w:r w:rsidRPr="002F60D7">
        <w:rPr>
          <w:rFonts w:asciiTheme="majorBidi" w:hAnsiTheme="majorBidi" w:cstheme="majorBidi"/>
          <w:szCs w:val="24"/>
          <w:lang w:val="es-ES"/>
        </w:rPr>
        <w:t>La diferencia de ganancia mínima se identifica con el siguiente procedimiento:</w:t>
      </w:r>
    </w:p>
    <w:p w14:paraId="699B1AC8" w14:textId="77777777" w:rsidR="00242BDC" w:rsidRPr="002F60D7" w:rsidRDefault="0083361A" w:rsidP="006C6209">
      <w:pPr>
        <w:pStyle w:val="enumlev1"/>
        <w:rPr>
          <w:lang w:val="es-ES"/>
        </w:rPr>
      </w:pPr>
      <w:r w:rsidRPr="0083361A">
        <w:rPr>
          <w:lang w:val="es-ES"/>
        </w:rPr>
        <w:t>–</w:t>
      </w:r>
      <w:r>
        <w:rPr>
          <w:lang w:val="es-ES"/>
        </w:rPr>
        <w:tab/>
      </w:r>
      <w:r w:rsidR="00242BDC" w:rsidRPr="002F60D7">
        <w:rPr>
          <w:lang w:val="es-ES"/>
        </w:rPr>
        <w:t xml:space="preserve">generación de puntos de cuadrícula dentro de la zona de servicio del satélite </w:t>
      </w:r>
      <w:r w:rsidR="006C6209">
        <w:rPr>
          <w:lang w:val="es-ES"/>
        </w:rPr>
        <w:br/>
      </w:r>
      <w:r w:rsidR="00242BDC" w:rsidRPr="002F60D7">
        <w:rPr>
          <w:lang w:val="es-ES"/>
        </w:rPr>
        <w:t>deseado,</w:t>
      </w:r>
      <w:r w:rsidR="006C6209">
        <w:rPr>
          <w:lang w:val="es-ES"/>
        </w:rPr>
        <w:t> </w:t>
      </w:r>
      <w:r w:rsidR="00242BDC" w:rsidRPr="002F60D7">
        <w:rPr>
          <w:position w:val="-12"/>
          <w:lang w:val="es-ES"/>
        </w:rPr>
        <w:object w:dxaOrig="360" w:dyaOrig="360" w14:anchorId="79B9E51B">
          <v:shape id="_x0000_i1049" type="#_x0000_t75" style="width:18pt;height:18pt" o:ole="">
            <v:imagedata r:id="rId52" o:title=""/>
          </v:shape>
          <o:OLEObject Type="Embed" ProgID="Equation.3" ShapeID="_x0000_i1049" DrawAspect="Content" ObjectID="_1831207896" r:id="rId53"/>
        </w:object>
      </w:r>
      <w:r w:rsidR="00242BDC" w:rsidRPr="002F60D7">
        <w:rPr>
          <w:lang w:val="es-ES"/>
        </w:rPr>
        <w:t>;</w:t>
      </w:r>
    </w:p>
    <w:p w14:paraId="7E5F5C78" w14:textId="77777777" w:rsidR="00242BDC" w:rsidRPr="002F60D7" w:rsidRDefault="0083361A" w:rsidP="0083361A">
      <w:pPr>
        <w:pStyle w:val="enumlev1"/>
        <w:rPr>
          <w:lang w:val="es-ES"/>
        </w:rPr>
      </w:pPr>
      <w:r w:rsidRPr="0083361A">
        <w:rPr>
          <w:lang w:val="es-ES"/>
        </w:rPr>
        <w:t>–</w:t>
      </w:r>
      <w:r>
        <w:rPr>
          <w:lang w:val="es-ES"/>
        </w:rPr>
        <w:tab/>
      </w:r>
      <w:r w:rsidR="00242BDC" w:rsidRPr="002F60D7">
        <w:rPr>
          <w:lang w:val="es-ES"/>
        </w:rPr>
        <w:t xml:space="preserve">determinación de la ganancia del satélite deseado, </w:t>
      </w:r>
      <w:r w:rsidR="00242BDC" w:rsidRPr="002F60D7">
        <w:rPr>
          <w:position w:val="-12"/>
          <w:lang w:val="es-ES"/>
        </w:rPr>
        <w:object w:dxaOrig="360" w:dyaOrig="360" w14:anchorId="6B97287A">
          <v:shape id="_x0000_i1050" type="#_x0000_t75" style="width:18pt;height:18pt" o:ole="">
            <v:imagedata r:id="rId54" o:title=""/>
          </v:shape>
          <o:OLEObject Type="Embed" ProgID="Equation.3" ShapeID="_x0000_i1050" DrawAspect="Content" ObjectID="_1831207897" r:id="rId55"/>
        </w:object>
      </w:r>
      <w:r w:rsidR="00242BDC" w:rsidRPr="002F60D7">
        <w:rPr>
          <w:lang w:val="es-ES"/>
        </w:rPr>
        <w:t xml:space="preserve">, hacia cada uno de los puntos de la cuadrícula, </w:t>
      </w:r>
      <w:r w:rsidR="00242BDC" w:rsidRPr="002F60D7">
        <w:rPr>
          <w:position w:val="-12"/>
          <w:lang w:val="es-ES"/>
        </w:rPr>
        <w:object w:dxaOrig="700" w:dyaOrig="360" w14:anchorId="20F8D146">
          <v:shape id="_x0000_i1051" type="#_x0000_t75" style="width:36pt;height:18pt" o:ole="">
            <v:imagedata r:id="rId56" o:title=""/>
          </v:shape>
          <o:OLEObject Type="Embed" ProgID="Equation.3" ShapeID="_x0000_i1051" DrawAspect="Content" ObjectID="_1831207898" r:id="rId57"/>
        </w:object>
      </w:r>
      <w:r w:rsidR="00242BDC" w:rsidRPr="002F60D7">
        <w:rPr>
          <w:lang w:val="es-ES"/>
        </w:rPr>
        <w:t>;</w:t>
      </w:r>
    </w:p>
    <w:p w14:paraId="2B6B646D" w14:textId="77777777" w:rsidR="00242BDC" w:rsidRPr="002F60D7" w:rsidRDefault="0083361A" w:rsidP="0083361A">
      <w:pPr>
        <w:pStyle w:val="enumlev1"/>
        <w:rPr>
          <w:lang w:val="es-ES"/>
        </w:rPr>
      </w:pPr>
      <w:r w:rsidRPr="0083361A">
        <w:rPr>
          <w:lang w:val="es-ES"/>
        </w:rPr>
        <w:t>–</w:t>
      </w:r>
      <w:r>
        <w:rPr>
          <w:lang w:val="es-ES"/>
        </w:rPr>
        <w:tab/>
      </w:r>
      <w:r w:rsidR="00242BDC" w:rsidRPr="002F60D7">
        <w:rPr>
          <w:lang w:val="es-ES"/>
        </w:rPr>
        <w:t xml:space="preserve">determinación de la ganancia del satélite interferente, </w:t>
      </w:r>
      <w:r w:rsidR="00242BDC" w:rsidRPr="002F60D7">
        <w:rPr>
          <w:position w:val="-10"/>
          <w:lang w:val="es-ES"/>
        </w:rPr>
        <w:object w:dxaOrig="320" w:dyaOrig="340" w14:anchorId="04813523">
          <v:shape id="_x0000_i1052" type="#_x0000_t75" style="width:15.75pt;height:18.75pt" o:ole="">
            <v:imagedata r:id="rId58" o:title=""/>
          </v:shape>
          <o:OLEObject Type="Embed" ProgID="Equation.3" ShapeID="_x0000_i1052" DrawAspect="Content" ObjectID="_1831207899" r:id="rId59"/>
        </w:object>
      </w:r>
      <w:r w:rsidR="00242BDC" w:rsidRPr="002F60D7">
        <w:rPr>
          <w:lang w:val="es-ES"/>
        </w:rPr>
        <w:t xml:space="preserve">, hacia cada uno de los puntos de la cuadrícula, </w:t>
      </w:r>
      <w:r w:rsidR="00242BDC" w:rsidRPr="002F60D7">
        <w:rPr>
          <w:position w:val="-12"/>
          <w:lang w:val="es-ES"/>
        </w:rPr>
        <w:object w:dxaOrig="700" w:dyaOrig="360" w14:anchorId="6BE036DC">
          <v:shape id="_x0000_i1053" type="#_x0000_t75" style="width:36pt;height:18pt" o:ole="">
            <v:imagedata r:id="rId60" o:title=""/>
          </v:shape>
          <o:OLEObject Type="Embed" ProgID="Equation.3" ShapeID="_x0000_i1053" DrawAspect="Content" ObjectID="_1831207900" r:id="rId61"/>
        </w:object>
      </w:r>
      <w:r w:rsidR="00242BDC" w:rsidRPr="002F60D7">
        <w:rPr>
          <w:lang w:val="es-ES"/>
        </w:rPr>
        <w:t>;</w:t>
      </w:r>
    </w:p>
    <w:p w14:paraId="51F874C0" w14:textId="77777777" w:rsidR="00242BDC" w:rsidRPr="002F60D7" w:rsidRDefault="0083361A" w:rsidP="0083361A">
      <w:pPr>
        <w:pStyle w:val="enumlev1"/>
        <w:rPr>
          <w:lang w:val="es-ES"/>
        </w:rPr>
      </w:pPr>
      <w:r w:rsidRPr="0083361A">
        <w:rPr>
          <w:lang w:val="es-ES"/>
        </w:rPr>
        <w:t>–</w:t>
      </w:r>
      <w:r>
        <w:rPr>
          <w:lang w:val="es-ES"/>
        </w:rPr>
        <w:tab/>
      </w:r>
      <w:r w:rsidR="00242BDC" w:rsidRPr="002F60D7">
        <w:rPr>
          <w:lang w:val="es-ES"/>
        </w:rPr>
        <w:t xml:space="preserve">determinación del punto de la cuadrícula, </w:t>
      </w:r>
      <w:r w:rsidR="00242BDC" w:rsidRPr="002F60D7">
        <w:rPr>
          <w:position w:val="-10"/>
          <w:lang w:val="es-ES"/>
        </w:rPr>
        <w:object w:dxaOrig="420" w:dyaOrig="340" w14:anchorId="13A58A24">
          <v:shape id="_x0000_i1054" type="#_x0000_t75" style="width:20.25pt;height:18.75pt" o:ole="">
            <v:imagedata r:id="rId62" o:title=""/>
          </v:shape>
          <o:OLEObject Type="Embed" ProgID="Equation.3" ShapeID="_x0000_i1054" DrawAspect="Content" ObjectID="_1831207901" r:id="rId63"/>
        </w:object>
      </w:r>
      <w:r w:rsidR="00242BDC" w:rsidRPr="002F60D7">
        <w:rPr>
          <w:lang w:val="es-ES"/>
        </w:rPr>
        <w:t xml:space="preserve">, donde la diferencia entre las ganancias de satélite hacia cada uno de los satélites es mínima, es decir, </w:t>
      </w:r>
      <w:r w:rsidR="00242BDC" w:rsidRPr="002F60D7">
        <w:rPr>
          <w:position w:val="-12"/>
          <w:lang w:val="es-ES"/>
        </w:rPr>
        <w:object w:dxaOrig="2420" w:dyaOrig="360" w14:anchorId="50B13010">
          <v:shape id="_x0000_i1055" type="#_x0000_t75" style="width:121.5pt;height:18pt" o:ole="">
            <v:imagedata r:id="rId64" o:title=""/>
          </v:shape>
          <o:OLEObject Type="Embed" ProgID="Equation.3" ShapeID="_x0000_i1055" DrawAspect="Content" ObjectID="_1831207902" r:id="rId65"/>
        </w:object>
      </w:r>
    </w:p>
    <w:p w14:paraId="45DC038A" w14:textId="77D5460A" w:rsidR="00BF3BAD" w:rsidRDefault="00BF3BAD" w:rsidP="00BF3BAD">
      <w:pPr>
        <w:rPr>
          <w:lang w:val="es-ES"/>
        </w:rPr>
      </w:pPr>
      <w:r>
        <w:rPr>
          <w:lang w:val="es-ES"/>
        </w:rPr>
        <w:br w:type="page"/>
      </w:r>
    </w:p>
    <w:p w14:paraId="43A3CAB5" w14:textId="3812D757" w:rsidR="00242BDC" w:rsidRPr="002F60D7" w:rsidRDefault="00242BDC" w:rsidP="00242BDC">
      <w:pPr>
        <w:rPr>
          <w:rFonts w:asciiTheme="majorBidi" w:hAnsiTheme="majorBidi" w:cstheme="majorBidi"/>
          <w:szCs w:val="24"/>
          <w:lang w:val="es-ES"/>
        </w:rPr>
      </w:pPr>
      <w:r w:rsidRPr="002F60D7">
        <w:rPr>
          <w:rFonts w:asciiTheme="majorBidi" w:hAnsiTheme="majorBidi" w:cstheme="majorBidi"/>
          <w:szCs w:val="24"/>
          <w:lang w:val="es-ES"/>
        </w:rPr>
        <w:lastRenderedPageBreak/>
        <w:t>La Oficina ha creado la biblioteca de interpolación de ganancia GIMS para determinar la ganancia de satélite en todos los puntos de la cuadrícula.</w:t>
      </w:r>
    </w:p>
    <w:p w14:paraId="7DA45D3D" w14:textId="77777777" w:rsidR="00242BDC" w:rsidRPr="002F60D7" w:rsidRDefault="00242BDC" w:rsidP="00242BDC">
      <w:pPr>
        <w:rPr>
          <w:rFonts w:asciiTheme="majorBidi" w:hAnsiTheme="majorBidi" w:cstheme="majorBidi"/>
          <w:szCs w:val="24"/>
          <w:lang w:val="es-ES"/>
        </w:rPr>
      </w:pPr>
      <w:r w:rsidRPr="002F60D7">
        <w:rPr>
          <w:rFonts w:asciiTheme="majorBidi" w:hAnsiTheme="majorBidi" w:cstheme="majorBidi"/>
          <w:szCs w:val="24"/>
          <w:lang w:val="es-ES"/>
        </w:rPr>
        <w:t>En la siguiente Figura A3-1 se presenta un ejemplo gráfico del punto de prueba identificado.</w:t>
      </w:r>
    </w:p>
    <w:p w14:paraId="4DDAA103" w14:textId="77777777" w:rsidR="005F27B7" w:rsidRPr="002148C9" w:rsidRDefault="005F27B7" w:rsidP="005F27B7">
      <w:pPr>
        <w:pStyle w:val="Heading1"/>
        <w:rPr>
          <w:lang w:val="es-ES"/>
        </w:rPr>
      </w:pPr>
      <w:r w:rsidRPr="002148C9">
        <w:rPr>
          <w:lang w:val="es-ES"/>
        </w:rPr>
        <w:t>3</w:t>
      </w:r>
      <w:r w:rsidRPr="002148C9">
        <w:rPr>
          <w:lang w:val="es-ES"/>
        </w:rPr>
        <w:tab/>
        <w:t xml:space="preserve">Puntos de prueba para el cálculo de </w:t>
      </w:r>
      <w:r w:rsidRPr="00BC1DDE">
        <w:rPr>
          <w:i/>
          <w:iCs/>
          <w:lang w:val="es-ES"/>
        </w:rPr>
        <w:t>C</w:t>
      </w:r>
      <w:r w:rsidRPr="00BC1DDE">
        <w:rPr>
          <w:lang w:val="es-ES"/>
        </w:rPr>
        <w:t>/</w:t>
      </w:r>
      <w:r w:rsidRPr="00BC1DDE">
        <w:rPr>
          <w:i/>
          <w:iCs/>
          <w:lang w:val="es-ES"/>
        </w:rPr>
        <w:t>I</w:t>
      </w:r>
      <w:r w:rsidRPr="002148C9">
        <w:rPr>
          <w:lang w:val="es-ES"/>
        </w:rPr>
        <w:t xml:space="preserve"> de enlace ascendente</w:t>
      </w:r>
    </w:p>
    <w:p w14:paraId="575FC43C" w14:textId="77777777" w:rsidR="005F27B7" w:rsidRPr="002148C9" w:rsidRDefault="005F27B7" w:rsidP="005F27B7">
      <w:pPr>
        <w:rPr>
          <w:szCs w:val="24"/>
          <w:lang w:val="es-ES"/>
        </w:rPr>
      </w:pPr>
      <w:r w:rsidRPr="002148C9">
        <w:rPr>
          <w:szCs w:val="24"/>
          <w:lang w:val="es-ES"/>
        </w:rPr>
        <w:t>Para el cálculo del enlace ascendente es necesario identificar el emplazamiento de dos estaciones terrenas: una estación terrena transmisora por el enlace deseado y una estación transmisora por el enlace interferente.</w:t>
      </w:r>
    </w:p>
    <w:p w14:paraId="0FF80AF7" w14:textId="77777777" w:rsidR="005F27B7" w:rsidRPr="002148C9" w:rsidRDefault="005F27B7" w:rsidP="005F27B7">
      <w:pPr>
        <w:rPr>
          <w:szCs w:val="24"/>
          <w:lang w:val="es-ES"/>
        </w:rPr>
      </w:pPr>
      <w:r w:rsidRPr="002148C9">
        <w:rPr>
          <w:szCs w:val="24"/>
          <w:lang w:val="es-ES"/>
        </w:rPr>
        <w:t>La posición de estas estaciones terrenas se selecciona utilizando los siguientes criterios:</w:t>
      </w:r>
    </w:p>
    <w:p w14:paraId="39C95F0D" w14:textId="77777777" w:rsidR="005F27B7" w:rsidRPr="009D3A91" w:rsidRDefault="005F27B7" w:rsidP="005F27B7">
      <w:pPr>
        <w:pStyle w:val="enumlev1"/>
        <w:rPr>
          <w:lang w:val="es-ES"/>
        </w:rPr>
      </w:pPr>
      <w:r w:rsidRPr="009D3A91">
        <w:rPr>
          <w:lang w:val="es-ES"/>
        </w:rPr>
        <w:t>–</w:t>
      </w:r>
      <w:r>
        <w:rPr>
          <w:lang w:val="es-ES"/>
        </w:rPr>
        <w:tab/>
      </w:r>
      <w:r w:rsidRPr="009D3A91">
        <w:rPr>
          <w:lang w:val="es-ES"/>
        </w:rPr>
        <w:t>la estación terrena deseada se sitúa dentro de la zona de servicio del satélite deseado;</w:t>
      </w:r>
    </w:p>
    <w:p w14:paraId="7D504DD6" w14:textId="77777777" w:rsidR="005F27B7" w:rsidRPr="009D3A91" w:rsidRDefault="005F27B7" w:rsidP="005F27B7">
      <w:pPr>
        <w:pStyle w:val="enumlev1"/>
        <w:rPr>
          <w:lang w:val="es-ES"/>
        </w:rPr>
      </w:pPr>
      <w:r w:rsidRPr="009D3A91">
        <w:rPr>
          <w:lang w:val="es-ES"/>
        </w:rPr>
        <w:t>–</w:t>
      </w:r>
      <w:r>
        <w:rPr>
          <w:lang w:val="es-ES"/>
        </w:rPr>
        <w:tab/>
      </w:r>
      <w:r w:rsidRPr="009D3A91">
        <w:rPr>
          <w:lang w:val="es-ES"/>
        </w:rPr>
        <w:t>la estación terrena interferente se sitúa dentro de la zona de servicio del satélite interferente;</w:t>
      </w:r>
    </w:p>
    <w:p w14:paraId="0CC6FBF6" w14:textId="77777777" w:rsidR="005F27B7" w:rsidRPr="009D3A91" w:rsidRDefault="005F27B7" w:rsidP="005F27B7">
      <w:pPr>
        <w:pStyle w:val="enumlev1"/>
        <w:rPr>
          <w:lang w:val="es-ES"/>
        </w:rPr>
      </w:pPr>
      <w:r w:rsidRPr="009D3A91">
        <w:rPr>
          <w:lang w:val="es-ES"/>
        </w:rPr>
        <w:t>–</w:t>
      </w:r>
      <w:r>
        <w:rPr>
          <w:lang w:val="es-ES"/>
        </w:rPr>
        <w:tab/>
      </w:r>
      <w:r w:rsidRPr="009D3A91">
        <w:rPr>
          <w:lang w:val="es-ES"/>
        </w:rPr>
        <w:t>la estación terrena interferente es visible desde el satélite deseado;</w:t>
      </w:r>
    </w:p>
    <w:p w14:paraId="48BCD187" w14:textId="1AABF7BC" w:rsidR="005F27B7" w:rsidRDefault="005F27B7" w:rsidP="005F27B7">
      <w:pPr>
        <w:pStyle w:val="enumlev1"/>
        <w:rPr>
          <w:lang w:val="es-ES"/>
        </w:rPr>
      </w:pPr>
      <w:r w:rsidRPr="009D3A91">
        <w:rPr>
          <w:lang w:val="es-ES"/>
        </w:rPr>
        <w:t>–</w:t>
      </w:r>
      <w:r>
        <w:rPr>
          <w:lang w:val="es-ES"/>
        </w:rPr>
        <w:tab/>
      </w:r>
      <w:r w:rsidRPr="009D3A91">
        <w:rPr>
          <w:lang w:val="es-ES"/>
        </w:rPr>
        <w:t>la diferencia entre la ganancia del satélite deseado hacia la estación terrena deseada y hacia la estación terrena interferente es mínima.</w:t>
      </w:r>
    </w:p>
    <w:p w14:paraId="0EBEF49F" w14:textId="77777777" w:rsidR="005F27B7" w:rsidRPr="002148C9" w:rsidRDefault="005F27B7" w:rsidP="005F27B7">
      <w:pPr>
        <w:keepNext/>
        <w:keepLines/>
        <w:rPr>
          <w:szCs w:val="24"/>
          <w:lang w:val="es-ES"/>
        </w:rPr>
      </w:pPr>
      <w:r w:rsidRPr="002148C9">
        <w:rPr>
          <w:szCs w:val="24"/>
          <w:lang w:val="es-ES"/>
        </w:rPr>
        <w:t>La diferencia de ganancia mínima se identifica con el siguiente procedimiento:</w:t>
      </w:r>
    </w:p>
    <w:p w14:paraId="4EBB43AA" w14:textId="77777777" w:rsidR="005F27B7" w:rsidRPr="002148C9" w:rsidRDefault="005F27B7" w:rsidP="005F27B7">
      <w:pPr>
        <w:pStyle w:val="enumlev1"/>
        <w:keepNext/>
        <w:keepLines/>
        <w:rPr>
          <w:lang w:val="es-ES"/>
        </w:rPr>
      </w:pPr>
      <w:r w:rsidRPr="009D3A91">
        <w:rPr>
          <w:lang w:val="es-ES"/>
        </w:rPr>
        <w:t>–</w:t>
      </w:r>
      <w:r>
        <w:rPr>
          <w:lang w:val="es-ES"/>
        </w:rPr>
        <w:tab/>
      </w:r>
      <w:r w:rsidRPr="002148C9">
        <w:rPr>
          <w:lang w:val="es-ES"/>
        </w:rPr>
        <w:t>generación</w:t>
      </w:r>
      <w:r w:rsidRPr="00ED009B">
        <w:rPr>
          <w:sz w:val="20"/>
          <w:lang w:val="es-ES"/>
        </w:rPr>
        <w:t xml:space="preserve"> </w:t>
      </w:r>
      <w:r w:rsidRPr="002148C9">
        <w:rPr>
          <w:lang w:val="es-ES"/>
        </w:rPr>
        <w:t>de</w:t>
      </w:r>
      <w:r w:rsidRPr="00ED009B">
        <w:rPr>
          <w:sz w:val="20"/>
          <w:lang w:val="es-ES"/>
        </w:rPr>
        <w:t xml:space="preserve"> </w:t>
      </w:r>
      <w:r w:rsidRPr="002148C9">
        <w:rPr>
          <w:lang w:val="es-ES"/>
        </w:rPr>
        <w:t>puntos</w:t>
      </w:r>
      <w:r w:rsidRPr="00ED009B">
        <w:rPr>
          <w:sz w:val="20"/>
          <w:lang w:val="es-ES"/>
        </w:rPr>
        <w:t xml:space="preserve"> </w:t>
      </w:r>
      <w:r w:rsidRPr="002148C9">
        <w:rPr>
          <w:lang w:val="es-ES"/>
        </w:rPr>
        <w:t>de</w:t>
      </w:r>
      <w:r w:rsidRPr="00ED009B">
        <w:rPr>
          <w:sz w:val="20"/>
          <w:lang w:val="es-ES"/>
        </w:rPr>
        <w:t xml:space="preserve"> </w:t>
      </w:r>
      <w:r w:rsidRPr="002148C9">
        <w:rPr>
          <w:lang w:val="es-ES"/>
        </w:rPr>
        <w:t>cuadrícula dentro de la zona de servicio del satélite</w:t>
      </w:r>
      <w:r w:rsidRPr="00ED009B">
        <w:rPr>
          <w:sz w:val="20"/>
          <w:lang w:val="es-ES"/>
        </w:rPr>
        <w:t xml:space="preserve"> </w:t>
      </w:r>
      <w:r w:rsidRPr="002148C9">
        <w:rPr>
          <w:lang w:val="es-ES"/>
        </w:rPr>
        <w:t>deseado,</w:t>
      </w:r>
      <w:r w:rsidRPr="00ED009B">
        <w:rPr>
          <w:sz w:val="20"/>
          <w:lang w:val="es-ES"/>
        </w:rPr>
        <w:t xml:space="preserve"> </w:t>
      </w:r>
      <w:r w:rsidRPr="002148C9">
        <w:rPr>
          <w:position w:val="-12"/>
          <w:lang w:val="es-ES"/>
        </w:rPr>
        <w:object w:dxaOrig="360" w:dyaOrig="360" w14:anchorId="210E6D28">
          <v:shape id="_x0000_i1056" type="#_x0000_t75" style="width:18pt;height:18pt" o:ole="">
            <v:imagedata r:id="rId52" o:title=""/>
          </v:shape>
          <o:OLEObject Type="Embed" ProgID="Equation.3" ShapeID="_x0000_i1056" DrawAspect="Content" ObjectID="_1831207903" r:id="rId66"/>
        </w:object>
      </w:r>
      <w:r w:rsidRPr="002148C9">
        <w:rPr>
          <w:lang w:val="es-ES"/>
        </w:rPr>
        <w:t>;</w:t>
      </w:r>
    </w:p>
    <w:p w14:paraId="011FAAAD"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generación de puntos de cuadrícula dentro de la zona de servicio del satélite interferente, </w:t>
      </w:r>
      <w:r w:rsidRPr="002148C9">
        <w:rPr>
          <w:position w:val="-10"/>
          <w:lang w:val="es-ES"/>
        </w:rPr>
        <w:object w:dxaOrig="300" w:dyaOrig="340" w14:anchorId="417E5AE4">
          <v:shape id="_x0000_i1057" type="#_x0000_t75" style="width:15.75pt;height:18.75pt" o:ole="">
            <v:imagedata r:id="rId67" o:title=""/>
          </v:shape>
          <o:OLEObject Type="Embed" ProgID="Equation.3" ShapeID="_x0000_i1057" DrawAspect="Content" ObjectID="_1831207904" r:id="rId68"/>
        </w:object>
      </w:r>
      <w:r w:rsidRPr="002148C9">
        <w:rPr>
          <w:lang w:val="es-ES"/>
        </w:rPr>
        <w:t>;</w:t>
      </w:r>
    </w:p>
    <w:p w14:paraId="36E36120"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determinación de la ganancia del satélite deseado, </w:t>
      </w:r>
      <w:r w:rsidRPr="002148C9">
        <w:rPr>
          <w:position w:val="-12"/>
          <w:lang w:val="es-ES"/>
        </w:rPr>
        <w:object w:dxaOrig="360" w:dyaOrig="360" w14:anchorId="2771C1FC">
          <v:shape id="_x0000_i1058" type="#_x0000_t75" style="width:18pt;height:18pt" o:ole="">
            <v:imagedata r:id="rId69" o:title=""/>
          </v:shape>
          <o:OLEObject Type="Embed" ProgID="Equation.3" ShapeID="_x0000_i1058" DrawAspect="Content" ObjectID="_1831207905" r:id="rId70"/>
        </w:object>
      </w:r>
      <w:r w:rsidRPr="002148C9">
        <w:rPr>
          <w:lang w:val="es-ES"/>
        </w:rPr>
        <w:t xml:space="preserve">, hacia cada uno de los puntos de cuadrícula de </w:t>
      </w:r>
      <w:r w:rsidRPr="002148C9">
        <w:rPr>
          <w:position w:val="-10"/>
          <w:lang w:val="es-ES"/>
        </w:rPr>
        <w:object w:dxaOrig="300" w:dyaOrig="340" w14:anchorId="522B9C44">
          <v:shape id="_x0000_i1059" type="#_x0000_t75" style="width:15.75pt;height:18.75pt" o:ole="">
            <v:imagedata r:id="rId71" o:title=""/>
          </v:shape>
          <o:OLEObject Type="Embed" ProgID="Equation.3" ShapeID="_x0000_i1059" DrawAspect="Content" ObjectID="_1831207906" r:id="rId72"/>
        </w:object>
      </w:r>
      <w:r w:rsidRPr="002148C9">
        <w:rPr>
          <w:lang w:val="es-ES"/>
        </w:rPr>
        <w:t>;</w:t>
      </w:r>
    </w:p>
    <w:p w14:paraId="4C11DDE5"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selección del punto de prueba, </w:t>
      </w:r>
      <w:r w:rsidRPr="002148C9">
        <w:rPr>
          <w:position w:val="-12"/>
          <w:lang w:val="es-ES"/>
        </w:rPr>
        <w:object w:dxaOrig="859" w:dyaOrig="360" w14:anchorId="6E16ADA0">
          <v:shape id="_x0000_i1060" type="#_x0000_t75" style="width:44.25pt;height:18pt" o:ole="">
            <v:imagedata r:id="rId73" o:title=""/>
          </v:shape>
          <o:OLEObject Type="Embed" ProgID="Equation.3" ShapeID="_x0000_i1060" DrawAspect="Content" ObjectID="_1831207907" r:id="rId74"/>
        </w:object>
      </w:r>
      <w:r w:rsidRPr="002148C9">
        <w:rPr>
          <w:lang w:val="es-ES"/>
        </w:rPr>
        <w:t xml:space="preserve">, donde la ganancia del satélite deseado es mínima, </w:t>
      </w:r>
      <w:r w:rsidRPr="002148C9">
        <w:rPr>
          <w:position w:val="-14"/>
          <w:lang w:val="es-ES"/>
        </w:rPr>
        <w:object w:dxaOrig="540" w:dyaOrig="380" w14:anchorId="770FB38E">
          <v:shape id="_x0000_i1061" type="#_x0000_t75" style="width:27pt;height:18.75pt" o:ole="">
            <v:imagedata r:id="rId75" o:title=""/>
          </v:shape>
          <o:OLEObject Type="Embed" ProgID="Equation.3" ShapeID="_x0000_i1061" DrawAspect="Content" ObjectID="_1831207908" r:id="rId76"/>
        </w:object>
      </w:r>
      <w:r w:rsidRPr="002148C9">
        <w:rPr>
          <w:lang w:val="es-ES"/>
        </w:rPr>
        <w:t>;</w:t>
      </w:r>
    </w:p>
    <w:p w14:paraId="647A7441"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determinación de la ganancia del satélite interferente, </w:t>
      </w:r>
      <w:r w:rsidRPr="002148C9">
        <w:rPr>
          <w:position w:val="-10"/>
          <w:lang w:val="es-ES"/>
        </w:rPr>
        <w:object w:dxaOrig="320" w:dyaOrig="340" w14:anchorId="30684619">
          <v:shape id="_x0000_i1062" type="#_x0000_t75" style="width:15.75pt;height:18.75pt" o:ole="">
            <v:imagedata r:id="rId77" o:title=""/>
          </v:shape>
          <o:OLEObject Type="Embed" ProgID="Equation.3" ShapeID="_x0000_i1062" DrawAspect="Content" ObjectID="_1831207909" r:id="rId78"/>
        </w:object>
      </w:r>
      <w:r w:rsidRPr="002148C9">
        <w:rPr>
          <w:lang w:val="es-ES"/>
        </w:rPr>
        <w:t xml:space="preserve">, hacia cada uno de los puntos de cuadrícula de, </w:t>
      </w:r>
      <w:r w:rsidRPr="002148C9">
        <w:rPr>
          <w:position w:val="-12"/>
          <w:lang w:val="es-ES"/>
        </w:rPr>
        <w:object w:dxaOrig="360" w:dyaOrig="360" w14:anchorId="2B55FC22">
          <v:shape id="_x0000_i1063" type="#_x0000_t75" style="width:18pt;height:18pt" o:ole="">
            <v:imagedata r:id="rId52" o:title=""/>
          </v:shape>
          <o:OLEObject Type="Embed" ProgID="Equation.3" ShapeID="_x0000_i1063" DrawAspect="Content" ObjectID="_1831207910" r:id="rId79"/>
        </w:object>
      </w:r>
      <w:r w:rsidRPr="002148C9">
        <w:rPr>
          <w:lang w:val="es-ES"/>
        </w:rPr>
        <w:t>;</w:t>
      </w:r>
    </w:p>
    <w:p w14:paraId="48CAC831" w14:textId="77777777" w:rsidR="005F27B7" w:rsidRPr="002148C9" w:rsidRDefault="005F27B7" w:rsidP="005F27B7">
      <w:pPr>
        <w:pStyle w:val="enumlev1"/>
        <w:rPr>
          <w:lang w:val="es-ES"/>
        </w:rPr>
      </w:pPr>
      <w:r w:rsidRPr="009D3A91">
        <w:rPr>
          <w:lang w:val="es-ES"/>
        </w:rPr>
        <w:t>–</w:t>
      </w:r>
      <w:r>
        <w:rPr>
          <w:lang w:val="es-ES"/>
        </w:rPr>
        <w:tab/>
      </w:r>
      <w:r w:rsidRPr="002148C9">
        <w:rPr>
          <w:lang w:val="es-ES"/>
        </w:rPr>
        <w:t xml:space="preserve">selección del punto de prueba, </w:t>
      </w:r>
      <w:r w:rsidRPr="002148C9">
        <w:rPr>
          <w:position w:val="-10"/>
          <w:lang w:val="es-ES"/>
        </w:rPr>
        <w:object w:dxaOrig="740" w:dyaOrig="340" w14:anchorId="1CB67008">
          <v:shape id="_x0000_i1064" type="#_x0000_t75" style="width:36pt;height:18.75pt" o:ole="">
            <v:imagedata r:id="rId80" o:title=""/>
          </v:shape>
          <o:OLEObject Type="Embed" ProgID="Equation.3" ShapeID="_x0000_i1064" DrawAspect="Content" ObjectID="_1831207911" r:id="rId81"/>
        </w:object>
      </w:r>
      <w:r w:rsidRPr="002148C9">
        <w:rPr>
          <w:lang w:val="es-ES"/>
        </w:rPr>
        <w:t xml:space="preserve">, donde la ganancia del satélite interferente es máxima, </w:t>
      </w:r>
      <w:r w:rsidRPr="002148C9">
        <w:rPr>
          <w:position w:val="-14"/>
          <w:lang w:val="es-ES"/>
        </w:rPr>
        <w:object w:dxaOrig="499" w:dyaOrig="380" w14:anchorId="1DF4A7EB">
          <v:shape id="_x0000_i1065" type="#_x0000_t75" style="width:24.75pt;height:18.75pt" o:ole="">
            <v:imagedata r:id="rId82" o:title=""/>
          </v:shape>
          <o:OLEObject Type="Embed" ProgID="Equation.3" ShapeID="_x0000_i1065" DrawAspect="Content" ObjectID="_1831207912" r:id="rId83"/>
        </w:object>
      </w:r>
      <w:r w:rsidRPr="002148C9">
        <w:rPr>
          <w:lang w:val="es-ES"/>
        </w:rPr>
        <w:t>.</w:t>
      </w:r>
    </w:p>
    <w:p w14:paraId="266ECCD4" w14:textId="38F8E59B" w:rsidR="005F27B7" w:rsidRDefault="005F27B7" w:rsidP="007906DD">
      <w:pPr>
        <w:rPr>
          <w:szCs w:val="24"/>
          <w:lang w:val="es-ES"/>
        </w:rPr>
      </w:pPr>
      <w:r w:rsidRPr="002148C9">
        <w:rPr>
          <w:szCs w:val="24"/>
          <w:lang w:val="es-ES"/>
        </w:rPr>
        <w:t>En la</w:t>
      </w:r>
      <w:r w:rsidR="00920B3F" w:rsidRPr="002148C9">
        <w:rPr>
          <w:szCs w:val="24"/>
          <w:lang w:val="es-ES"/>
        </w:rPr>
        <w:t xml:space="preserve"> siguiente</w:t>
      </w:r>
      <w:r w:rsidRPr="002148C9">
        <w:rPr>
          <w:szCs w:val="24"/>
          <w:lang w:val="es-ES"/>
        </w:rPr>
        <w:t xml:space="preserve"> Figura A3-2 se muestra un ejemplo gráfico del procedimiento utilizado.</w:t>
      </w:r>
    </w:p>
    <w:p w14:paraId="493B60B8" w14:textId="77777777" w:rsidR="007906DD" w:rsidRPr="002148C9" w:rsidRDefault="007906DD" w:rsidP="007906DD">
      <w:pPr>
        <w:pStyle w:val="Figure0"/>
        <w:rPr>
          <w:lang w:val="es-ES"/>
        </w:rPr>
      </w:pPr>
      <w:r w:rsidRPr="002148C9">
        <w:rPr>
          <w:noProof/>
          <w:lang w:val="es-ES" w:eastAsia="zh-CN"/>
        </w:rPr>
        <w:lastRenderedPageBreak/>
        <w:t>FIGURA A3-</w:t>
      </w:r>
      <w:r w:rsidRPr="002148C9">
        <w:rPr>
          <w:lang w:val="es-ES"/>
        </w:rPr>
        <w:t>1</w:t>
      </w:r>
    </w:p>
    <w:p w14:paraId="05FA5215" w14:textId="77777777" w:rsidR="007906DD" w:rsidRDefault="007906DD" w:rsidP="007906DD">
      <w:pPr>
        <w:pStyle w:val="FigureTitle"/>
        <w:rPr>
          <w:lang w:val="es-ES_tradnl"/>
        </w:rPr>
      </w:pPr>
      <w:r w:rsidRPr="002148C9">
        <w:rPr>
          <w:lang w:val="es-ES"/>
        </w:rPr>
        <w:t>Determinación del punto de prueba del caso más desfavorable en el enlace descendente</w:t>
      </w:r>
    </w:p>
    <w:p w14:paraId="6F2B9DEF" w14:textId="77777777" w:rsidR="007906DD" w:rsidRDefault="007906DD" w:rsidP="007906DD">
      <w:pPr>
        <w:pStyle w:val="Figure"/>
        <w:rPr>
          <w:lang w:val="es-ES_tradnl"/>
        </w:rPr>
      </w:pPr>
      <w:r>
        <w:rPr>
          <w:lang w:val="es-ES_tradnl"/>
        </w:rPr>
        <w:object w:dxaOrig="7209" w:dyaOrig="5688" w14:anchorId="720BC96D">
          <v:shape id="_x0000_i1066" type="#_x0000_t75" style="width:369.75pt;height:286.5pt" o:ole="">
            <v:imagedata r:id="rId84" o:title="" cropbottom="-623f" cropright="-1663f"/>
          </v:shape>
          <o:OLEObject Type="Embed" ProgID="CorelDraw.Graphic.16" ShapeID="_x0000_i1066" DrawAspect="Content" ObjectID="_1831207913" r:id="rId85"/>
        </w:object>
      </w:r>
    </w:p>
    <w:p w14:paraId="1C746E78" w14:textId="2F09495F" w:rsidR="007906DD" w:rsidRDefault="007906DD" w:rsidP="007906DD">
      <w:pPr>
        <w:rPr>
          <w:lang w:val="es-ES_tradnl"/>
        </w:rPr>
      </w:pPr>
    </w:p>
    <w:p w14:paraId="12509D14" w14:textId="6ED7DE6C" w:rsidR="007906DD" w:rsidRDefault="007906DD" w:rsidP="007906DD">
      <w:pPr>
        <w:rPr>
          <w:lang w:val="es-ES_tradnl"/>
        </w:rPr>
      </w:pPr>
    </w:p>
    <w:p w14:paraId="6A7CD9C8" w14:textId="33C645BC" w:rsidR="007906DD" w:rsidRDefault="007906DD" w:rsidP="007906DD">
      <w:pPr>
        <w:rPr>
          <w:lang w:val="es-ES_tradnl"/>
        </w:rPr>
      </w:pPr>
    </w:p>
    <w:p w14:paraId="586E1C9B" w14:textId="5F70FA60" w:rsidR="007906DD" w:rsidRDefault="007906DD" w:rsidP="007906DD">
      <w:pPr>
        <w:rPr>
          <w:lang w:val="es-ES_tradnl"/>
        </w:rPr>
      </w:pPr>
    </w:p>
    <w:p w14:paraId="0C4222CC" w14:textId="57AF7384" w:rsidR="007906DD" w:rsidRDefault="007906DD" w:rsidP="007906DD">
      <w:pPr>
        <w:rPr>
          <w:lang w:val="es-ES_tradnl"/>
        </w:rPr>
      </w:pPr>
    </w:p>
    <w:p w14:paraId="3D1302FA" w14:textId="77777777" w:rsidR="001D314B" w:rsidRDefault="001D314B" w:rsidP="007906DD">
      <w:pPr>
        <w:rPr>
          <w:lang w:val="es-ES_tradnl"/>
        </w:rPr>
      </w:pPr>
    </w:p>
    <w:p w14:paraId="299D8B4A" w14:textId="485473CE" w:rsidR="007906DD" w:rsidRDefault="007906DD" w:rsidP="007906DD">
      <w:pPr>
        <w:rPr>
          <w:lang w:val="es-ES_tradnl"/>
        </w:rPr>
      </w:pPr>
    </w:p>
    <w:p w14:paraId="6AEB73C2" w14:textId="33B9F19C" w:rsidR="007906DD" w:rsidRDefault="007906DD" w:rsidP="007906DD">
      <w:pPr>
        <w:rPr>
          <w:lang w:val="es-ES_tradnl"/>
        </w:rPr>
      </w:pPr>
    </w:p>
    <w:p w14:paraId="7F76CC27" w14:textId="00D1E5BC" w:rsidR="007906DD" w:rsidRDefault="007906DD" w:rsidP="007906DD">
      <w:pPr>
        <w:rPr>
          <w:lang w:val="es-ES_tradnl"/>
        </w:rPr>
      </w:pPr>
    </w:p>
    <w:p w14:paraId="0F670E87" w14:textId="065046B9" w:rsidR="007906DD" w:rsidRDefault="007906DD" w:rsidP="007906DD">
      <w:pPr>
        <w:rPr>
          <w:lang w:val="es-ES_tradnl"/>
        </w:rPr>
      </w:pPr>
    </w:p>
    <w:p w14:paraId="50B5CBD9" w14:textId="61CA30DE" w:rsidR="007906DD" w:rsidRDefault="007906DD" w:rsidP="007906DD">
      <w:pPr>
        <w:rPr>
          <w:lang w:val="es-ES_tradnl"/>
        </w:rPr>
      </w:pPr>
    </w:p>
    <w:p w14:paraId="24C1AD82" w14:textId="67B75FFC" w:rsidR="007906DD" w:rsidRDefault="007906DD" w:rsidP="007906DD">
      <w:pPr>
        <w:rPr>
          <w:lang w:val="es-ES_tradnl"/>
        </w:rPr>
      </w:pPr>
    </w:p>
    <w:p w14:paraId="00EA3884" w14:textId="1C6C2010" w:rsidR="007906DD" w:rsidRDefault="007906DD" w:rsidP="007906DD">
      <w:pPr>
        <w:rPr>
          <w:lang w:val="es-ES_tradnl"/>
        </w:rPr>
      </w:pPr>
    </w:p>
    <w:p w14:paraId="7B16C38D" w14:textId="11222D3A" w:rsidR="00047AAB" w:rsidRDefault="00047AAB" w:rsidP="007906DD">
      <w:pPr>
        <w:rPr>
          <w:lang w:val="es-ES_tradnl"/>
        </w:rPr>
      </w:pPr>
      <w:r>
        <w:rPr>
          <w:lang w:val="es-ES_tradnl"/>
        </w:rPr>
        <w:br w:type="page"/>
      </w:r>
    </w:p>
    <w:p w14:paraId="18923548" w14:textId="7D8CC527" w:rsidR="00361A40" w:rsidRPr="005C0243" w:rsidRDefault="005C0243" w:rsidP="00686AFF">
      <w:pPr>
        <w:pStyle w:val="Figure0"/>
        <w:rPr>
          <w:lang w:val="es-ES_tradnl"/>
        </w:rPr>
      </w:pPr>
      <w:r w:rsidRPr="00723CF8">
        <w:rPr>
          <w:lang w:val="es-ES_tradnl"/>
        </w:rPr>
        <w:lastRenderedPageBreak/>
        <w:t>FIGURA</w:t>
      </w:r>
      <w:r w:rsidRPr="005C0243">
        <w:rPr>
          <w:lang w:val="es-ES"/>
        </w:rPr>
        <w:t xml:space="preserve"> A3-2</w:t>
      </w:r>
    </w:p>
    <w:p w14:paraId="3C12DCD4" w14:textId="77777777" w:rsidR="005C0243" w:rsidRPr="00723CF8" w:rsidRDefault="005C0243" w:rsidP="00686AFF">
      <w:pPr>
        <w:pStyle w:val="FigureTitle"/>
        <w:rPr>
          <w:lang w:val="es-ES_tradnl"/>
        </w:rPr>
      </w:pPr>
      <w:r w:rsidRPr="00723CF8">
        <w:rPr>
          <w:lang w:val="es-ES_tradnl"/>
        </w:rPr>
        <w:t xml:space="preserve">Determinación de los puntos de prueba del caso más desfavorable </w:t>
      </w:r>
      <w:r w:rsidRPr="00723CF8">
        <w:rPr>
          <w:lang w:val="es-ES_tradnl"/>
        </w:rPr>
        <w:br/>
        <w:t>en el enlace ascendente</w:t>
      </w:r>
    </w:p>
    <w:p w14:paraId="3AAE8A68" w14:textId="77777777" w:rsidR="005C0243" w:rsidRPr="005C7612" w:rsidRDefault="00A32808" w:rsidP="005C0243">
      <w:pPr>
        <w:pStyle w:val="Figure"/>
        <w:rPr>
          <w:lang w:val="es-ES_tradnl"/>
        </w:rPr>
      </w:pPr>
      <w:r>
        <w:rPr>
          <w:lang w:val="es-ES_tradnl"/>
        </w:rPr>
        <w:object w:dxaOrig="6330" w:dyaOrig="5996" w14:anchorId="2DA7A92D">
          <v:shape id="_x0000_i1067" type="#_x0000_t75" style="width:327pt;height:306pt" o:ole="">
            <v:imagedata r:id="rId86" o:title="" cropbottom="-1290f" cropright="-2081f"/>
          </v:shape>
          <o:OLEObject Type="Embed" ProgID="CorelDraw.Graphic.16" ShapeID="_x0000_i1067" DrawAspect="Content" ObjectID="_1831207914" r:id="rId87"/>
        </w:object>
      </w:r>
    </w:p>
    <w:p w14:paraId="7D641A74" w14:textId="16D9B986" w:rsidR="00361A40" w:rsidRDefault="00CE0664" w:rsidP="005F27B7">
      <w:pPr>
        <w:jc w:val="center"/>
        <w:rPr>
          <w:lang w:val="es-ES_tradnl"/>
        </w:rPr>
      </w:pPr>
      <w:r>
        <w:rPr>
          <w:lang w:val="es-ES_tradnl"/>
        </w:rPr>
        <w:t>_____________________</w:t>
      </w:r>
    </w:p>
    <w:p w14:paraId="39C06DC1" w14:textId="7AFE5F6C" w:rsidR="00F4493C" w:rsidRDefault="00F4493C" w:rsidP="007906DD">
      <w:pPr>
        <w:rPr>
          <w:lang w:val="es-ES_tradnl"/>
        </w:rPr>
      </w:pPr>
    </w:p>
    <w:p w14:paraId="0B9FB9B5" w14:textId="0E20A07E" w:rsidR="00F4493C" w:rsidRDefault="00F4493C" w:rsidP="007906DD">
      <w:pPr>
        <w:rPr>
          <w:lang w:val="es-ES_tradnl"/>
        </w:rPr>
      </w:pPr>
    </w:p>
    <w:p w14:paraId="14B9AE0F" w14:textId="7A89B262" w:rsidR="00F4493C" w:rsidRDefault="00F4493C" w:rsidP="007906DD">
      <w:pPr>
        <w:rPr>
          <w:lang w:val="es-ES_tradnl"/>
        </w:rPr>
      </w:pPr>
    </w:p>
    <w:p w14:paraId="0F8D4487" w14:textId="6C5740BE" w:rsidR="00F4493C" w:rsidRDefault="00F4493C" w:rsidP="007906DD">
      <w:pPr>
        <w:rPr>
          <w:lang w:val="es-ES_tradnl"/>
        </w:rPr>
      </w:pPr>
    </w:p>
    <w:p w14:paraId="6A5B9ABA" w14:textId="77777777" w:rsidR="00F4493C" w:rsidRDefault="00F4493C" w:rsidP="007906DD">
      <w:pPr>
        <w:rPr>
          <w:lang w:val="es-ES_tradnl"/>
        </w:rPr>
      </w:pPr>
    </w:p>
    <w:p w14:paraId="6312761F" w14:textId="4007FC41" w:rsidR="007906DD" w:rsidRDefault="007906DD" w:rsidP="007906DD">
      <w:pPr>
        <w:rPr>
          <w:lang w:val="es-ES_tradnl"/>
        </w:rPr>
      </w:pPr>
    </w:p>
    <w:p w14:paraId="0D651AEA" w14:textId="7FA8259B" w:rsidR="007906DD" w:rsidRDefault="007906DD" w:rsidP="007906DD">
      <w:pPr>
        <w:rPr>
          <w:lang w:val="es-ES_tradnl"/>
        </w:rPr>
      </w:pPr>
    </w:p>
    <w:p w14:paraId="70B7B8B2" w14:textId="77777777" w:rsidR="007906DD" w:rsidRDefault="007906DD" w:rsidP="007906DD">
      <w:pPr>
        <w:rPr>
          <w:lang w:val="es-ES_tradnl"/>
        </w:rPr>
      </w:pPr>
    </w:p>
    <w:p w14:paraId="5D009576" w14:textId="149AEB7F" w:rsidR="007906DD" w:rsidRDefault="007906DD" w:rsidP="007906DD">
      <w:pPr>
        <w:rPr>
          <w:lang w:val="es-ES_tradnl"/>
        </w:rPr>
      </w:pPr>
    </w:p>
    <w:p w14:paraId="164910CD" w14:textId="15F6A79D" w:rsidR="007906DD" w:rsidRDefault="007906DD" w:rsidP="007906DD">
      <w:pPr>
        <w:rPr>
          <w:lang w:val="es-ES_tradnl"/>
        </w:rPr>
      </w:pPr>
    </w:p>
    <w:p w14:paraId="3288DD58" w14:textId="77777777" w:rsidR="007906DD" w:rsidRDefault="007906DD" w:rsidP="007906DD">
      <w:pPr>
        <w:rPr>
          <w:lang w:val="es-ES_tradnl"/>
        </w:rPr>
      </w:pPr>
    </w:p>
    <w:p w14:paraId="022180D1" w14:textId="77777777" w:rsidR="007906DD" w:rsidRPr="005C7612" w:rsidRDefault="007906DD" w:rsidP="007906DD">
      <w:pPr>
        <w:rPr>
          <w:lang w:val="es-ES_tradnl"/>
        </w:rPr>
      </w:pPr>
    </w:p>
    <w:p w14:paraId="0457D53F" w14:textId="77777777" w:rsidR="00361A40" w:rsidRPr="005C7612" w:rsidRDefault="00361A40" w:rsidP="005C7612">
      <w:pPr>
        <w:rPr>
          <w:lang w:val="es-ES_tradnl"/>
        </w:rPr>
        <w:sectPr w:rsidR="00361A40" w:rsidRPr="005C7612" w:rsidSect="00973109">
          <w:headerReference w:type="even" r:id="rId88"/>
          <w:headerReference w:type="default" r:id="rId89"/>
          <w:footnotePr>
            <w:pos w:val="beneathText"/>
          </w:footnotePr>
          <w:pgSz w:w="11907" w:h="16840" w:code="9"/>
          <w:pgMar w:top="1701" w:right="851" w:bottom="1134" w:left="1985" w:header="720" w:footer="482" w:gutter="0"/>
          <w:cols w:space="720"/>
          <w:vAlign w:val="both"/>
        </w:sectPr>
      </w:pPr>
    </w:p>
    <w:p w14:paraId="389C842A" w14:textId="77777777" w:rsidR="00361A40" w:rsidRPr="005C7612" w:rsidRDefault="00361A40" w:rsidP="007906DD">
      <w:pPr>
        <w:rPr>
          <w:lang w:val="es-ES_tradnl"/>
        </w:rPr>
      </w:pPr>
    </w:p>
    <w:sectPr w:rsidR="00361A40" w:rsidRPr="005C7612" w:rsidSect="005C7612">
      <w:headerReference w:type="first" r:id="rId9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F215C" w14:textId="77777777" w:rsidR="00DF0DD1" w:rsidRDefault="00DF0DD1">
      <w:r>
        <w:separator/>
      </w:r>
    </w:p>
  </w:endnote>
  <w:endnote w:type="continuationSeparator" w:id="0">
    <w:p w14:paraId="0F412AE0" w14:textId="77777777" w:rsidR="00DF0DD1" w:rsidRDefault="00DF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1ED3B" w14:textId="77777777" w:rsidR="00DF0DD1" w:rsidRDefault="00DF0DD1">
      <w:r>
        <w:rPr>
          <w:b/>
        </w:rPr>
        <w:t>_______________</w:t>
      </w:r>
    </w:p>
  </w:footnote>
  <w:footnote w:type="continuationSeparator" w:id="0">
    <w:p w14:paraId="761AACD9" w14:textId="77777777" w:rsidR="00DF0DD1" w:rsidRDefault="00DF0DD1">
      <w:r>
        <w:continuationSeparator/>
      </w:r>
    </w:p>
  </w:footnote>
  <w:footnote w:id="1">
    <w:p w14:paraId="4B627431" w14:textId="77777777" w:rsidR="00DF0DD1" w:rsidRPr="00BA5C95" w:rsidRDefault="00DF0DD1" w:rsidP="00BA5C95">
      <w:pPr>
        <w:pStyle w:val="FootnoteText"/>
        <w:rPr>
          <w:lang w:val="es-ES_tradnl"/>
        </w:rPr>
      </w:pPr>
      <w:r w:rsidRPr="00BA5C95">
        <w:rPr>
          <w:rStyle w:val="FootnoteReference"/>
          <w:lang w:val="es-ES_tradnl"/>
        </w:rPr>
        <w:t>*</w:t>
      </w:r>
      <w:r w:rsidRPr="00BA5C95">
        <w:rPr>
          <w:lang w:val="es-ES_tradnl"/>
        </w:rPr>
        <w:t xml:space="preserve"> </w:t>
      </w:r>
      <w:r>
        <w:rPr>
          <w:lang w:val="es-ES_tradnl"/>
        </w:rPr>
        <w:tab/>
      </w:r>
      <w:r w:rsidRPr="0049016D">
        <w:rPr>
          <w:i/>
          <w:iCs/>
          <w:lang w:val="es-ES_tradnl"/>
        </w:rPr>
        <w:t>Nota de la Secretaría:</w:t>
      </w:r>
      <w:r w:rsidRPr="0049016D">
        <w:rPr>
          <w:lang w:val="es-ES_tradnl"/>
        </w:rPr>
        <w:t xml:space="preserve"> Esta Recomendación ha sido abrogada el 2</w:t>
      </w:r>
      <w:r>
        <w:rPr>
          <w:lang w:val="es-ES_tradnl"/>
        </w:rPr>
        <w:t>0</w:t>
      </w:r>
      <w:r w:rsidRPr="0049016D">
        <w:rPr>
          <w:lang w:val="es-ES_tradnl"/>
        </w:rPr>
        <w:t>/0</w:t>
      </w:r>
      <w:r>
        <w:rPr>
          <w:lang w:val="es-ES_tradnl"/>
        </w:rPr>
        <w:t>2</w:t>
      </w:r>
      <w:r w:rsidRPr="0049016D">
        <w:rPr>
          <w:lang w:val="es-ES_tradnl"/>
        </w:rPr>
        <w:t>/2014 (CACE/6</w:t>
      </w:r>
      <w:r>
        <w:rPr>
          <w:lang w:val="es-ES_tradnl"/>
        </w:rPr>
        <w:t>67</w:t>
      </w:r>
      <w:r w:rsidRPr="0049016D">
        <w:rPr>
          <w:lang w:val="es-ES_tradnl"/>
        </w:rPr>
        <w:t>).</w:t>
      </w:r>
    </w:p>
  </w:footnote>
  <w:footnote w:id="2">
    <w:p w14:paraId="1B105E09" w14:textId="77777777" w:rsidR="00DF0DD1" w:rsidRPr="00BA5C95" w:rsidRDefault="00DF0DD1" w:rsidP="00BA5C95">
      <w:pPr>
        <w:pStyle w:val="FootnoteText"/>
        <w:rPr>
          <w:lang w:val="es-ES_tradnl"/>
        </w:rPr>
      </w:pPr>
      <w:r w:rsidRPr="00BA5C95">
        <w:rPr>
          <w:rStyle w:val="FootnoteReference"/>
          <w:lang w:val="es-ES_tradnl"/>
        </w:rPr>
        <w:t>**</w:t>
      </w:r>
      <w:r w:rsidRPr="00BA5C95">
        <w:rPr>
          <w:lang w:val="es-ES_tradnl"/>
        </w:rPr>
        <w:t xml:space="preserve"> </w:t>
      </w:r>
      <w:r>
        <w:rPr>
          <w:lang w:val="es-ES_tradnl"/>
        </w:rPr>
        <w:tab/>
      </w:r>
      <w:r w:rsidRPr="0049016D">
        <w:rPr>
          <w:i/>
          <w:iCs/>
          <w:lang w:val="es-ES_tradnl"/>
        </w:rPr>
        <w:t>Nota de la Secretaría:</w:t>
      </w:r>
      <w:r w:rsidRPr="0049016D">
        <w:rPr>
          <w:lang w:val="es-ES_tradnl"/>
        </w:rPr>
        <w:t xml:space="preserve"> Esta Recomendación ha sido abrogada el </w:t>
      </w:r>
      <w:r>
        <w:rPr>
          <w:lang w:val="es-ES_tradnl"/>
        </w:rPr>
        <w:t>15</w:t>
      </w:r>
      <w:r w:rsidRPr="0049016D">
        <w:rPr>
          <w:lang w:val="es-ES_tradnl"/>
        </w:rPr>
        <w:t>/0</w:t>
      </w:r>
      <w:r>
        <w:rPr>
          <w:lang w:val="es-ES_tradnl"/>
        </w:rPr>
        <w:t>6</w:t>
      </w:r>
      <w:r w:rsidRPr="0049016D">
        <w:rPr>
          <w:lang w:val="es-ES_tradnl"/>
        </w:rPr>
        <w:t>/20</w:t>
      </w:r>
      <w:r>
        <w:rPr>
          <w:lang w:val="es-ES_tradnl"/>
        </w:rPr>
        <w:t>09</w:t>
      </w:r>
      <w:r w:rsidRPr="0049016D">
        <w:rPr>
          <w:lang w:val="es-ES_tradnl"/>
        </w:rPr>
        <w:t xml:space="preserve"> (CACE/</w:t>
      </w:r>
      <w:r>
        <w:rPr>
          <w:lang w:val="es-ES_tradnl"/>
        </w:rPr>
        <w:t>482</w:t>
      </w:r>
      <w:r w:rsidRPr="0049016D">
        <w:rPr>
          <w:lang w:val="es-ES_tradnl"/>
        </w:rPr>
        <w:t>).</w:t>
      </w:r>
    </w:p>
  </w:footnote>
  <w:footnote w:id="3">
    <w:p w14:paraId="6D10B976" w14:textId="5DA336F6" w:rsidR="007C5EE8" w:rsidRPr="007C5EE8" w:rsidRDefault="007C5EE8">
      <w:pPr>
        <w:pStyle w:val="FootnoteText"/>
        <w:rPr>
          <w:lang w:val="es-ES"/>
        </w:rPr>
      </w:pPr>
      <w:r w:rsidRPr="007C5EE8">
        <w:rPr>
          <w:rStyle w:val="FootnoteReference"/>
          <w:lang w:val="es-ES"/>
        </w:rPr>
        <w:t>***</w:t>
      </w:r>
      <w:r w:rsidRPr="007C5EE8">
        <w:rPr>
          <w:lang w:val="es-ES"/>
        </w:rPr>
        <w:t xml:space="preserve"> </w:t>
      </w:r>
      <w:r w:rsidRPr="0049016D">
        <w:rPr>
          <w:i/>
          <w:iCs/>
          <w:lang w:val="es-ES_tradnl"/>
        </w:rPr>
        <w:t>Nota de la Secretaría:</w:t>
      </w:r>
      <w:r w:rsidRPr="0049016D">
        <w:rPr>
          <w:lang w:val="es-ES_tradnl"/>
        </w:rPr>
        <w:t xml:space="preserve"> Esta Recomendación ha sido abrogada el 29/09/2014 (CACE/692).</w:t>
      </w:r>
    </w:p>
  </w:footnote>
  <w:footnote w:id="4">
    <w:p w14:paraId="57F61E83" w14:textId="77777777" w:rsidR="00DF0DD1" w:rsidRPr="00BA5C95" w:rsidRDefault="00DF0DD1" w:rsidP="00C71E9D">
      <w:pPr>
        <w:pStyle w:val="FootnoteText"/>
        <w:rPr>
          <w:lang w:val="es-ES_tradnl"/>
        </w:rPr>
      </w:pPr>
      <w:r w:rsidRPr="00BA5C95">
        <w:rPr>
          <w:rStyle w:val="FootnoteReference"/>
          <w:lang w:val="es-ES_tradnl"/>
        </w:rPr>
        <w:t>*</w:t>
      </w:r>
      <w:r w:rsidRPr="00BA5C95">
        <w:rPr>
          <w:lang w:val="es-ES_tradnl"/>
        </w:rPr>
        <w:t xml:space="preserve"> </w:t>
      </w:r>
      <w:r w:rsidRPr="00BA5C95">
        <w:rPr>
          <w:lang w:val="es-ES_tradnl"/>
        </w:rPr>
        <w:tab/>
      </w:r>
      <w:r w:rsidRPr="00BA5C95">
        <w:rPr>
          <w:i/>
          <w:iCs/>
          <w:lang w:val="es-ES_tradnl"/>
        </w:rPr>
        <w:t>Nota de la Secretaría:</w:t>
      </w:r>
      <w:r w:rsidRPr="00BA5C95">
        <w:rPr>
          <w:lang w:val="es-ES_tradnl"/>
        </w:rPr>
        <w:t xml:space="preserve"> Esta Recomendación ha sido abrogada el </w:t>
      </w:r>
      <w:r>
        <w:rPr>
          <w:lang w:val="es-ES_tradnl"/>
        </w:rPr>
        <w:t>15</w:t>
      </w:r>
      <w:r w:rsidRPr="00BA5C95">
        <w:rPr>
          <w:lang w:val="es-ES_tradnl"/>
        </w:rPr>
        <w:t>/0</w:t>
      </w:r>
      <w:r>
        <w:rPr>
          <w:lang w:val="es-ES_tradnl"/>
        </w:rPr>
        <w:t>6</w:t>
      </w:r>
      <w:r w:rsidRPr="00BA5C95">
        <w:rPr>
          <w:lang w:val="es-ES_tradnl"/>
        </w:rPr>
        <w:t>/20</w:t>
      </w:r>
      <w:r>
        <w:rPr>
          <w:lang w:val="es-ES_tradnl"/>
        </w:rPr>
        <w:t>09</w:t>
      </w:r>
      <w:r w:rsidRPr="00BA5C95">
        <w:rPr>
          <w:lang w:val="es-ES_tradnl"/>
        </w:rPr>
        <w:t xml:space="preserve"> (CACE/</w:t>
      </w:r>
      <w:r>
        <w:rPr>
          <w:lang w:val="es-ES_tradnl"/>
        </w:rPr>
        <w:t>482</w:t>
      </w:r>
      <w:r w:rsidRPr="00BA5C95">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73109" w14:paraId="11020136" w14:textId="77777777" w:rsidTr="00973109">
      <w:trPr>
        <w:cantSplit/>
      </w:trPr>
      <w:tc>
        <w:tcPr>
          <w:tcW w:w="1701" w:type="dxa"/>
          <w:tcBorders>
            <w:top w:val="single" w:sz="6" w:space="0" w:color="auto"/>
            <w:left w:val="single" w:sz="6" w:space="0" w:color="auto"/>
            <w:bottom w:val="single" w:sz="6" w:space="0" w:color="auto"/>
            <w:right w:val="single" w:sz="6" w:space="0" w:color="auto"/>
          </w:tcBorders>
        </w:tcPr>
        <w:p w14:paraId="0C59C36F" w14:textId="77777777" w:rsidR="00973109" w:rsidRDefault="00973109" w:rsidP="00973109">
          <w:pPr>
            <w:pStyle w:val="HeaderRegProc"/>
            <w:jc w:val="left"/>
          </w:pPr>
          <w:r>
            <w:t>Parte B</w:t>
          </w:r>
        </w:p>
      </w:tc>
      <w:tc>
        <w:tcPr>
          <w:tcW w:w="1701" w:type="dxa"/>
          <w:tcBorders>
            <w:top w:val="single" w:sz="6" w:space="0" w:color="auto"/>
            <w:left w:val="single" w:sz="6" w:space="0" w:color="auto"/>
            <w:bottom w:val="single" w:sz="6" w:space="0" w:color="auto"/>
            <w:right w:val="single" w:sz="6" w:space="0" w:color="auto"/>
          </w:tcBorders>
        </w:tcPr>
        <w:p w14:paraId="6AAB37BD" w14:textId="3BAF9A3E" w:rsidR="00973109" w:rsidRDefault="00725D84" w:rsidP="00973109">
          <w:pPr>
            <w:pStyle w:val="HeaderRegProc"/>
            <w:rPr>
              <w:lang w:val="fr-FR"/>
            </w:rPr>
          </w:pPr>
          <w:r>
            <w:rPr>
              <w:lang w:val="fr-FR"/>
            </w:rPr>
            <w:t>B3</w:t>
          </w:r>
        </w:p>
      </w:tc>
      <w:tc>
        <w:tcPr>
          <w:tcW w:w="1701" w:type="dxa"/>
          <w:tcBorders>
            <w:top w:val="single" w:sz="6" w:space="0" w:color="auto"/>
            <w:left w:val="single" w:sz="6" w:space="0" w:color="auto"/>
            <w:bottom w:val="single" w:sz="6" w:space="0" w:color="auto"/>
            <w:right w:val="single" w:sz="6" w:space="0" w:color="auto"/>
          </w:tcBorders>
        </w:tcPr>
        <w:p w14:paraId="45863343" w14:textId="77777777" w:rsidR="00973109" w:rsidRDefault="00973109" w:rsidP="00973109">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6976DE" w14:textId="77777777" w:rsidR="00973109" w:rsidRDefault="00973109" w:rsidP="00973109">
          <w:pPr>
            <w:pStyle w:val="HeaderRegProc"/>
            <w:rPr>
              <w:lang w:val="fr-CH"/>
            </w:rPr>
          </w:pPr>
          <w:proofErr w:type="gramStart"/>
          <w:r>
            <w:rPr>
              <w:lang w:val="fr-CH"/>
            </w:rPr>
            <w:t>rev</w:t>
          </w:r>
          <w:proofErr w:type="gramEnd"/>
          <w:r>
            <w:rPr>
              <w:lang w:val="fr-CH"/>
            </w:rPr>
            <w:t>.</w:t>
          </w:r>
          <w:r>
            <w:t xml:space="preserve"> -</w:t>
          </w:r>
        </w:p>
      </w:tc>
    </w:tr>
  </w:tbl>
  <w:p w14:paraId="7B847FF4" w14:textId="77777777" w:rsidR="00973109" w:rsidRDefault="009731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0DD1" w14:paraId="097E656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5989B8" w14:textId="77777777" w:rsidR="00DF0DD1" w:rsidRDefault="00DF0DD1">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1A050BC6" w14:textId="19402C7D" w:rsidR="00DF0DD1" w:rsidRDefault="00725D84">
          <w:pPr>
            <w:pStyle w:val="HeaderRegProc"/>
            <w:rPr>
              <w:lang w:val="fr-FR"/>
            </w:rPr>
          </w:pPr>
          <w:r>
            <w:rPr>
              <w:lang w:val="fr-FR"/>
            </w:rPr>
            <w:t>B3</w:t>
          </w:r>
        </w:p>
      </w:tc>
      <w:tc>
        <w:tcPr>
          <w:tcW w:w="1701" w:type="dxa"/>
          <w:tcBorders>
            <w:top w:val="single" w:sz="6" w:space="0" w:color="auto"/>
            <w:left w:val="single" w:sz="6" w:space="0" w:color="auto"/>
            <w:bottom w:val="single" w:sz="6" w:space="0" w:color="auto"/>
            <w:right w:val="single" w:sz="6" w:space="0" w:color="auto"/>
          </w:tcBorders>
        </w:tcPr>
        <w:p w14:paraId="4EA159AF" w14:textId="77777777" w:rsidR="00DF0DD1" w:rsidRDefault="00DF0DD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FA759A" w14:textId="5159ADE3" w:rsidR="00DF0DD1" w:rsidRDefault="00DF0DD1" w:rsidP="006B5564">
          <w:pPr>
            <w:pStyle w:val="HeaderRegProc"/>
            <w:rPr>
              <w:lang w:val="fr-CH"/>
            </w:rPr>
          </w:pPr>
          <w:proofErr w:type="gramStart"/>
          <w:r>
            <w:rPr>
              <w:lang w:val="fr-CH"/>
            </w:rPr>
            <w:t>rev</w:t>
          </w:r>
          <w:proofErr w:type="gramEnd"/>
          <w:r>
            <w:rPr>
              <w:lang w:val="fr-CH"/>
            </w:rPr>
            <w:t>.</w:t>
          </w:r>
          <w:r>
            <w:t xml:space="preserve"> -</w:t>
          </w:r>
        </w:p>
      </w:tc>
    </w:tr>
  </w:tbl>
  <w:p w14:paraId="510596DB" w14:textId="77777777" w:rsidR="00DF0DD1" w:rsidRDefault="00DF0D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0DD1" w14:paraId="4A6A05E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383D87C" w14:textId="77777777" w:rsidR="00DF0DD1" w:rsidRDefault="00DF0DD1">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5414F891" w14:textId="4A0DF145" w:rsidR="00DF0DD1" w:rsidRDefault="00725D84">
          <w:pPr>
            <w:pStyle w:val="HeaderRegProc"/>
            <w:rPr>
              <w:lang w:val="fr-FR"/>
            </w:rPr>
          </w:pPr>
          <w:r>
            <w:rPr>
              <w:lang w:val="fr-FR"/>
            </w:rPr>
            <w:t>B3</w:t>
          </w:r>
        </w:p>
      </w:tc>
      <w:tc>
        <w:tcPr>
          <w:tcW w:w="1701" w:type="dxa"/>
          <w:tcBorders>
            <w:top w:val="single" w:sz="6" w:space="0" w:color="auto"/>
            <w:left w:val="single" w:sz="6" w:space="0" w:color="auto"/>
            <w:bottom w:val="single" w:sz="6" w:space="0" w:color="auto"/>
            <w:right w:val="single" w:sz="6" w:space="0" w:color="auto"/>
          </w:tcBorders>
        </w:tcPr>
        <w:p w14:paraId="4390C59E" w14:textId="77777777" w:rsidR="00DF0DD1" w:rsidRDefault="00DF0DD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FA0A4E" w14:textId="77777777" w:rsidR="00DF0DD1" w:rsidRDefault="00DF0DD1" w:rsidP="003A222B">
          <w:pPr>
            <w:pStyle w:val="HeaderRegProc"/>
            <w:rPr>
              <w:lang w:val="fr-CH"/>
            </w:rPr>
          </w:pPr>
          <w:proofErr w:type="gramStart"/>
          <w:r>
            <w:rPr>
              <w:lang w:val="fr-CH"/>
            </w:rPr>
            <w:t>rev</w:t>
          </w:r>
          <w:proofErr w:type="gramEnd"/>
          <w:r>
            <w:rPr>
              <w:lang w:val="fr-CH"/>
            </w:rPr>
            <w:t>.</w:t>
          </w:r>
          <w:r>
            <w:t xml:space="preserve"> -</w:t>
          </w:r>
        </w:p>
      </w:tc>
    </w:tr>
  </w:tbl>
  <w:p w14:paraId="6070AE1A" w14:textId="77777777" w:rsidR="00DF0DD1" w:rsidRDefault="00DF0DD1">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F0DD1" w14:paraId="2F7D846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C8628DE" w14:textId="77777777" w:rsidR="00DF0DD1" w:rsidRDefault="00DF0DD1">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31DA94E1" w14:textId="76890AC0" w:rsidR="00DF0DD1" w:rsidRDefault="00725D84">
          <w:pPr>
            <w:pStyle w:val="HeaderRegProc"/>
            <w:rPr>
              <w:lang w:val="fr-FR"/>
            </w:rPr>
          </w:pPr>
          <w:r>
            <w:rPr>
              <w:lang w:val="fr-FR"/>
            </w:rPr>
            <w:t>B3</w:t>
          </w:r>
        </w:p>
      </w:tc>
      <w:tc>
        <w:tcPr>
          <w:tcW w:w="1701" w:type="dxa"/>
          <w:tcBorders>
            <w:top w:val="single" w:sz="6" w:space="0" w:color="auto"/>
            <w:left w:val="single" w:sz="6" w:space="0" w:color="auto"/>
            <w:bottom w:val="single" w:sz="6" w:space="0" w:color="auto"/>
            <w:right w:val="single" w:sz="6" w:space="0" w:color="auto"/>
          </w:tcBorders>
        </w:tcPr>
        <w:p w14:paraId="298E597A" w14:textId="77777777" w:rsidR="00DF0DD1" w:rsidRDefault="00DF0DD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0B59B6" w14:textId="77777777" w:rsidR="00DF0DD1" w:rsidRDefault="00DF0DD1" w:rsidP="006B5564">
          <w:pPr>
            <w:pStyle w:val="HeaderRegProc"/>
            <w:rPr>
              <w:lang w:val="fr-CH"/>
            </w:rPr>
          </w:pPr>
          <w:proofErr w:type="gramStart"/>
          <w:r>
            <w:rPr>
              <w:lang w:val="fr-CH"/>
            </w:rPr>
            <w:t>rev</w:t>
          </w:r>
          <w:proofErr w:type="gramEnd"/>
          <w:r>
            <w:rPr>
              <w:lang w:val="fr-CH"/>
            </w:rPr>
            <w:t>.</w:t>
          </w:r>
          <w:r>
            <w:t xml:space="preserve"> -</w:t>
          </w:r>
        </w:p>
      </w:tc>
    </w:tr>
  </w:tbl>
  <w:p w14:paraId="7D4CD208" w14:textId="77777777" w:rsidR="00DF0DD1" w:rsidRDefault="00DF0D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763B" w14:textId="77777777" w:rsidR="00DF0DD1" w:rsidRDefault="00DF0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1A48B7"/>
    <w:multiLevelType w:val="hybridMultilevel"/>
    <w:tmpl w:val="1DE2E648"/>
    <w:lvl w:ilvl="0" w:tplc="3C0AC6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7"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9"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0"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4"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16cid:durableId="1644969623">
    <w:abstractNumId w:val="15"/>
  </w:num>
  <w:num w:numId="2" w16cid:durableId="1010331133">
    <w:abstractNumId w:val="32"/>
  </w:num>
  <w:num w:numId="3" w16cid:durableId="529731801">
    <w:abstractNumId w:val="33"/>
  </w:num>
  <w:num w:numId="4" w16cid:durableId="1899779641">
    <w:abstractNumId w:val="29"/>
  </w:num>
  <w:num w:numId="5" w16cid:durableId="2077900815">
    <w:abstractNumId w:val="31"/>
  </w:num>
  <w:num w:numId="6" w16cid:durableId="1508709121">
    <w:abstractNumId w:val="11"/>
  </w:num>
  <w:num w:numId="7" w16cid:durableId="1523281006">
    <w:abstractNumId w:val="22"/>
  </w:num>
  <w:num w:numId="8" w16cid:durableId="122694597">
    <w:abstractNumId w:val="19"/>
  </w:num>
  <w:num w:numId="9" w16cid:durableId="819427126">
    <w:abstractNumId w:val="13"/>
  </w:num>
  <w:num w:numId="10" w16cid:durableId="103425048">
    <w:abstractNumId w:val="24"/>
  </w:num>
  <w:num w:numId="11" w16cid:durableId="1544445757">
    <w:abstractNumId w:val="21"/>
  </w:num>
  <w:num w:numId="12" w16cid:durableId="91323250">
    <w:abstractNumId w:val="30"/>
  </w:num>
  <w:num w:numId="13" w16cid:durableId="677003765">
    <w:abstractNumId w:val="8"/>
  </w:num>
  <w:num w:numId="14" w16cid:durableId="91174049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181242320">
    <w:abstractNumId w:val="14"/>
  </w:num>
  <w:num w:numId="16" w16cid:durableId="942344738">
    <w:abstractNumId w:val="9"/>
  </w:num>
  <w:num w:numId="17" w16cid:durableId="1673529261">
    <w:abstractNumId w:val="7"/>
  </w:num>
  <w:num w:numId="18" w16cid:durableId="1307929532">
    <w:abstractNumId w:val="6"/>
  </w:num>
  <w:num w:numId="19" w16cid:durableId="1532380889">
    <w:abstractNumId w:val="5"/>
  </w:num>
  <w:num w:numId="20" w16cid:durableId="1112360116">
    <w:abstractNumId w:val="4"/>
  </w:num>
  <w:num w:numId="21" w16cid:durableId="325130978">
    <w:abstractNumId w:val="3"/>
  </w:num>
  <w:num w:numId="22" w16cid:durableId="962883930">
    <w:abstractNumId w:val="2"/>
  </w:num>
  <w:num w:numId="23" w16cid:durableId="370612549">
    <w:abstractNumId w:val="1"/>
  </w:num>
  <w:num w:numId="24" w16cid:durableId="633558583">
    <w:abstractNumId w:val="0"/>
  </w:num>
  <w:num w:numId="25" w16cid:durableId="1976979779">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16cid:durableId="1162311660">
    <w:abstractNumId w:val="17"/>
  </w:num>
  <w:num w:numId="27" w16cid:durableId="936324903">
    <w:abstractNumId w:val="34"/>
  </w:num>
  <w:num w:numId="28" w16cid:durableId="1670791132">
    <w:abstractNumId w:val="18"/>
  </w:num>
  <w:num w:numId="29" w16cid:durableId="120997281">
    <w:abstractNumId w:val="20"/>
  </w:num>
  <w:num w:numId="30" w16cid:durableId="987397918">
    <w:abstractNumId w:val="23"/>
  </w:num>
  <w:num w:numId="31" w16cid:durableId="540291119">
    <w:abstractNumId w:val="28"/>
  </w:num>
  <w:num w:numId="32" w16cid:durableId="2007780738">
    <w:abstractNumId w:val="12"/>
  </w:num>
  <w:num w:numId="33" w16cid:durableId="2112971848">
    <w:abstractNumId w:val="16"/>
  </w:num>
  <w:num w:numId="34" w16cid:durableId="1472359119">
    <w:abstractNumId w:val="26"/>
  </w:num>
  <w:num w:numId="35" w16cid:durableId="1875731772">
    <w:abstractNumId w:val="27"/>
  </w:num>
  <w:num w:numId="36" w16cid:durableId="5707716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612"/>
    <w:rsid w:val="000132AA"/>
    <w:rsid w:val="000309B6"/>
    <w:rsid w:val="00031083"/>
    <w:rsid w:val="000360E1"/>
    <w:rsid w:val="00036886"/>
    <w:rsid w:val="0004368F"/>
    <w:rsid w:val="00047AAB"/>
    <w:rsid w:val="000563B7"/>
    <w:rsid w:val="00081A84"/>
    <w:rsid w:val="00081B89"/>
    <w:rsid w:val="000901E1"/>
    <w:rsid w:val="000A25DF"/>
    <w:rsid w:val="000B09E3"/>
    <w:rsid w:val="000C5DF2"/>
    <w:rsid w:val="000E1815"/>
    <w:rsid w:val="000F765F"/>
    <w:rsid w:val="00112852"/>
    <w:rsid w:val="00131912"/>
    <w:rsid w:val="0014153D"/>
    <w:rsid w:val="0016675C"/>
    <w:rsid w:val="001763B6"/>
    <w:rsid w:val="001A02B5"/>
    <w:rsid w:val="001B4924"/>
    <w:rsid w:val="001D1D9A"/>
    <w:rsid w:val="001D314B"/>
    <w:rsid w:val="00210470"/>
    <w:rsid w:val="00216216"/>
    <w:rsid w:val="00217F12"/>
    <w:rsid w:val="0022005A"/>
    <w:rsid w:val="00242BDC"/>
    <w:rsid w:val="00244EFF"/>
    <w:rsid w:val="002474FB"/>
    <w:rsid w:val="002557AB"/>
    <w:rsid w:val="00262439"/>
    <w:rsid w:val="002630FE"/>
    <w:rsid w:val="00292101"/>
    <w:rsid w:val="00296AEE"/>
    <w:rsid w:val="002A26F2"/>
    <w:rsid w:val="002A6915"/>
    <w:rsid w:val="002B52CC"/>
    <w:rsid w:val="002E56ED"/>
    <w:rsid w:val="002F60D7"/>
    <w:rsid w:val="002F76C5"/>
    <w:rsid w:val="00300D25"/>
    <w:rsid w:val="00301F7A"/>
    <w:rsid w:val="00326375"/>
    <w:rsid w:val="00355503"/>
    <w:rsid w:val="00361A40"/>
    <w:rsid w:val="00382031"/>
    <w:rsid w:val="00386BD4"/>
    <w:rsid w:val="00393EC8"/>
    <w:rsid w:val="003A222B"/>
    <w:rsid w:val="003B2B42"/>
    <w:rsid w:val="004026B2"/>
    <w:rsid w:val="00420359"/>
    <w:rsid w:val="00425D0C"/>
    <w:rsid w:val="004301E5"/>
    <w:rsid w:val="00441191"/>
    <w:rsid w:val="00442E9D"/>
    <w:rsid w:val="004573AA"/>
    <w:rsid w:val="004601F0"/>
    <w:rsid w:val="0047214B"/>
    <w:rsid w:val="0049016D"/>
    <w:rsid w:val="004B6A06"/>
    <w:rsid w:val="004D7322"/>
    <w:rsid w:val="004F41AC"/>
    <w:rsid w:val="004F500F"/>
    <w:rsid w:val="004F79A8"/>
    <w:rsid w:val="005074D9"/>
    <w:rsid w:val="005129B8"/>
    <w:rsid w:val="005634BF"/>
    <w:rsid w:val="0058229F"/>
    <w:rsid w:val="005B6100"/>
    <w:rsid w:val="005C0243"/>
    <w:rsid w:val="005C7612"/>
    <w:rsid w:val="005F1777"/>
    <w:rsid w:val="005F27B7"/>
    <w:rsid w:val="005F6698"/>
    <w:rsid w:val="00602AEE"/>
    <w:rsid w:val="00631F49"/>
    <w:rsid w:val="00633E4C"/>
    <w:rsid w:val="00653FA0"/>
    <w:rsid w:val="00685A53"/>
    <w:rsid w:val="00686AFF"/>
    <w:rsid w:val="00693DD5"/>
    <w:rsid w:val="006B5564"/>
    <w:rsid w:val="006C6209"/>
    <w:rsid w:val="006C6416"/>
    <w:rsid w:val="006F26AF"/>
    <w:rsid w:val="00700B1C"/>
    <w:rsid w:val="00710DD6"/>
    <w:rsid w:val="0072029C"/>
    <w:rsid w:val="00723CF8"/>
    <w:rsid w:val="00725D84"/>
    <w:rsid w:val="00741C74"/>
    <w:rsid w:val="00745F23"/>
    <w:rsid w:val="0078448F"/>
    <w:rsid w:val="007906DD"/>
    <w:rsid w:val="00792867"/>
    <w:rsid w:val="007A01F5"/>
    <w:rsid w:val="007C5EE8"/>
    <w:rsid w:val="007F3A66"/>
    <w:rsid w:val="007F7604"/>
    <w:rsid w:val="0080559B"/>
    <w:rsid w:val="008246EB"/>
    <w:rsid w:val="0083361A"/>
    <w:rsid w:val="0083672C"/>
    <w:rsid w:val="00846C87"/>
    <w:rsid w:val="00866D47"/>
    <w:rsid w:val="008813CC"/>
    <w:rsid w:val="008C3F48"/>
    <w:rsid w:val="008D2076"/>
    <w:rsid w:val="008E5C22"/>
    <w:rsid w:val="00906811"/>
    <w:rsid w:val="00920B3F"/>
    <w:rsid w:val="009623E6"/>
    <w:rsid w:val="00973013"/>
    <w:rsid w:val="00973109"/>
    <w:rsid w:val="009D3A91"/>
    <w:rsid w:val="009D49CE"/>
    <w:rsid w:val="009E6D1C"/>
    <w:rsid w:val="00A31C52"/>
    <w:rsid w:val="00A32808"/>
    <w:rsid w:val="00A955B6"/>
    <w:rsid w:val="00AA05C7"/>
    <w:rsid w:val="00AA0C4B"/>
    <w:rsid w:val="00AA0F2D"/>
    <w:rsid w:val="00AB6BAF"/>
    <w:rsid w:val="00AC02D7"/>
    <w:rsid w:val="00AC0DD1"/>
    <w:rsid w:val="00AD4D8B"/>
    <w:rsid w:val="00AF6EEB"/>
    <w:rsid w:val="00B1324B"/>
    <w:rsid w:val="00B416AB"/>
    <w:rsid w:val="00B45729"/>
    <w:rsid w:val="00B75536"/>
    <w:rsid w:val="00B90DED"/>
    <w:rsid w:val="00B941ED"/>
    <w:rsid w:val="00BA5A2A"/>
    <w:rsid w:val="00BA5C95"/>
    <w:rsid w:val="00BB3908"/>
    <w:rsid w:val="00BB3AA3"/>
    <w:rsid w:val="00BC1DDE"/>
    <w:rsid w:val="00BC76B8"/>
    <w:rsid w:val="00BF3BAD"/>
    <w:rsid w:val="00C0041B"/>
    <w:rsid w:val="00C006F5"/>
    <w:rsid w:val="00C17CA3"/>
    <w:rsid w:val="00C3227A"/>
    <w:rsid w:val="00C36D83"/>
    <w:rsid w:val="00C45A55"/>
    <w:rsid w:val="00C5130D"/>
    <w:rsid w:val="00C539FA"/>
    <w:rsid w:val="00C577F2"/>
    <w:rsid w:val="00C71E9D"/>
    <w:rsid w:val="00C85913"/>
    <w:rsid w:val="00C86EC9"/>
    <w:rsid w:val="00C92843"/>
    <w:rsid w:val="00C94840"/>
    <w:rsid w:val="00C96959"/>
    <w:rsid w:val="00CA641E"/>
    <w:rsid w:val="00CE0664"/>
    <w:rsid w:val="00CF1A36"/>
    <w:rsid w:val="00D000F0"/>
    <w:rsid w:val="00D20E69"/>
    <w:rsid w:val="00D228B1"/>
    <w:rsid w:val="00D86216"/>
    <w:rsid w:val="00DB0100"/>
    <w:rsid w:val="00DB2B06"/>
    <w:rsid w:val="00DC1E0E"/>
    <w:rsid w:val="00DE695C"/>
    <w:rsid w:val="00DF0DD1"/>
    <w:rsid w:val="00DF29CE"/>
    <w:rsid w:val="00E15CFF"/>
    <w:rsid w:val="00E2309A"/>
    <w:rsid w:val="00E252B5"/>
    <w:rsid w:val="00E3234F"/>
    <w:rsid w:val="00E47D63"/>
    <w:rsid w:val="00E51A6E"/>
    <w:rsid w:val="00E71481"/>
    <w:rsid w:val="00E87566"/>
    <w:rsid w:val="00EA2F0B"/>
    <w:rsid w:val="00EC2711"/>
    <w:rsid w:val="00ED009B"/>
    <w:rsid w:val="00ED45F5"/>
    <w:rsid w:val="00ED6470"/>
    <w:rsid w:val="00F01575"/>
    <w:rsid w:val="00F448A0"/>
    <w:rsid w:val="00F4493C"/>
    <w:rsid w:val="00F57B3C"/>
    <w:rsid w:val="00F65C28"/>
    <w:rsid w:val="00F75AEC"/>
    <w:rsid w:val="00F76B47"/>
    <w:rsid w:val="00F835BE"/>
    <w:rsid w:val="00FB2FEE"/>
    <w:rsid w:val="00FB4638"/>
    <w:rsid w:val="00FC241F"/>
    <w:rsid w:val="00FD5E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D48B690"/>
  <w15:docId w15:val="{D6499549-EAC7-4E95-ACE4-73061415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basedOn w:val="DefaultParagraphFont"/>
    <w:rPr>
      <w:rFonts w:ascii="Times New Roman" w:hAnsi="Times New Roman"/>
      <w:b/>
    </w:rPr>
  </w:style>
  <w:style w:type="character" w:customStyle="1" w:styleId="Appdef0">
    <w:name w:val="App#_def"/>
    <w:basedOn w:val="DefaultParagraphFont"/>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b/>
    </w:rPr>
  </w:style>
  <w:style w:type="character" w:customStyle="1" w:styleId="Resref0">
    <w:name w:val="Res#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fr-FR"/>
    </w:rPr>
  </w:style>
  <w:style w:type="paragraph" w:customStyle="1" w:styleId="AnnexNo">
    <w:name w:val="Annex_No"/>
    <w:basedOn w:val="Normal"/>
    <w:next w:val="Normal"/>
    <w:pPr>
      <w:keepNext/>
      <w:keepLines/>
      <w:tabs>
        <w:tab w:val="clear" w:pos="1134"/>
        <w:tab w:val="clear" w:pos="1871"/>
        <w:tab w:val="clear" w:pos="2268"/>
        <w:tab w:val="left" w:pos="794"/>
        <w:tab w:val="left" w:pos="1191"/>
        <w:tab w:val="left" w:pos="1588"/>
        <w:tab w:val="left" w:pos="1985"/>
      </w:tabs>
      <w:spacing w:before="480" w:after="80"/>
      <w:jc w:val="center"/>
    </w:pPr>
    <w:rPr>
      <w:caps/>
      <w:sz w:val="28"/>
      <w:lang w:val="fr-FR"/>
    </w:rPr>
  </w:style>
  <w:style w:type="paragraph" w:customStyle="1" w:styleId="Annextitle0">
    <w:name w:val="Annex_title"/>
    <w:basedOn w:val="Normal"/>
    <w:next w:val="Normalaftertitle"/>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fr-FR"/>
    </w:rPr>
  </w:style>
  <w:style w:type="paragraph" w:customStyle="1" w:styleId="RecNo">
    <w:name w:val="Rec_No"/>
    <w:basedOn w:val="Normal"/>
    <w:next w:val="Normal"/>
    <w:pPr>
      <w:keepNext/>
      <w:keepLines/>
      <w:tabs>
        <w:tab w:val="clear" w:pos="1134"/>
        <w:tab w:val="clear" w:pos="1871"/>
        <w:tab w:val="clear" w:pos="2268"/>
        <w:tab w:val="left" w:pos="794"/>
        <w:tab w:val="left" w:pos="1191"/>
        <w:tab w:val="left" w:pos="1588"/>
        <w:tab w:val="left" w:pos="1985"/>
      </w:tabs>
      <w:spacing w:before="480"/>
      <w:jc w:val="center"/>
    </w:pPr>
    <w:rPr>
      <w:caps/>
      <w:sz w:val="28"/>
      <w:lang w:val="fr-FR"/>
    </w:rPr>
  </w:style>
  <w:style w:type="paragraph" w:customStyle="1" w:styleId="Equationlegend0">
    <w:name w:val="Equation_legend"/>
    <w:basedOn w:val="NormalIndent"/>
    <w:pPr>
      <w:tabs>
        <w:tab w:val="clear" w:pos="1134"/>
        <w:tab w:val="clear" w:pos="1871"/>
        <w:tab w:val="clear" w:pos="2268"/>
        <w:tab w:val="right" w:pos="1701"/>
        <w:tab w:val="left" w:pos="1985"/>
      </w:tabs>
      <w:spacing w:before="80"/>
      <w:ind w:left="1985" w:hanging="1985"/>
    </w:pPr>
    <w:rPr>
      <w:lang w:val="en-US"/>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styleId="ListParagraph">
    <w:name w:val="List Paragraph"/>
    <w:basedOn w:val="Normal"/>
    <w:uiPriority w:val="34"/>
    <w:qFormat/>
    <w:rsid w:val="00242BDC"/>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character" w:customStyle="1" w:styleId="enumlev1Char">
    <w:name w:val="enumlev1 Char"/>
    <w:basedOn w:val="DefaultParagraphFont"/>
    <w:link w:val="enumlev1"/>
    <w:locked/>
    <w:rsid w:val="00B45729"/>
    <w:rPr>
      <w:sz w:val="24"/>
      <w:lang w:val="en-GB" w:eastAsia="en-US"/>
    </w:rPr>
  </w:style>
  <w:style w:type="character" w:customStyle="1" w:styleId="TabletextChar">
    <w:name w:val="Table_text Char"/>
    <w:basedOn w:val="DefaultParagraphFont"/>
    <w:link w:val="Tabletext0"/>
    <w:locked/>
    <w:rsid w:val="00ED45F5"/>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18.wmf"/><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34.emf"/><Relationship Id="rId89" Type="http://schemas.openxmlformats.org/officeDocument/2006/relationships/header" Target="header4.xml"/><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4.wmf"/><Relationship Id="rId53" Type="http://schemas.openxmlformats.org/officeDocument/2006/relationships/oleObject" Target="embeddings/oleObject25.bin"/><Relationship Id="rId58" Type="http://schemas.openxmlformats.org/officeDocument/2006/relationships/image" Target="media/image22.wmf"/><Relationship Id="rId74" Type="http://schemas.openxmlformats.org/officeDocument/2006/relationships/oleObject" Target="embeddings/oleObject36.bin"/><Relationship Id="rId79" Type="http://schemas.openxmlformats.org/officeDocument/2006/relationships/oleObject" Target="embeddings/oleObject39.bin"/><Relationship Id="rId5" Type="http://schemas.openxmlformats.org/officeDocument/2006/relationships/webSettings" Target="webSettings.xml"/><Relationship Id="rId90" Type="http://schemas.openxmlformats.org/officeDocument/2006/relationships/header" Target="header5.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6.wmf"/><Relationship Id="rId48" Type="http://schemas.openxmlformats.org/officeDocument/2006/relationships/oleObject" Target="embeddings/oleObject21.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header" Target="header1.xml"/><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image" Target="media/image32.wmf"/><Relationship Id="rId85"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image" Target="media/image26.wmf"/><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34.bin"/><Relationship Id="rId75" Type="http://schemas.openxmlformats.org/officeDocument/2006/relationships/image" Target="media/image30.wmf"/><Relationship Id="rId83" Type="http://schemas.openxmlformats.org/officeDocument/2006/relationships/oleObject" Target="embeddings/oleObject41.bin"/><Relationship Id="rId88" Type="http://schemas.openxmlformats.org/officeDocument/2006/relationships/header" Target="header3.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image" Target="media/image1.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1.bin"/><Relationship Id="rId73" Type="http://schemas.openxmlformats.org/officeDocument/2006/relationships/image" Target="media/image29.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2.bin"/><Relationship Id="rId87" Type="http://schemas.openxmlformats.org/officeDocument/2006/relationships/oleObject" Target="embeddings/oleObject43.bin"/><Relationship Id="rId61" Type="http://schemas.openxmlformats.org/officeDocument/2006/relationships/oleObject" Target="embeddings/oleObject29.bin"/><Relationship Id="rId82" Type="http://schemas.openxmlformats.org/officeDocument/2006/relationships/image" Target="media/image33.wmf"/><Relationship Id="rId1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6AFA8-6E0F-490B-B76B-085B2FB5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786</TotalTime>
  <Pages>19</Pages>
  <Words>4794</Words>
  <Characters>27326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32056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B SECB3 du RR</dc:subject>
  <dc:creator>Composition des Publications</dc:creator>
  <cp:keywords>FOLIOS:  1  - 14</cp:keywords>
  <dc:description>Edition 2009:  16.02.2009/DD (dict. ok)</dc:description>
  <cp:lastModifiedBy>Saez Grau, Ricardo</cp:lastModifiedBy>
  <cp:revision>187</cp:revision>
  <cp:lastPrinted>2021-01-05T10:55:00Z</cp:lastPrinted>
  <dcterms:created xsi:type="dcterms:W3CDTF">2012-10-03T07:23:00Z</dcterms:created>
  <dcterms:modified xsi:type="dcterms:W3CDTF">2026-01-29T15:01:00Z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