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2522A" w14:textId="25229B9A" w:rsidR="00770297" w:rsidRPr="00E422EF" w:rsidRDefault="002A0508" w:rsidP="004C01D1">
      <w:pPr>
        <w:pStyle w:val="Heading1"/>
        <w:spacing w:before="300"/>
        <w:ind w:left="0" w:firstLine="0"/>
        <w:jc w:val="center"/>
        <w:rPr>
          <w:color w:val="000000"/>
          <w:highlight w:val="yellow"/>
        </w:rPr>
      </w:pPr>
      <w:r w:rsidRPr="002A0508">
        <w:rPr>
          <w:color w:val="000000"/>
        </w:rPr>
        <w:t>Reglas relativas a la</w:t>
      </w:r>
    </w:p>
    <w:p w14:paraId="0D55D3A8" w14:textId="064275B7" w:rsidR="00FD34E0" w:rsidRPr="002A0508" w:rsidRDefault="002A0508" w:rsidP="00614B7E">
      <w:pPr>
        <w:pStyle w:val="Heading2"/>
        <w:jc w:val="center"/>
        <w:rPr>
          <w:sz w:val="28"/>
          <w:szCs w:val="28"/>
        </w:rPr>
      </w:pPr>
      <w:r w:rsidRPr="002A0508">
        <w:rPr>
          <w:sz w:val="28"/>
          <w:szCs w:val="28"/>
        </w:rPr>
        <w:t xml:space="preserve">RESOLUCIÓN </w:t>
      </w:r>
      <w:r w:rsidR="00FD34E0" w:rsidRPr="002A0508">
        <w:rPr>
          <w:sz w:val="28"/>
          <w:szCs w:val="28"/>
        </w:rPr>
        <w:t>559 (</w:t>
      </w:r>
      <w:r w:rsidRPr="002A0508">
        <w:rPr>
          <w:sz w:val="28"/>
          <w:szCs w:val="28"/>
        </w:rPr>
        <w:t>CMR</w:t>
      </w:r>
      <w:r w:rsidR="00FD34E0" w:rsidRPr="002A0508">
        <w:rPr>
          <w:sz w:val="28"/>
          <w:szCs w:val="28"/>
        </w:rPr>
        <w:t>-19)</w:t>
      </w:r>
    </w:p>
    <w:p w14:paraId="30A5925F" w14:textId="7DF0CD80" w:rsidR="00FD34E0" w:rsidRPr="00E422EF" w:rsidRDefault="002A0508" w:rsidP="00614B7E">
      <w:pPr>
        <w:pStyle w:val="Heading1"/>
        <w:spacing w:before="300"/>
        <w:ind w:left="0" w:firstLine="0"/>
        <w:jc w:val="center"/>
        <w:rPr>
          <w:highlight w:val="yellow"/>
        </w:rPr>
      </w:pPr>
      <w:r w:rsidRPr="002A0508">
        <w:t>Medidas reglamentarias temporales adicionales consecuentes a la supresión de parte del Anexo 7 al Apéndice 30 (Rev.CMR-15) por la CMR-19</w:t>
      </w:r>
    </w:p>
    <w:p w14:paraId="0AF3243F" w14:textId="461F0A7D" w:rsidR="002A0508" w:rsidRPr="002A0508" w:rsidRDefault="002A0508" w:rsidP="002A0508">
      <w:pPr>
        <w:rPr>
          <w:rFonts w:eastAsia="Times New Roman"/>
          <w:lang w:val="es-ES"/>
        </w:rPr>
      </w:pPr>
      <w:r w:rsidRPr="002A0508">
        <w:rPr>
          <w:rFonts w:eastAsia="Times New Roman"/>
          <w:b/>
          <w:lang w:val="es-ES"/>
        </w:rPr>
        <w:t>Nota</w:t>
      </w:r>
      <w:r w:rsidRPr="002A0508">
        <w:rPr>
          <w:rFonts w:eastAsia="Times New Roman"/>
          <w:bCs/>
          <w:lang w:val="es-ES"/>
        </w:rPr>
        <w:t xml:space="preserve">: </w:t>
      </w:r>
      <w:r w:rsidRPr="002A0508">
        <w:rPr>
          <w:rFonts w:eastAsia="Times New Roman"/>
          <w:lang w:val="es-ES"/>
        </w:rPr>
        <w:t>La CMR</w:t>
      </w:r>
      <w:r w:rsidRPr="002A0508">
        <w:rPr>
          <w:rFonts w:eastAsia="Times New Roman"/>
          <w:lang w:val="es-ES"/>
        </w:rPr>
        <w:noBreakHyphen/>
        <w:t>23 adoptó la siguiente decisión relativa a las cuestiones relacionadas con la aplicación de la Resolución </w:t>
      </w:r>
      <w:r w:rsidRPr="002A0508">
        <w:rPr>
          <w:rFonts w:eastAsia="Times New Roman"/>
          <w:b/>
          <w:lang w:val="es-ES"/>
        </w:rPr>
        <w:t>559 (CMR</w:t>
      </w:r>
      <w:r w:rsidRPr="002A0508">
        <w:rPr>
          <w:rFonts w:eastAsia="Times New Roman"/>
          <w:b/>
          <w:bCs/>
          <w:i/>
          <w:iCs/>
          <w:lang w:val="es-ES"/>
        </w:rPr>
        <w:noBreakHyphen/>
      </w:r>
      <w:r w:rsidRPr="002A0508">
        <w:rPr>
          <w:rFonts w:eastAsia="Times New Roman"/>
          <w:b/>
          <w:lang w:val="es-ES"/>
        </w:rPr>
        <w:t>19)</w:t>
      </w:r>
      <w:r w:rsidRPr="002A0508">
        <w:rPr>
          <w:rFonts w:eastAsia="Times New Roman"/>
          <w:lang w:val="es-ES"/>
        </w:rPr>
        <w:t>, véase el punto 13.2 de las Actas de la 13ª</w:t>
      </w:r>
      <w:r w:rsidRPr="002A0508">
        <w:rPr>
          <w:rFonts w:eastAsia="Times New Roman"/>
          <w:i/>
          <w:iCs/>
          <w:lang w:val="es-ES"/>
        </w:rPr>
        <w:t> </w:t>
      </w:r>
      <w:r w:rsidRPr="002A0508">
        <w:rPr>
          <w:rFonts w:eastAsia="Times New Roman"/>
          <w:lang w:val="es-ES"/>
        </w:rPr>
        <w:t>Sesión Plenaria, Doc. </w:t>
      </w:r>
      <w:hyperlink r:id="rId8" w:history="1">
        <w:r w:rsidRPr="002A0508">
          <w:rPr>
            <w:rFonts w:eastAsia="Times New Roman"/>
            <w:color w:val="0000FF" w:themeColor="hyperlink"/>
            <w:u w:val="single"/>
            <w:lang w:val="es-ES"/>
          </w:rPr>
          <w:t>CMR23/528</w:t>
        </w:r>
      </w:hyperlink>
      <w:r w:rsidRPr="002A0508">
        <w:rPr>
          <w:rFonts w:eastAsia="Times New Roman"/>
          <w:lang w:val="es-ES"/>
        </w:rPr>
        <w:t>:</w:t>
      </w:r>
    </w:p>
    <w:p w14:paraId="2CC22EA0" w14:textId="77777777" w:rsidR="002A0508" w:rsidRPr="002A0508" w:rsidRDefault="002A0508" w:rsidP="002A0508">
      <w:pPr>
        <w:spacing w:before="120"/>
        <w:rPr>
          <w:rFonts w:eastAsia="Times New Roman"/>
          <w:i/>
          <w:iCs/>
          <w:lang w:val="es-ES"/>
        </w:rPr>
      </w:pPr>
      <w:r w:rsidRPr="002A0508">
        <w:rPr>
          <w:rFonts w:eastAsia="Times New Roman"/>
          <w:i/>
          <w:iCs/>
          <w:lang w:val="es-ES"/>
        </w:rPr>
        <w:t>«Al examinar la sección 4.2 del Informe "Cuestiones relacionadas con la aplicación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la CMR</w:t>
      </w:r>
      <w:r w:rsidRPr="002A0508">
        <w:rPr>
          <w:rFonts w:eastAsia="Times New Roman"/>
          <w:i/>
          <w:iCs/>
          <w:lang w:val="es-ES"/>
        </w:rPr>
        <w:noBreakHyphen/>
        <w:t>23 consideró también el Documento 87(Add.26)(Add.2). Además de aprobar todas las medidas adicionales propuestas por la Junta para la aplicación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este documento contenía medidas adicionales propuestas para la aprobación de esta CMR a fin de facilitar la resolución de los casos de coordinación pendientes, como se indica a continuación:</w:t>
      </w:r>
    </w:p>
    <w:p w14:paraId="30836A45" w14:textId="77777777" w:rsidR="002A0508" w:rsidRPr="002A0508" w:rsidRDefault="002A0508" w:rsidP="002A0508">
      <w:pPr>
        <w:spacing w:before="120"/>
        <w:rPr>
          <w:rFonts w:eastAsia="Times New Roman"/>
          <w:i/>
          <w:iCs/>
          <w:lang w:val="es-ES"/>
        </w:rPr>
      </w:pPr>
      <w:r w:rsidRPr="002A0508">
        <w:rPr>
          <w:rFonts w:eastAsia="Times New Roman"/>
          <w:i/>
          <w:iCs/>
          <w:lang w:val="es-ES"/>
        </w:rPr>
        <w:t>1</w:t>
      </w:r>
      <w:r w:rsidRPr="002A0508">
        <w:rPr>
          <w:rFonts w:eastAsia="Times New Roman"/>
          <w:i/>
          <w:iCs/>
          <w:lang w:val="es-ES"/>
        </w:rPr>
        <w:tab/>
        <w:t>Respecto de los casos de coordinación restantes con arreglo al § 4.1.1 b) del Apéndice </w:t>
      </w:r>
      <w:r w:rsidRPr="002A0508">
        <w:rPr>
          <w:rFonts w:eastAsia="Times New Roman"/>
          <w:b/>
          <w:bCs/>
          <w:i/>
          <w:iCs/>
          <w:lang w:val="es-ES"/>
        </w:rPr>
        <w:t>30</w:t>
      </w:r>
      <w:r w:rsidRPr="002A0508">
        <w:rPr>
          <w:rFonts w:eastAsia="Times New Roman"/>
          <w:i/>
          <w:iCs/>
          <w:lang w:val="es-ES"/>
        </w:rPr>
        <w:t xml:space="preserve"> del RR, la CMR-23 aprobó las siguientes medidas:</w:t>
      </w:r>
    </w:p>
    <w:p w14:paraId="3C90B11C" w14:textId="77777777" w:rsidR="002A0508" w:rsidRPr="002A0508" w:rsidRDefault="002A0508" w:rsidP="002A0508">
      <w:pPr>
        <w:tabs>
          <w:tab w:val="clear" w:pos="2268"/>
          <w:tab w:val="left" w:pos="907"/>
          <w:tab w:val="left" w:pos="2608"/>
          <w:tab w:val="left" w:pos="3345"/>
        </w:tabs>
        <w:spacing w:before="80"/>
        <w:ind w:left="908" w:hanging="454"/>
        <w:rPr>
          <w:rFonts w:eastAsia="Times New Roman"/>
          <w:i/>
          <w:iCs/>
          <w:lang w:val="es-ES"/>
        </w:rPr>
      </w:pPr>
      <w:r w:rsidRPr="002A0508">
        <w:rPr>
          <w:rFonts w:eastAsia="Times New Roman"/>
          <w:i/>
          <w:iCs/>
          <w:lang w:val="es-ES"/>
        </w:rPr>
        <w:t>a)</w:t>
      </w:r>
      <w:r w:rsidRPr="002A0508">
        <w:rPr>
          <w:rFonts w:eastAsia="Times New Roman"/>
          <w:i/>
          <w:iCs/>
          <w:lang w:val="es-ES"/>
        </w:rPr>
        <w:tab/>
        <w:t>la administración notificante de utilizaciones adicionales (asignaciones en la Lista o redes pendientes en relación con el Artículo 4) aceptará la posible interferencia producida a sus puntos de prueba situados dentro del contorno de ganancia de antena de −3 dB en relación con la notificación de que se trate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habida cuenta de que la elipse sea la mínima validada por la Oficina;</w:t>
      </w:r>
    </w:p>
    <w:p w14:paraId="15E7430F" w14:textId="77777777" w:rsidR="002A0508" w:rsidRPr="002A0508" w:rsidRDefault="002A0508" w:rsidP="002A0508">
      <w:pPr>
        <w:tabs>
          <w:tab w:val="clear" w:pos="2268"/>
          <w:tab w:val="left" w:pos="907"/>
          <w:tab w:val="left" w:pos="2608"/>
          <w:tab w:val="left" w:pos="3345"/>
        </w:tabs>
        <w:spacing w:before="80"/>
        <w:ind w:left="908" w:hanging="454"/>
        <w:rPr>
          <w:rFonts w:eastAsia="Times New Roman"/>
          <w:i/>
          <w:iCs/>
          <w:lang w:val="es-ES"/>
        </w:rPr>
      </w:pPr>
      <w:r w:rsidRPr="002A0508">
        <w:rPr>
          <w:rFonts w:eastAsia="Times New Roman"/>
          <w:i/>
          <w:iCs/>
          <w:lang w:val="es-ES"/>
        </w:rPr>
        <w:t>b)</w:t>
      </w:r>
      <w:r w:rsidRPr="002A0508">
        <w:rPr>
          <w:rFonts w:eastAsia="Times New Roman"/>
          <w:i/>
          <w:iCs/>
          <w:lang w:val="es-ES"/>
        </w:rPr>
        <w:tab/>
        <w:t>la administración notificante de utilizaciones adicionales (asignaciones en la Lista o redes pendientes en relación con el Artículo 4) aceptará la posible interferencia producida a sus puntos de prueba situados más allá del contorno de ganancia de antena de −20 dB en relación con la notificación de que se trate en el marco de la Resolución</w:t>
      </w:r>
      <w:r w:rsidRPr="002A0508">
        <w:rPr>
          <w:rFonts w:eastAsia="Times New Roman"/>
          <w:b/>
          <w:bCs/>
          <w:i/>
          <w:iCs/>
          <w:lang w:val="es-ES"/>
        </w:rPr>
        <w:t> 559 (CMR</w:t>
      </w:r>
      <w:r w:rsidRPr="002A0508">
        <w:rPr>
          <w:rFonts w:eastAsia="Times New Roman"/>
          <w:b/>
          <w:bCs/>
          <w:i/>
          <w:iCs/>
          <w:lang w:val="es-ES"/>
        </w:rPr>
        <w:noBreakHyphen/>
        <w:t>19)</w:t>
      </w:r>
      <w:r w:rsidRPr="002A0508">
        <w:rPr>
          <w:rFonts w:eastAsia="Times New Roman"/>
          <w:i/>
          <w:iCs/>
          <w:lang w:val="es-ES"/>
        </w:rPr>
        <w:t>;</w:t>
      </w:r>
    </w:p>
    <w:p w14:paraId="64045FA7" w14:textId="77777777" w:rsidR="002A0508" w:rsidRPr="002A0508" w:rsidRDefault="002A0508" w:rsidP="002A0508">
      <w:pPr>
        <w:tabs>
          <w:tab w:val="clear" w:pos="2268"/>
          <w:tab w:val="left" w:pos="907"/>
          <w:tab w:val="left" w:pos="2608"/>
          <w:tab w:val="left" w:pos="3345"/>
        </w:tabs>
        <w:spacing w:before="80"/>
        <w:ind w:left="908" w:hanging="454"/>
        <w:rPr>
          <w:rFonts w:eastAsia="Times New Roman"/>
          <w:i/>
          <w:iCs/>
          <w:lang w:val="es-ES"/>
        </w:rPr>
      </w:pPr>
      <w:r w:rsidRPr="002A0508">
        <w:rPr>
          <w:rFonts w:eastAsia="Times New Roman"/>
          <w:i/>
          <w:iCs/>
          <w:lang w:val="es-ES"/>
        </w:rPr>
        <w:t>c)</w:t>
      </w:r>
      <w:r w:rsidRPr="002A0508">
        <w:rPr>
          <w:rFonts w:eastAsia="Times New Roman"/>
          <w:i/>
          <w:iCs/>
          <w:lang w:val="es-ES"/>
        </w:rPr>
        <w:tab/>
        <w:t>si el margen de protección equivalente (MPE) de un punto de prueba de una red de utilización adicional es inferior a −10 dB en el momento en que la Oficina examine la Parte A de las notificaciones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la Oficina no deberá tener en cuenta dicho punto de prueba al examinar las conclusiones relativas a la notificación de que se trate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w:t>
      </w:r>
    </w:p>
    <w:p w14:paraId="16D67545" w14:textId="0FE1F176" w:rsidR="002A0508" w:rsidRPr="002A0508" w:rsidRDefault="002A0508" w:rsidP="002A0508">
      <w:pPr>
        <w:tabs>
          <w:tab w:val="clear" w:pos="2268"/>
          <w:tab w:val="left" w:pos="907"/>
          <w:tab w:val="left" w:pos="2608"/>
          <w:tab w:val="left" w:pos="3345"/>
        </w:tabs>
        <w:spacing w:before="80"/>
        <w:ind w:left="908" w:hanging="454"/>
        <w:rPr>
          <w:rFonts w:eastAsia="Times New Roman"/>
          <w:i/>
          <w:iCs/>
          <w:lang w:val="es-ES"/>
        </w:rPr>
      </w:pPr>
      <w:r w:rsidRPr="002A0508">
        <w:rPr>
          <w:rFonts w:eastAsia="Times New Roman"/>
          <w:i/>
          <w:iCs/>
          <w:lang w:val="es-ES"/>
        </w:rPr>
        <w:t>d)</w:t>
      </w:r>
      <w:r w:rsidRPr="002A0508">
        <w:rPr>
          <w:rFonts w:eastAsia="Times New Roman"/>
          <w:i/>
          <w:iCs/>
          <w:lang w:val="es-ES"/>
        </w:rPr>
        <w:tab/>
        <w:t xml:space="preserve">se considerará que una coordinación se ha llevado a cabo satisfactoriamente si la separación orbital nominal entre la relativa a una notificación en el marco de la </w:t>
      </w:r>
      <w:r w:rsidR="003C04F5" w:rsidRPr="002A0508">
        <w:rPr>
          <w:rFonts w:eastAsia="Times New Roman"/>
          <w:i/>
          <w:iCs/>
          <w:lang w:val="es-ES"/>
        </w:rPr>
        <w:t>Resolución </w:t>
      </w:r>
      <w:r w:rsidR="003C04F5" w:rsidRPr="002A0508">
        <w:rPr>
          <w:rFonts w:eastAsia="Times New Roman"/>
          <w:b/>
          <w:bCs/>
          <w:i/>
          <w:iCs/>
          <w:lang w:val="es-ES"/>
        </w:rPr>
        <w:t>559 (CMR</w:t>
      </w:r>
      <w:r w:rsidR="003C04F5" w:rsidRPr="002A0508">
        <w:rPr>
          <w:rFonts w:eastAsia="Times New Roman"/>
          <w:b/>
          <w:bCs/>
          <w:i/>
          <w:iCs/>
          <w:lang w:val="es-ES"/>
        </w:rPr>
        <w:noBreakHyphen/>
        <w:t>19)</w:t>
      </w:r>
      <w:r w:rsidRPr="002A0508">
        <w:rPr>
          <w:rFonts w:eastAsia="Times New Roman"/>
          <w:i/>
          <w:iCs/>
          <w:lang w:val="es-ES"/>
        </w:rPr>
        <w:t xml:space="preserve"> y la relativa a una red de utilización adicional es igual o superior a 6 grados.</w:t>
      </w:r>
    </w:p>
    <w:p w14:paraId="3C5D8540" w14:textId="77777777" w:rsidR="002A0508" w:rsidRPr="002A0508" w:rsidRDefault="002A0508" w:rsidP="002A0508">
      <w:pPr>
        <w:spacing w:before="120"/>
        <w:rPr>
          <w:rFonts w:eastAsia="Times New Roman"/>
          <w:i/>
          <w:iCs/>
          <w:lang w:val="es-ES"/>
        </w:rPr>
      </w:pPr>
      <w:r w:rsidRPr="002A0508">
        <w:rPr>
          <w:rFonts w:eastAsia="Times New Roman"/>
          <w:i/>
          <w:iCs/>
          <w:lang w:val="es-ES"/>
        </w:rPr>
        <w:t>2</w:t>
      </w:r>
      <w:r w:rsidRPr="002A0508">
        <w:rPr>
          <w:rFonts w:eastAsia="Times New Roman"/>
          <w:i/>
          <w:iCs/>
          <w:lang w:val="es-ES"/>
        </w:rPr>
        <w:tab/>
        <w:t>Con respecto a los demás casos de coordinación con arreglo al § 4.1.1 e) del Apéndice </w:t>
      </w:r>
      <w:r w:rsidRPr="002A0508">
        <w:rPr>
          <w:rFonts w:eastAsia="Times New Roman"/>
          <w:b/>
          <w:bCs/>
          <w:i/>
          <w:iCs/>
          <w:lang w:val="es-ES"/>
        </w:rPr>
        <w:t>30</w:t>
      </w:r>
      <w:r w:rsidRPr="002A0508">
        <w:rPr>
          <w:rFonts w:eastAsia="Times New Roman"/>
          <w:i/>
          <w:iCs/>
          <w:lang w:val="es-ES"/>
        </w:rPr>
        <w:t xml:space="preserve"> del RR, la CMR-23 aprobó las siguientes medidas:</w:t>
      </w:r>
    </w:p>
    <w:p w14:paraId="2DF2DFFA" w14:textId="2FE22558" w:rsidR="00AE06CC" w:rsidRPr="00E422EF" w:rsidRDefault="002A0508" w:rsidP="002A0508">
      <w:pPr>
        <w:tabs>
          <w:tab w:val="clear" w:pos="2268"/>
          <w:tab w:val="left" w:pos="907"/>
          <w:tab w:val="left" w:pos="2608"/>
          <w:tab w:val="left" w:pos="3345"/>
        </w:tabs>
        <w:spacing w:before="120"/>
        <w:ind w:left="908" w:hanging="454"/>
        <w:rPr>
          <w:i/>
          <w:iCs/>
          <w:highlight w:val="yellow"/>
        </w:rPr>
      </w:pPr>
      <w:r w:rsidRPr="002A0508">
        <w:rPr>
          <w:rFonts w:eastAsia="Times New Roman"/>
          <w:i/>
          <w:iCs/>
          <w:lang w:val="es-ES"/>
        </w:rPr>
        <w:t>a)</w:t>
      </w:r>
      <w:r w:rsidRPr="002A0508">
        <w:rPr>
          <w:rFonts w:eastAsia="Times New Roman"/>
          <w:i/>
          <w:iCs/>
          <w:lang w:val="es-ES"/>
        </w:rPr>
        <w:tab/>
        <w:t>se considerará que una coordinación se ha llevado a cabo satisfactoriamente si la separación orbital nominal entre la relativa a una notificación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y la relativa a una red de satélites en bandas no planificadas es igual o superior a 6 grados;</w:t>
      </w:r>
      <w:r w:rsidR="00AE06CC" w:rsidRPr="00E422EF">
        <w:rPr>
          <w:i/>
          <w:iCs/>
          <w:highlight w:val="yellow"/>
        </w:rPr>
        <w:br w:type="page"/>
      </w:r>
    </w:p>
    <w:p w14:paraId="6A51D468"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lastRenderedPageBreak/>
        <w:t>b)</w:t>
      </w:r>
      <w:r w:rsidRPr="002A0508">
        <w:rPr>
          <w:rFonts w:eastAsia="Times New Roman"/>
          <w:i/>
          <w:iCs/>
          <w:lang w:val="es-ES"/>
        </w:rPr>
        <w:tab/>
        <w:t>la zona de servicio de una red de satélites en bandas no planificadas que ha de tenerse en cuenta deberá estar en tierra y situada dentro del contorno de ganancia de antena de −3 dB de dicha red de satélites en bandas no planificadas, en lugar de la zona de servicio notificada, que puede incluir la zona con un contorno de ganancia de antena relativa muy baja. Cabe señalar que la red de satélites en bandas no planificadas sólo protege las notificaciones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en una zona de servicio en tierra situada dentro de su contorno de ganancia de antena de −3 dB;</w:t>
      </w:r>
    </w:p>
    <w:p w14:paraId="604E7B43"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c)</w:t>
      </w:r>
      <w:r w:rsidRPr="002A0508">
        <w:rPr>
          <w:rFonts w:eastAsia="Times New Roman"/>
          <w:i/>
          <w:iCs/>
          <w:lang w:val="es-ES"/>
        </w:rPr>
        <w:tab/>
        <w:t>si una administración acuerda no proteger una zona situada en su territorio nacional, en la que se rebasa el límite de densidad de flujo de potencia (dfp), la Oficina no tendrá en cuenta esa parte de la zona de servicio al examinar los demás requisitos de coordinación relativos a una notificación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w:t>
      </w:r>
    </w:p>
    <w:p w14:paraId="3DDB9F3E"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szCs w:val="24"/>
          <w:lang w:val="es-ES"/>
        </w:rPr>
      </w:pPr>
      <w:r w:rsidRPr="002A0508">
        <w:rPr>
          <w:rFonts w:eastAsia="Times New Roman"/>
          <w:i/>
          <w:iCs/>
          <w:lang w:val="es-ES"/>
        </w:rPr>
        <w:t>d)</w:t>
      </w:r>
      <w:r w:rsidRPr="002A0508">
        <w:rPr>
          <w:rFonts w:eastAsia="Times New Roman"/>
          <w:i/>
          <w:iCs/>
          <w:lang w:val="es-ES"/>
        </w:rPr>
        <w:tab/>
        <w:t>la administración notificante de una red de satélite en bandas no planificadas aceptará la posible interferencia producida en su zona de servicio situada más allá del contorno de ganancia de antena de −20 dB, en relación con la notificación de que se trate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w:t>
      </w:r>
    </w:p>
    <w:p w14:paraId="2D78E890" w14:textId="77777777" w:rsidR="002A0508" w:rsidRPr="002A0508" w:rsidRDefault="002A0508" w:rsidP="002A0508">
      <w:pPr>
        <w:rPr>
          <w:rFonts w:eastAsia="Times New Roman"/>
          <w:i/>
          <w:iCs/>
          <w:lang w:val="es-ES"/>
        </w:rPr>
      </w:pPr>
      <w:r w:rsidRPr="002A0508">
        <w:rPr>
          <w:rFonts w:eastAsia="Times New Roman"/>
          <w:i/>
          <w:iCs/>
          <w:lang w:val="es-ES"/>
        </w:rPr>
        <w:t>3</w:t>
      </w:r>
      <w:r w:rsidRPr="002A0508">
        <w:rPr>
          <w:rFonts w:eastAsia="Times New Roman"/>
          <w:i/>
          <w:iCs/>
          <w:lang w:val="es-ES"/>
        </w:rPr>
        <w:tab/>
        <w:t>Con respecto a los demás casos de coordinación restantes en virtud del número 4.1.1 b) del Apéndice </w:t>
      </w:r>
      <w:r w:rsidRPr="002A0508">
        <w:rPr>
          <w:rFonts w:eastAsia="Times New Roman"/>
          <w:b/>
          <w:bCs/>
          <w:i/>
          <w:iCs/>
          <w:lang w:val="es-ES"/>
        </w:rPr>
        <w:t>30A</w:t>
      </w:r>
      <w:r w:rsidRPr="002A0508">
        <w:rPr>
          <w:rFonts w:eastAsia="Times New Roman"/>
          <w:i/>
          <w:iCs/>
          <w:lang w:val="es-ES"/>
        </w:rPr>
        <w:t xml:space="preserve"> del RR, la CMR-23 aprobó que dichos casos de coordinación se consideren concluidos por los siguientes motivos:</w:t>
      </w:r>
    </w:p>
    <w:p w14:paraId="127EAA64"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a)</w:t>
      </w:r>
      <w:r w:rsidRPr="002A0508">
        <w:rPr>
          <w:rFonts w:eastAsia="Times New Roman"/>
          <w:i/>
          <w:iCs/>
          <w:lang w:val="es-ES"/>
        </w:rPr>
        <w:tab/>
        <w:t>las redes de satélites que se rigen por lo dispuesto en el Artículo 4 poseen una cobertura muy amplia y gran sensibilidad de recepción en el territorio nacional de la administración de que se trate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w:t>
      </w:r>
    </w:p>
    <w:p w14:paraId="205B7C25"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b)</w:t>
      </w:r>
      <w:r w:rsidRPr="002A0508">
        <w:rPr>
          <w:rFonts w:eastAsia="Times New Roman"/>
          <w:i/>
          <w:iCs/>
          <w:lang w:val="es-ES"/>
        </w:rPr>
        <w:tab/>
        <w:t>las zonas de cobertura de esas redes de satélites que se rigen por lo dispuesto en el Artículo 4 se extienden mucho más allá del territorio nacional de las administraciones notificantes, al tiempo que las estaciones terrenas de enlaces de conexión relativas a la notificación de que se trate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únicamente se encuentran en el territorio nacional; en este caso, la cobertura no puede reducirse;</w:t>
      </w:r>
    </w:p>
    <w:p w14:paraId="70B66BA8"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c)</w:t>
      </w:r>
      <w:r w:rsidRPr="002A0508">
        <w:rPr>
          <w:rFonts w:eastAsia="Times New Roman"/>
          <w:i/>
          <w:iCs/>
          <w:lang w:val="es-ES"/>
        </w:rPr>
        <w:tab/>
        <w:t>lo dispuesto en el objetivo de la Resolución </w:t>
      </w:r>
      <w:r w:rsidRPr="002A0508">
        <w:rPr>
          <w:rFonts w:eastAsia="Times New Roman"/>
          <w:b/>
          <w:bCs/>
          <w:i/>
          <w:iCs/>
          <w:lang w:val="es-ES"/>
        </w:rPr>
        <w:t>2 (Rev.CMR-03)</w:t>
      </w:r>
      <w:r w:rsidRPr="002A0508">
        <w:rPr>
          <w:rFonts w:eastAsia="Times New Roman"/>
          <w:i/>
          <w:iCs/>
          <w:lang w:val="es-ES"/>
        </w:rPr>
        <w:t xml:space="preserve"> y del Tema F del punto 7 del orden del día de la CMR-23.</w:t>
      </w:r>
    </w:p>
    <w:p w14:paraId="214D1288" w14:textId="77777777" w:rsidR="002A0508" w:rsidRPr="002A0508" w:rsidRDefault="002A0508" w:rsidP="002A0508">
      <w:pPr>
        <w:rPr>
          <w:rFonts w:eastAsia="Times New Roman"/>
          <w:i/>
          <w:iCs/>
          <w:lang w:val="es-ES"/>
        </w:rPr>
      </w:pPr>
      <w:r w:rsidRPr="002A0508">
        <w:rPr>
          <w:rFonts w:eastAsia="Times New Roman"/>
          <w:i/>
          <w:iCs/>
          <w:lang w:val="es-ES"/>
        </w:rPr>
        <w:t>4</w:t>
      </w:r>
      <w:r w:rsidRPr="002A0508">
        <w:rPr>
          <w:rFonts w:eastAsia="Times New Roman"/>
          <w:i/>
          <w:iCs/>
          <w:lang w:val="es-ES"/>
        </w:rPr>
        <w:tab/>
        <w:t>Con respecto a los demás casos de coordinación en virtud del número 4.1.1 a) de los Apéndices </w:t>
      </w:r>
      <w:r w:rsidRPr="002A0508">
        <w:rPr>
          <w:rFonts w:eastAsia="Times New Roman"/>
          <w:b/>
          <w:bCs/>
          <w:i/>
          <w:iCs/>
          <w:lang w:val="es-ES"/>
        </w:rPr>
        <w:t>30</w:t>
      </w:r>
      <w:r w:rsidRPr="002A0508">
        <w:rPr>
          <w:rFonts w:eastAsia="Times New Roman"/>
          <w:i/>
          <w:iCs/>
          <w:lang w:val="es-ES"/>
        </w:rPr>
        <w:t xml:space="preserve"> y </w:t>
      </w:r>
      <w:r w:rsidRPr="002A0508">
        <w:rPr>
          <w:rFonts w:eastAsia="Times New Roman"/>
          <w:b/>
          <w:bCs/>
          <w:i/>
          <w:iCs/>
          <w:lang w:val="es-ES"/>
        </w:rPr>
        <w:t>30A</w:t>
      </w:r>
      <w:r w:rsidRPr="002A0508">
        <w:rPr>
          <w:rFonts w:eastAsia="Times New Roman"/>
          <w:i/>
          <w:iCs/>
          <w:lang w:val="es-ES"/>
        </w:rPr>
        <w:t xml:space="preserve"> del RR, la CMR-23 aprobó las siguientes medidas:</w:t>
      </w:r>
    </w:p>
    <w:p w14:paraId="24CCA0AF"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a)</w:t>
      </w:r>
      <w:r w:rsidRPr="002A0508">
        <w:rPr>
          <w:rFonts w:eastAsia="Times New Roman"/>
          <w:i/>
          <w:iCs/>
          <w:lang w:val="es-ES"/>
        </w:rPr>
        <w:tab/>
        <w:t>en el caso de asignaciones multihaz al Plan, si los valores de C/I de una sola fuente para el enlace descendente rebasan 21 dB, excepto para un punto de prueba en el que dicho valor de C/I de una sola fuente es superior a 18 dB, las notificaciones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y las correspondientes asignaciones de frecuencias del Plan para las Regiones 1 y 3 se consideran compatibles. En relación con estos casos compatibles, a fin de conservar el mismo nivel de protección de las asignaciones de frecuencias del Plan para las Regiones 1 y 3 correspondientes a las notificaciones recibidas con arreglo al Artículo 4, no deberá actualizarse la situación de referencia de esas asignaciones de frecuencias del Plan para las Regiones 1 y 3 si las asignaciones de frecuencias en el marco de la Resolución </w:t>
      </w:r>
      <w:r w:rsidRPr="002A0508">
        <w:rPr>
          <w:rFonts w:eastAsia="Times New Roman"/>
          <w:b/>
          <w:bCs/>
          <w:i/>
          <w:iCs/>
          <w:lang w:val="es-ES"/>
        </w:rPr>
        <w:t>559 (CMR-19)</w:t>
      </w:r>
      <w:r w:rsidRPr="002A0508">
        <w:rPr>
          <w:rFonts w:eastAsia="Times New Roman"/>
          <w:i/>
          <w:iCs/>
          <w:lang w:val="es-ES"/>
        </w:rPr>
        <w:t xml:space="preserve"> que figuran en la Lista se incluyen en los Planes;</w:t>
      </w:r>
    </w:p>
    <w:p w14:paraId="7B664FE8" w14:textId="77777777" w:rsidR="00AE06CC" w:rsidRPr="00E422EF" w:rsidRDefault="00AE06CC" w:rsidP="00AE06CC">
      <w:pPr>
        <w:pStyle w:val="enumlev1"/>
        <w:rPr>
          <w:i/>
          <w:iCs/>
          <w:highlight w:val="yellow"/>
        </w:rPr>
      </w:pPr>
      <w:r w:rsidRPr="00E422EF">
        <w:rPr>
          <w:i/>
          <w:iCs/>
          <w:highlight w:val="yellow"/>
        </w:rPr>
        <w:br w:type="page"/>
      </w:r>
    </w:p>
    <w:p w14:paraId="38DEAF6F"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szCs w:val="24"/>
          <w:lang w:val="es-ES"/>
        </w:rPr>
      </w:pPr>
      <w:r w:rsidRPr="002A0508">
        <w:rPr>
          <w:rFonts w:eastAsia="Times New Roman"/>
          <w:i/>
          <w:iCs/>
          <w:lang w:val="es-ES"/>
        </w:rPr>
        <w:lastRenderedPageBreak/>
        <w:t>b)</w:t>
      </w:r>
      <w:r w:rsidRPr="002A0508">
        <w:rPr>
          <w:rFonts w:eastAsia="Times New Roman"/>
          <w:i/>
          <w:iCs/>
          <w:lang w:val="es-ES"/>
        </w:rPr>
        <w:tab/>
        <w:t>en el caso de asignaciones multihaz al Plan, si los valores de C/I de una sola fuente del enlace de conexión rebasan 27 dB, las notificaciones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y las correspondientes asignaciones de frecuencias al Plan para las Regiones 1 y 3 se consideran compatibles. En relación con estos casos compatibles, a fin de conservar el mismo nivel de protección de las asignaciones de frecuencias del Plan para las Regiones 1 y 3 correspondientes a las notificaciones recibidas con arreglo al Artículo 4, no deberá actualizarse la situación de referencia de esas asignaciones de frecuencias del Plan para las Regiones 1 y 3 si las asignaciones de frecuencias en el marco de la Resolución </w:t>
      </w:r>
      <w:r w:rsidRPr="002A0508">
        <w:rPr>
          <w:rFonts w:eastAsia="Times New Roman"/>
          <w:b/>
          <w:bCs/>
          <w:i/>
          <w:iCs/>
          <w:lang w:val="es-ES"/>
        </w:rPr>
        <w:t>559 (CMR</w:t>
      </w:r>
      <w:r w:rsidRPr="002A0508">
        <w:rPr>
          <w:rFonts w:eastAsia="Times New Roman"/>
          <w:b/>
          <w:bCs/>
          <w:i/>
          <w:iCs/>
          <w:lang w:val="es-ES"/>
        </w:rPr>
        <w:noBreakHyphen/>
        <w:t>19)</w:t>
      </w:r>
      <w:r w:rsidRPr="002A0508">
        <w:rPr>
          <w:rFonts w:eastAsia="Times New Roman"/>
          <w:i/>
          <w:iCs/>
          <w:lang w:val="es-ES"/>
        </w:rPr>
        <w:t xml:space="preserve"> que figuran en la Lista se incluyen en los Planes.</w:t>
      </w:r>
    </w:p>
    <w:p w14:paraId="51FCF5C3" w14:textId="77777777" w:rsidR="002A0508" w:rsidRPr="002A0508" w:rsidRDefault="002A0508" w:rsidP="002A0508">
      <w:pPr>
        <w:rPr>
          <w:rFonts w:eastAsia="Times New Roman"/>
          <w:i/>
          <w:iCs/>
          <w:lang w:val="es-ES"/>
        </w:rPr>
      </w:pPr>
      <w:r w:rsidRPr="002A0508">
        <w:rPr>
          <w:rFonts w:eastAsia="Times New Roman"/>
          <w:i/>
          <w:iCs/>
          <w:lang w:val="es-ES"/>
        </w:rPr>
        <w:t>5</w:t>
      </w:r>
      <w:r w:rsidRPr="002A0508">
        <w:rPr>
          <w:rFonts w:eastAsia="Times New Roman"/>
          <w:i/>
          <w:iCs/>
          <w:lang w:val="es-ES"/>
        </w:rPr>
        <w:tab/>
        <w:t>Se encarga a la Oficina que realice lo siguiente:</w:t>
      </w:r>
    </w:p>
    <w:p w14:paraId="706D1BC5" w14:textId="77777777"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a)</w:t>
      </w:r>
      <w:r w:rsidRPr="002A0508">
        <w:rPr>
          <w:rFonts w:eastAsia="Times New Roman"/>
          <w:i/>
          <w:iCs/>
          <w:lang w:val="es-ES"/>
        </w:rPr>
        <w:tab/>
        <w:t>examinar la situación de los demás casos de coordinación sobre la base de todas las propuestas anteriormente mencionadas, incluidas las de la RRB y la BR. A este respecto, para los demás casos de coordinación con arreglo al número 4.1.1 b) del Apéndice </w:t>
      </w:r>
      <w:r w:rsidRPr="002A0508">
        <w:rPr>
          <w:rFonts w:eastAsia="Times New Roman"/>
          <w:b/>
          <w:bCs/>
          <w:i/>
          <w:iCs/>
          <w:lang w:val="es-ES"/>
        </w:rPr>
        <w:t>30</w:t>
      </w:r>
      <w:r w:rsidRPr="002A0508">
        <w:rPr>
          <w:rFonts w:eastAsia="Times New Roman"/>
          <w:i/>
          <w:iCs/>
          <w:lang w:val="es-ES"/>
        </w:rPr>
        <w:t xml:space="preserve"> del RR, si tras tener en cuenta todas las propuestas mencionadas sólo queda un punto de prueba posiblemente afectado, se considerará que la coordinación se ha llevado a cabo respecto de las asignaciones afectadas introducidas en la Lista el 1 de enero de 2017 o después de esta fecha;</w:t>
      </w:r>
    </w:p>
    <w:p w14:paraId="24CF3DEB" w14:textId="0FEB7EA9" w:rsidR="002A0508" w:rsidRPr="002A0508" w:rsidRDefault="002A0508" w:rsidP="002A0508">
      <w:pPr>
        <w:tabs>
          <w:tab w:val="clear" w:pos="2268"/>
          <w:tab w:val="left" w:pos="907"/>
          <w:tab w:val="left" w:pos="2608"/>
          <w:tab w:val="left" w:pos="3345"/>
        </w:tabs>
        <w:spacing w:before="120"/>
        <w:ind w:left="908" w:hanging="454"/>
        <w:rPr>
          <w:rFonts w:eastAsia="Times New Roman"/>
          <w:i/>
          <w:iCs/>
          <w:lang w:val="es-ES"/>
        </w:rPr>
      </w:pPr>
      <w:r w:rsidRPr="002A0508">
        <w:rPr>
          <w:rFonts w:eastAsia="Times New Roman"/>
          <w:i/>
          <w:iCs/>
          <w:lang w:val="es-ES"/>
        </w:rPr>
        <w:t>b)</w:t>
      </w:r>
      <w:r w:rsidRPr="002A0508">
        <w:rPr>
          <w:rFonts w:eastAsia="Times New Roman"/>
          <w:i/>
          <w:iCs/>
          <w:lang w:val="es-ES"/>
        </w:rPr>
        <w:tab/>
        <w:t xml:space="preserve">aplicar todas las medidas respaldas en la CMR-23 a las notificaciones en el marco de la </w:t>
      </w:r>
      <w:r w:rsidR="003C04F5" w:rsidRPr="002A0508">
        <w:rPr>
          <w:rFonts w:eastAsia="Times New Roman"/>
          <w:i/>
          <w:iCs/>
          <w:lang w:val="es-ES"/>
        </w:rPr>
        <w:t>Resolución </w:t>
      </w:r>
      <w:r w:rsidR="003C04F5" w:rsidRPr="002A0508">
        <w:rPr>
          <w:rFonts w:eastAsia="Times New Roman"/>
          <w:b/>
          <w:bCs/>
          <w:i/>
          <w:iCs/>
          <w:lang w:val="es-ES"/>
        </w:rPr>
        <w:t>559 (CMR</w:t>
      </w:r>
      <w:r w:rsidR="003C04F5" w:rsidRPr="002A0508">
        <w:rPr>
          <w:rFonts w:eastAsia="Times New Roman"/>
          <w:b/>
          <w:bCs/>
          <w:i/>
          <w:iCs/>
          <w:lang w:val="es-ES"/>
        </w:rPr>
        <w:noBreakHyphen/>
        <w:t>19)</w:t>
      </w:r>
      <w:r w:rsidRPr="002A0508">
        <w:rPr>
          <w:rFonts w:eastAsia="Times New Roman"/>
          <w:i/>
          <w:iCs/>
          <w:lang w:val="es-ES"/>
        </w:rPr>
        <w:t xml:space="preserve"> de las Administraciones de AFG, GNE, MLT y SEY y a futuras solicitudes con arreglo a los números 4.1.26 o al 4.1.27 del Artículo 4 de los Apéndices </w:t>
      </w:r>
      <w:r w:rsidRPr="002A0508">
        <w:rPr>
          <w:rFonts w:eastAsia="Times New Roman"/>
          <w:b/>
          <w:bCs/>
          <w:i/>
          <w:iCs/>
          <w:lang w:val="es-ES"/>
        </w:rPr>
        <w:t>30</w:t>
      </w:r>
      <w:r w:rsidRPr="002A0508">
        <w:rPr>
          <w:rFonts w:eastAsia="Times New Roman"/>
          <w:i/>
          <w:iCs/>
          <w:lang w:val="es-ES"/>
        </w:rPr>
        <w:t xml:space="preserve"> y </w:t>
      </w:r>
      <w:r w:rsidRPr="002A0508">
        <w:rPr>
          <w:rFonts w:eastAsia="Times New Roman"/>
          <w:b/>
          <w:bCs/>
          <w:i/>
          <w:iCs/>
          <w:lang w:val="es-ES"/>
        </w:rPr>
        <w:t xml:space="preserve">30A </w:t>
      </w:r>
      <w:r w:rsidRPr="002A0508">
        <w:rPr>
          <w:rFonts w:eastAsia="Times New Roman"/>
          <w:i/>
          <w:iCs/>
          <w:lang w:val="es-ES"/>
        </w:rPr>
        <w:t>del RR, de carácter análogo a la Resolución </w:t>
      </w:r>
      <w:r w:rsidRPr="002A0508">
        <w:rPr>
          <w:rFonts w:eastAsia="Times New Roman"/>
          <w:b/>
          <w:bCs/>
          <w:i/>
          <w:iCs/>
          <w:lang w:val="es-ES"/>
        </w:rPr>
        <w:t>559 (CMR-19)</w:t>
      </w:r>
      <w:r w:rsidRPr="002A0508">
        <w:rPr>
          <w:rFonts w:eastAsia="Times New Roman"/>
          <w:i/>
          <w:iCs/>
          <w:lang w:val="es-ES"/>
        </w:rPr>
        <w:t>».</w:t>
      </w: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AE06CC"/>
    <w:p w14:paraId="06DC0DF3" w14:textId="77777777" w:rsidR="00AE06CC" w:rsidRDefault="00AE06CC" w:rsidP="00AE06CC"/>
    <w:p w14:paraId="54325ED1" w14:textId="77777777" w:rsidR="00AE06CC" w:rsidRDefault="00AE06CC" w:rsidP="00AE06CC"/>
    <w:p w14:paraId="751C62C9" w14:textId="77777777" w:rsidR="00AE06CC" w:rsidRDefault="00AE06CC" w:rsidP="00AE06CC"/>
    <w:p w14:paraId="66640CCC" w14:textId="77777777" w:rsidR="00AE06CC" w:rsidRDefault="00AE06CC" w:rsidP="00AE06CC"/>
    <w:p w14:paraId="230012E8" w14:textId="77777777" w:rsidR="00AE06CC" w:rsidRDefault="00AE06CC" w:rsidP="00AE06CC"/>
    <w:p w14:paraId="7F5B8AC6" w14:textId="77777777" w:rsidR="00AE06CC" w:rsidRDefault="00AE06CC" w:rsidP="00AE06CC"/>
    <w:p w14:paraId="556F079E" w14:textId="77777777" w:rsidR="00AE06CC" w:rsidRDefault="00AE06CC" w:rsidP="00AE06CC"/>
    <w:p w14:paraId="2968F813" w14:textId="77777777" w:rsidR="00AE06CC" w:rsidRDefault="00AE06CC" w:rsidP="00AE06CC"/>
    <w:p w14:paraId="4C2B0AF5" w14:textId="77777777" w:rsidR="00AE06CC" w:rsidRDefault="00AE06CC" w:rsidP="00AE06CC"/>
    <w:p w14:paraId="21B55134" w14:textId="77777777" w:rsidR="005E5A1F" w:rsidRDefault="005E5A1F" w:rsidP="004C01D1">
      <w:pPr>
        <w:sectPr w:rsidR="005E5A1F" w:rsidSect="004C01D1">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sectPr>
      </w:pPr>
    </w:p>
    <w:p w14:paraId="7EEDD934" w14:textId="77777777" w:rsidR="00770297" w:rsidRPr="004C01D1" w:rsidRDefault="00770297" w:rsidP="004C01D1"/>
    <w:sectPr w:rsidR="00770297" w:rsidRPr="004C01D1" w:rsidSect="004C01D1">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9F08" w14:textId="77777777" w:rsidR="0089733D" w:rsidRDefault="0089733D">
      <w:r>
        <w:separator/>
      </w:r>
    </w:p>
  </w:endnote>
  <w:endnote w:type="continuationSeparator" w:id="0">
    <w:p w14:paraId="57FD43C8" w14:textId="77777777" w:rsidR="0089733D" w:rsidRDefault="0089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8F89" w14:textId="77777777" w:rsidR="0089733D" w:rsidRDefault="0089733D">
      <w:r>
        <w:rPr>
          <w:b/>
        </w:rPr>
        <w:t>_______________</w:t>
      </w:r>
    </w:p>
  </w:footnote>
  <w:footnote w:type="continuationSeparator" w:id="0">
    <w:p w14:paraId="74F0CD1A" w14:textId="77777777" w:rsidR="0089733D" w:rsidRDefault="0089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5F12" w14:paraId="03DDA45E" w14:textId="77777777" w:rsidTr="000B2FF0">
      <w:trPr>
        <w:cantSplit/>
      </w:trPr>
      <w:tc>
        <w:tcPr>
          <w:tcW w:w="1701" w:type="dxa"/>
          <w:tcBorders>
            <w:top w:val="single" w:sz="6" w:space="0" w:color="auto"/>
            <w:left w:val="single" w:sz="6" w:space="0" w:color="auto"/>
            <w:bottom w:val="single" w:sz="6" w:space="0" w:color="auto"/>
            <w:right w:val="single" w:sz="6" w:space="0" w:color="auto"/>
          </w:tcBorders>
        </w:tcPr>
        <w:p w14:paraId="025D62A7" w14:textId="77777777" w:rsidR="00A15F12" w:rsidRDefault="00A15F12" w:rsidP="00A15F1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39E5B69" w14:textId="376D45B0" w:rsidR="00A15F12" w:rsidRDefault="00A15F12" w:rsidP="00A15F12">
          <w:pPr>
            <w:pStyle w:val="HeaderRegProc"/>
            <w:rPr>
              <w:lang w:val="en-US"/>
            </w:rPr>
          </w:pPr>
          <w:r>
            <w:rPr>
              <w:lang w:val="en-US"/>
            </w:rPr>
            <w:t>RES559</w:t>
          </w:r>
        </w:p>
      </w:tc>
      <w:tc>
        <w:tcPr>
          <w:tcW w:w="1701" w:type="dxa"/>
          <w:tcBorders>
            <w:top w:val="single" w:sz="6" w:space="0" w:color="auto"/>
            <w:left w:val="single" w:sz="6" w:space="0" w:color="auto"/>
            <w:bottom w:val="single" w:sz="6" w:space="0" w:color="auto"/>
            <w:right w:val="single" w:sz="6" w:space="0" w:color="auto"/>
          </w:tcBorders>
        </w:tcPr>
        <w:p w14:paraId="7D25B491" w14:textId="730D79AE" w:rsidR="00A15F12" w:rsidRDefault="00E422EF" w:rsidP="00A15F12">
          <w:pPr>
            <w:pStyle w:val="HeaderRegProc"/>
            <w:rPr>
              <w:lang w:val="fr-CH"/>
            </w:rPr>
          </w:pPr>
          <w:r>
            <w:rPr>
              <w:rFonts w:eastAsia="Times New Roman"/>
              <w:bCs w:val="0"/>
              <w:lang w:val="fr-FR"/>
            </w:rPr>
            <w:t>página</w:t>
          </w:r>
          <w:r w:rsidRPr="00A15F12">
            <w:rPr>
              <w:rFonts w:eastAsia="Times New Roman"/>
              <w:lang w:val="fr-FR"/>
            </w:rPr>
            <w:t xml:space="preserve"> </w:t>
          </w:r>
          <w:r w:rsidR="00A15F12">
            <w:rPr>
              <w:rStyle w:val="PageNumber"/>
            </w:rPr>
            <w:fldChar w:fldCharType="begin"/>
          </w:r>
          <w:r w:rsidR="00A15F12">
            <w:rPr>
              <w:rStyle w:val="PageNumber"/>
            </w:rPr>
            <w:instrText xml:space="preserve"> PAGE </w:instrText>
          </w:r>
          <w:r w:rsidR="00A15F12">
            <w:rPr>
              <w:rStyle w:val="PageNumber"/>
            </w:rPr>
            <w:fldChar w:fldCharType="separate"/>
          </w:r>
          <w:r w:rsidR="00A15F12">
            <w:rPr>
              <w:rStyle w:val="PageNumber"/>
              <w:noProof/>
            </w:rPr>
            <w:t>2</w:t>
          </w:r>
          <w:r w:rsidR="00A15F1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8D2553" w14:textId="77777777" w:rsidR="00A15F12" w:rsidRDefault="00A15F12" w:rsidP="00A15F12">
          <w:pPr>
            <w:pStyle w:val="HeaderRegProc"/>
            <w:rPr>
              <w:lang w:val="fr-CH"/>
            </w:rPr>
          </w:pPr>
          <w:r>
            <w:rPr>
              <w:lang w:val="fr-CH"/>
            </w:rPr>
            <w:t>rev.</w:t>
          </w:r>
          <w:r>
            <w:t xml:space="preserve"> -</w:t>
          </w:r>
        </w:p>
      </w:tc>
    </w:tr>
  </w:tbl>
  <w:p w14:paraId="560457DD" w14:textId="77777777" w:rsidR="00A15F12" w:rsidRDefault="00A15F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5F12" w:rsidRPr="00A15F12" w14:paraId="194D4014" w14:textId="77777777" w:rsidTr="000B2FF0">
      <w:trPr>
        <w:cantSplit/>
        <w:jc w:val="right"/>
      </w:trPr>
      <w:tc>
        <w:tcPr>
          <w:tcW w:w="1701" w:type="dxa"/>
          <w:tcBorders>
            <w:top w:val="single" w:sz="6" w:space="0" w:color="auto"/>
            <w:left w:val="single" w:sz="6" w:space="0" w:color="auto"/>
            <w:bottom w:val="single" w:sz="6" w:space="0" w:color="auto"/>
            <w:right w:val="single" w:sz="6" w:space="0" w:color="auto"/>
          </w:tcBorders>
        </w:tcPr>
        <w:p w14:paraId="2EB28414" w14:textId="77777777"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es-ES"/>
            </w:rPr>
          </w:pPr>
          <w:r w:rsidRPr="00A15F12">
            <w:rPr>
              <w:rFonts w:ascii="Arial" w:eastAsia="Times New Roman" w:hAnsi="Arial" w:cs="Arial"/>
              <w:bCs/>
              <w:sz w:val="20"/>
              <w:lang w:val="es-ES"/>
            </w:rPr>
            <w:t>Part A1</w:t>
          </w:r>
        </w:p>
      </w:tc>
      <w:tc>
        <w:tcPr>
          <w:tcW w:w="1701" w:type="dxa"/>
          <w:tcBorders>
            <w:top w:val="single" w:sz="6" w:space="0" w:color="auto"/>
            <w:left w:val="single" w:sz="6" w:space="0" w:color="auto"/>
            <w:bottom w:val="single" w:sz="6" w:space="0" w:color="auto"/>
            <w:right w:val="single" w:sz="6" w:space="0" w:color="auto"/>
          </w:tcBorders>
        </w:tcPr>
        <w:p w14:paraId="1181D127" w14:textId="6517D933"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en-US"/>
            </w:rPr>
          </w:pPr>
          <w:r>
            <w:rPr>
              <w:rFonts w:ascii="Arial" w:eastAsia="Times New Roman" w:hAnsi="Arial" w:cs="Arial"/>
              <w:bCs/>
              <w:sz w:val="20"/>
              <w:lang w:val="es-ES"/>
            </w:rPr>
            <w:t>RES559</w:t>
          </w:r>
        </w:p>
      </w:tc>
      <w:tc>
        <w:tcPr>
          <w:tcW w:w="1701" w:type="dxa"/>
          <w:tcBorders>
            <w:top w:val="single" w:sz="6" w:space="0" w:color="auto"/>
            <w:left w:val="single" w:sz="6" w:space="0" w:color="auto"/>
            <w:bottom w:val="single" w:sz="6" w:space="0" w:color="auto"/>
            <w:right w:val="single" w:sz="6" w:space="0" w:color="auto"/>
          </w:tcBorders>
        </w:tcPr>
        <w:p w14:paraId="3C418F7F" w14:textId="54A1F553" w:rsidR="00A15F12" w:rsidRPr="00A15F12" w:rsidRDefault="00E422EF"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Pr>
              <w:rFonts w:ascii="Arial" w:eastAsia="Times New Roman" w:hAnsi="Arial" w:cs="Arial"/>
              <w:bCs/>
              <w:sz w:val="20"/>
              <w:lang w:val="fr-FR"/>
            </w:rPr>
            <w:t>página</w:t>
          </w:r>
          <w:r w:rsidRPr="00A15F12">
            <w:rPr>
              <w:rFonts w:ascii="Arial" w:eastAsia="Times New Roman" w:hAnsi="Arial" w:cs="Arial"/>
              <w:bCs/>
              <w:sz w:val="20"/>
              <w:lang w:val="fr-FR"/>
            </w:rPr>
            <w:t xml:space="preserve"> </w:t>
          </w:r>
          <w:r w:rsidR="00A15F12" w:rsidRPr="00A15F12">
            <w:rPr>
              <w:rFonts w:ascii="Arial" w:eastAsia="Times New Roman" w:hAnsi="Arial" w:cs="Arial"/>
              <w:bCs/>
              <w:sz w:val="20"/>
              <w:lang w:val="es-ES"/>
            </w:rPr>
            <w:fldChar w:fldCharType="begin"/>
          </w:r>
          <w:r w:rsidR="00A15F12" w:rsidRPr="00A15F12">
            <w:rPr>
              <w:rFonts w:ascii="Arial" w:eastAsia="Times New Roman" w:hAnsi="Arial" w:cs="Arial"/>
              <w:bCs/>
              <w:sz w:val="20"/>
              <w:lang w:val="es-ES"/>
            </w:rPr>
            <w:instrText xml:space="preserve"> PAGE </w:instrText>
          </w:r>
          <w:r w:rsidR="00A15F12" w:rsidRPr="00A15F12">
            <w:rPr>
              <w:rFonts w:ascii="Arial" w:eastAsia="Times New Roman" w:hAnsi="Arial" w:cs="Arial"/>
              <w:bCs/>
              <w:sz w:val="20"/>
              <w:lang w:val="es-ES"/>
            </w:rPr>
            <w:fldChar w:fldCharType="separate"/>
          </w:r>
          <w:r w:rsidR="00A15F12" w:rsidRPr="00A15F12">
            <w:rPr>
              <w:rFonts w:ascii="Arial" w:eastAsia="Times New Roman" w:hAnsi="Arial" w:cs="Arial"/>
              <w:bCs/>
              <w:noProof/>
              <w:sz w:val="20"/>
              <w:lang w:val="es-ES"/>
            </w:rPr>
            <w:t>3</w:t>
          </w:r>
          <w:r w:rsidR="00A15F12" w:rsidRPr="00A15F12">
            <w:rPr>
              <w:rFonts w:ascii="Arial" w:eastAsia="Times New Roman" w:hAnsi="Arial" w:cs="Arial"/>
              <w:bCs/>
              <w:sz w:val="20"/>
              <w:lang w:val="es-ES"/>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2ADC2B" w14:textId="77777777"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sidRPr="00A15F12">
            <w:rPr>
              <w:rFonts w:ascii="Arial" w:eastAsia="Times New Roman" w:hAnsi="Arial" w:cs="Arial"/>
              <w:bCs/>
              <w:sz w:val="20"/>
              <w:lang w:val="fr-CH"/>
            </w:rPr>
            <w:t>rev.</w:t>
          </w:r>
          <w:r w:rsidRPr="00A15F12">
            <w:rPr>
              <w:rFonts w:ascii="Arial" w:eastAsia="Times New Roman" w:hAnsi="Arial" w:cs="Arial"/>
              <w:bCs/>
              <w:sz w:val="20"/>
              <w:lang w:val="es-ES"/>
            </w:rPr>
            <w:t xml:space="preserve"> -</w:t>
          </w:r>
        </w:p>
      </w:tc>
    </w:tr>
  </w:tbl>
  <w:p w14:paraId="76A7C83B" w14:textId="77777777" w:rsidR="00A15F12" w:rsidRDefault="00A15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5F12" w:rsidRPr="00A15F12" w14:paraId="66AD3C4B" w14:textId="77777777" w:rsidTr="000B2FF0">
      <w:trPr>
        <w:cantSplit/>
        <w:jc w:val="right"/>
      </w:trPr>
      <w:tc>
        <w:tcPr>
          <w:tcW w:w="1701" w:type="dxa"/>
          <w:tcBorders>
            <w:top w:val="single" w:sz="6" w:space="0" w:color="auto"/>
            <w:left w:val="single" w:sz="6" w:space="0" w:color="auto"/>
            <w:bottom w:val="single" w:sz="6" w:space="0" w:color="auto"/>
            <w:right w:val="single" w:sz="6" w:space="0" w:color="auto"/>
          </w:tcBorders>
        </w:tcPr>
        <w:p w14:paraId="75486CC0" w14:textId="53DFBD7A"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es-ES"/>
            </w:rPr>
          </w:pPr>
          <w:r w:rsidRPr="00A15F12">
            <w:rPr>
              <w:rFonts w:ascii="Arial" w:eastAsia="Times New Roman" w:hAnsi="Arial" w:cs="Arial"/>
              <w:bCs/>
              <w:sz w:val="20"/>
              <w:lang w:val="es-ES"/>
            </w:rPr>
            <w:t>Part</w:t>
          </w:r>
          <w:r w:rsidR="00E422EF">
            <w:rPr>
              <w:rFonts w:ascii="Arial" w:eastAsia="Times New Roman" w:hAnsi="Arial" w:cs="Arial"/>
              <w:bCs/>
              <w:sz w:val="20"/>
              <w:lang w:val="es-ES"/>
            </w:rPr>
            <w:t>e</w:t>
          </w:r>
          <w:r w:rsidRPr="00A15F12">
            <w:rPr>
              <w:rFonts w:ascii="Arial" w:eastAsia="Times New Roman" w:hAnsi="Arial" w:cs="Arial"/>
              <w:bCs/>
              <w:sz w:val="20"/>
              <w:lang w:val="es-E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680F8BC" w14:textId="08191D34"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en-US"/>
            </w:rPr>
          </w:pPr>
          <w:r>
            <w:rPr>
              <w:rFonts w:ascii="Arial" w:eastAsia="Times New Roman" w:hAnsi="Arial" w:cs="Arial"/>
              <w:bCs/>
              <w:sz w:val="20"/>
              <w:lang w:val="es-ES"/>
            </w:rPr>
            <w:t>RES559</w:t>
          </w:r>
        </w:p>
      </w:tc>
      <w:tc>
        <w:tcPr>
          <w:tcW w:w="1701" w:type="dxa"/>
          <w:tcBorders>
            <w:top w:val="single" w:sz="6" w:space="0" w:color="auto"/>
            <w:left w:val="single" w:sz="6" w:space="0" w:color="auto"/>
            <w:bottom w:val="single" w:sz="6" w:space="0" w:color="auto"/>
            <w:right w:val="single" w:sz="6" w:space="0" w:color="auto"/>
          </w:tcBorders>
        </w:tcPr>
        <w:p w14:paraId="4CD32F38" w14:textId="1338327E" w:rsidR="00A15F12" w:rsidRPr="00A15F12" w:rsidRDefault="00E422EF"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Pr>
              <w:rFonts w:ascii="Arial" w:eastAsia="Times New Roman" w:hAnsi="Arial" w:cs="Arial"/>
              <w:bCs/>
              <w:sz w:val="20"/>
              <w:lang w:val="fr-FR"/>
            </w:rPr>
            <w:t>página</w:t>
          </w:r>
          <w:r w:rsidR="00A15F12" w:rsidRPr="00A15F12">
            <w:rPr>
              <w:rFonts w:ascii="Arial" w:eastAsia="Times New Roman" w:hAnsi="Arial" w:cs="Arial"/>
              <w:bCs/>
              <w:sz w:val="20"/>
              <w:lang w:val="fr-FR"/>
            </w:rPr>
            <w:t xml:space="preserve"> </w:t>
          </w:r>
          <w:r w:rsidR="00A15F12" w:rsidRPr="00A15F12">
            <w:rPr>
              <w:rFonts w:ascii="Arial" w:eastAsia="Times New Roman" w:hAnsi="Arial" w:cs="Arial"/>
              <w:bCs/>
              <w:sz w:val="20"/>
              <w:lang w:val="es-ES"/>
            </w:rPr>
            <w:fldChar w:fldCharType="begin"/>
          </w:r>
          <w:r w:rsidR="00A15F12" w:rsidRPr="00A15F12">
            <w:rPr>
              <w:rFonts w:ascii="Arial" w:eastAsia="Times New Roman" w:hAnsi="Arial" w:cs="Arial"/>
              <w:bCs/>
              <w:sz w:val="20"/>
              <w:lang w:val="es-ES"/>
            </w:rPr>
            <w:instrText xml:space="preserve"> PAGE </w:instrText>
          </w:r>
          <w:r w:rsidR="00A15F12" w:rsidRPr="00A15F12">
            <w:rPr>
              <w:rFonts w:ascii="Arial" w:eastAsia="Times New Roman" w:hAnsi="Arial" w:cs="Arial"/>
              <w:bCs/>
              <w:sz w:val="20"/>
              <w:lang w:val="es-ES"/>
            </w:rPr>
            <w:fldChar w:fldCharType="separate"/>
          </w:r>
          <w:r w:rsidR="00A15F12" w:rsidRPr="00A15F12">
            <w:rPr>
              <w:rFonts w:ascii="Arial" w:eastAsia="Times New Roman" w:hAnsi="Arial" w:cs="Arial"/>
              <w:bCs/>
              <w:noProof/>
              <w:sz w:val="20"/>
              <w:lang w:val="es-ES"/>
            </w:rPr>
            <w:t>3</w:t>
          </w:r>
          <w:r w:rsidR="00A15F12" w:rsidRPr="00A15F12">
            <w:rPr>
              <w:rFonts w:ascii="Arial" w:eastAsia="Times New Roman" w:hAnsi="Arial" w:cs="Arial"/>
              <w:bCs/>
              <w:sz w:val="20"/>
              <w:lang w:val="es-ES"/>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C758F9" w14:textId="77777777" w:rsidR="00A15F12" w:rsidRPr="00A15F12" w:rsidRDefault="00A15F12" w:rsidP="00A15F12">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sidRPr="00A15F12">
            <w:rPr>
              <w:rFonts w:ascii="Arial" w:eastAsia="Times New Roman" w:hAnsi="Arial" w:cs="Arial"/>
              <w:bCs/>
              <w:sz w:val="20"/>
              <w:lang w:val="fr-CH"/>
            </w:rPr>
            <w:t>rev.</w:t>
          </w:r>
          <w:r w:rsidRPr="00A15F12">
            <w:rPr>
              <w:rFonts w:ascii="Arial" w:eastAsia="Times New Roman" w:hAnsi="Arial" w:cs="Arial"/>
              <w:bCs/>
              <w:sz w:val="20"/>
              <w:lang w:val="es-ES"/>
            </w:rPr>
            <w:t xml:space="preserve"> -</w:t>
          </w:r>
        </w:p>
      </w:tc>
    </w:tr>
  </w:tbl>
  <w:p w14:paraId="794AC733" w14:textId="77777777" w:rsidR="00781F68" w:rsidRPr="00A15F12" w:rsidRDefault="00781F68" w:rsidP="00A15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FBF6" w14:textId="77777777" w:rsidR="005E5A1F" w:rsidRPr="005E5A1F" w:rsidRDefault="005E5A1F" w:rsidP="005E5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927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297"/>
    <w:rsid w:val="00007102"/>
    <w:rsid w:val="0001013B"/>
    <w:rsid w:val="00023641"/>
    <w:rsid w:val="00025941"/>
    <w:rsid w:val="0004075A"/>
    <w:rsid w:val="00042FFC"/>
    <w:rsid w:val="000505A1"/>
    <w:rsid w:val="0005129B"/>
    <w:rsid w:val="00051441"/>
    <w:rsid w:val="000572F6"/>
    <w:rsid w:val="000840D2"/>
    <w:rsid w:val="000844A0"/>
    <w:rsid w:val="000948D2"/>
    <w:rsid w:val="000A1BE5"/>
    <w:rsid w:val="000A4E28"/>
    <w:rsid w:val="000A569C"/>
    <w:rsid w:val="000B666D"/>
    <w:rsid w:val="000B71B1"/>
    <w:rsid w:val="000E3D7E"/>
    <w:rsid w:val="000F045D"/>
    <w:rsid w:val="0010393F"/>
    <w:rsid w:val="0011479A"/>
    <w:rsid w:val="00135850"/>
    <w:rsid w:val="0013713A"/>
    <w:rsid w:val="00146A89"/>
    <w:rsid w:val="00150B18"/>
    <w:rsid w:val="00151081"/>
    <w:rsid w:val="00156482"/>
    <w:rsid w:val="00163FCE"/>
    <w:rsid w:val="00174860"/>
    <w:rsid w:val="00177C7A"/>
    <w:rsid w:val="00182C8F"/>
    <w:rsid w:val="001838C3"/>
    <w:rsid w:val="00184190"/>
    <w:rsid w:val="001871AC"/>
    <w:rsid w:val="00194F4D"/>
    <w:rsid w:val="0019648A"/>
    <w:rsid w:val="001972B1"/>
    <w:rsid w:val="001B0D25"/>
    <w:rsid w:val="001D5A01"/>
    <w:rsid w:val="001D5FE1"/>
    <w:rsid w:val="002006BB"/>
    <w:rsid w:val="00205278"/>
    <w:rsid w:val="00207A4F"/>
    <w:rsid w:val="00223A66"/>
    <w:rsid w:val="0023244B"/>
    <w:rsid w:val="00232E60"/>
    <w:rsid w:val="002469DA"/>
    <w:rsid w:val="0024763A"/>
    <w:rsid w:val="002519DB"/>
    <w:rsid w:val="00263DCC"/>
    <w:rsid w:val="00264623"/>
    <w:rsid w:val="00267B9C"/>
    <w:rsid w:val="002845B5"/>
    <w:rsid w:val="002A0508"/>
    <w:rsid w:val="002C6139"/>
    <w:rsid w:val="002D3821"/>
    <w:rsid w:val="002D6A93"/>
    <w:rsid w:val="002F0850"/>
    <w:rsid w:val="00303FC0"/>
    <w:rsid w:val="00311037"/>
    <w:rsid w:val="00313406"/>
    <w:rsid w:val="003358AB"/>
    <w:rsid w:val="00335EAA"/>
    <w:rsid w:val="003443F7"/>
    <w:rsid w:val="003521B2"/>
    <w:rsid w:val="0036477F"/>
    <w:rsid w:val="00365999"/>
    <w:rsid w:val="00366812"/>
    <w:rsid w:val="00382F73"/>
    <w:rsid w:val="003831E8"/>
    <w:rsid w:val="003A2767"/>
    <w:rsid w:val="003A477C"/>
    <w:rsid w:val="003A48F3"/>
    <w:rsid w:val="003B4528"/>
    <w:rsid w:val="003C04EC"/>
    <w:rsid w:val="003C04F5"/>
    <w:rsid w:val="003D6283"/>
    <w:rsid w:val="003D7D78"/>
    <w:rsid w:val="003E0B92"/>
    <w:rsid w:val="003E4995"/>
    <w:rsid w:val="003E6EEE"/>
    <w:rsid w:val="003F0E47"/>
    <w:rsid w:val="0040071B"/>
    <w:rsid w:val="00417C49"/>
    <w:rsid w:val="00421D23"/>
    <w:rsid w:val="004249BA"/>
    <w:rsid w:val="004416B5"/>
    <w:rsid w:val="0044598D"/>
    <w:rsid w:val="00450365"/>
    <w:rsid w:val="00453C37"/>
    <w:rsid w:val="004567FB"/>
    <w:rsid w:val="0046017E"/>
    <w:rsid w:val="00485D89"/>
    <w:rsid w:val="00486D63"/>
    <w:rsid w:val="00495F0B"/>
    <w:rsid w:val="004A392A"/>
    <w:rsid w:val="004A3996"/>
    <w:rsid w:val="004B3663"/>
    <w:rsid w:val="004C01D1"/>
    <w:rsid w:val="004C605A"/>
    <w:rsid w:val="004F7910"/>
    <w:rsid w:val="0050065C"/>
    <w:rsid w:val="00517720"/>
    <w:rsid w:val="00522754"/>
    <w:rsid w:val="00523779"/>
    <w:rsid w:val="005262F6"/>
    <w:rsid w:val="00533CE9"/>
    <w:rsid w:val="0054680C"/>
    <w:rsid w:val="0055585E"/>
    <w:rsid w:val="00572339"/>
    <w:rsid w:val="005740A3"/>
    <w:rsid w:val="0058269D"/>
    <w:rsid w:val="00583970"/>
    <w:rsid w:val="005905DA"/>
    <w:rsid w:val="0059216D"/>
    <w:rsid w:val="00595DE7"/>
    <w:rsid w:val="005A4646"/>
    <w:rsid w:val="005B28B0"/>
    <w:rsid w:val="005B4CC7"/>
    <w:rsid w:val="005B6B3B"/>
    <w:rsid w:val="005C4805"/>
    <w:rsid w:val="005C5F37"/>
    <w:rsid w:val="005D7351"/>
    <w:rsid w:val="005E5A1F"/>
    <w:rsid w:val="005F030D"/>
    <w:rsid w:val="005F135F"/>
    <w:rsid w:val="005F2BE0"/>
    <w:rsid w:val="005F2C2D"/>
    <w:rsid w:val="005F4119"/>
    <w:rsid w:val="005F4A3B"/>
    <w:rsid w:val="00602F8C"/>
    <w:rsid w:val="00606DDB"/>
    <w:rsid w:val="00614B7E"/>
    <w:rsid w:val="00617BBF"/>
    <w:rsid w:val="00620D0D"/>
    <w:rsid w:val="006242A5"/>
    <w:rsid w:val="00632623"/>
    <w:rsid w:val="00635A24"/>
    <w:rsid w:val="006544EA"/>
    <w:rsid w:val="0065654E"/>
    <w:rsid w:val="00671703"/>
    <w:rsid w:val="00671D86"/>
    <w:rsid w:val="00672366"/>
    <w:rsid w:val="00682249"/>
    <w:rsid w:val="006878D4"/>
    <w:rsid w:val="0069356C"/>
    <w:rsid w:val="006966D0"/>
    <w:rsid w:val="006A5400"/>
    <w:rsid w:val="006A5FD8"/>
    <w:rsid w:val="006C4990"/>
    <w:rsid w:val="006D72B1"/>
    <w:rsid w:val="006E1644"/>
    <w:rsid w:val="006E2C7C"/>
    <w:rsid w:val="006E7ECD"/>
    <w:rsid w:val="006F26AF"/>
    <w:rsid w:val="006F31B3"/>
    <w:rsid w:val="006F34D1"/>
    <w:rsid w:val="006F358B"/>
    <w:rsid w:val="006F5AF5"/>
    <w:rsid w:val="006F5BF9"/>
    <w:rsid w:val="007003F8"/>
    <w:rsid w:val="0072463C"/>
    <w:rsid w:val="00747B42"/>
    <w:rsid w:val="00756796"/>
    <w:rsid w:val="007603A2"/>
    <w:rsid w:val="007663AE"/>
    <w:rsid w:val="00770297"/>
    <w:rsid w:val="00781F68"/>
    <w:rsid w:val="00796226"/>
    <w:rsid w:val="00797EF2"/>
    <w:rsid w:val="007B22DA"/>
    <w:rsid w:val="007B5DFF"/>
    <w:rsid w:val="007C54CB"/>
    <w:rsid w:val="007C5B6A"/>
    <w:rsid w:val="007D5348"/>
    <w:rsid w:val="007D7071"/>
    <w:rsid w:val="007E411A"/>
    <w:rsid w:val="007F1D4D"/>
    <w:rsid w:val="007F7798"/>
    <w:rsid w:val="0081784C"/>
    <w:rsid w:val="00832B93"/>
    <w:rsid w:val="008416FB"/>
    <w:rsid w:val="008527A6"/>
    <w:rsid w:val="00860DC9"/>
    <w:rsid w:val="008778E5"/>
    <w:rsid w:val="008779F0"/>
    <w:rsid w:val="008833B5"/>
    <w:rsid w:val="00883BB6"/>
    <w:rsid w:val="0089128F"/>
    <w:rsid w:val="00891820"/>
    <w:rsid w:val="008923CD"/>
    <w:rsid w:val="0089733D"/>
    <w:rsid w:val="008A4CBB"/>
    <w:rsid w:val="008A6CD6"/>
    <w:rsid w:val="008A7D22"/>
    <w:rsid w:val="008B5FFC"/>
    <w:rsid w:val="008C165F"/>
    <w:rsid w:val="008D45D7"/>
    <w:rsid w:val="008E29A7"/>
    <w:rsid w:val="008E2C91"/>
    <w:rsid w:val="008F6413"/>
    <w:rsid w:val="00901A12"/>
    <w:rsid w:val="00902333"/>
    <w:rsid w:val="00902D5B"/>
    <w:rsid w:val="00926738"/>
    <w:rsid w:val="00926B8A"/>
    <w:rsid w:val="009335D4"/>
    <w:rsid w:val="009508E2"/>
    <w:rsid w:val="009525AB"/>
    <w:rsid w:val="00972A88"/>
    <w:rsid w:val="0098040E"/>
    <w:rsid w:val="00984235"/>
    <w:rsid w:val="0098425C"/>
    <w:rsid w:val="009961E4"/>
    <w:rsid w:val="00997078"/>
    <w:rsid w:val="009C7031"/>
    <w:rsid w:val="009D3A15"/>
    <w:rsid w:val="009E2551"/>
    <w:rsid w:val="009F272C"/>
    <w:rsid w:val="009F2BE3"/>
    <w:rsid w:val="009F2C7A"/>
    <w:rsid w:val="00A002B3"/>
    <w:rsid w:val="00A04AE2"/>
    <w:rsid w:val="00A06C3A"/>
    <w:rsid w:val="00A10CAF"/>
    <w:rsid w:val="00A151A4"/>
    <w:rsid w:val="00A15F12"/>
    <w:rsid w:val="00A20DDD"/>
    <w:rsid w:val="00A20ED0"/>
    <w:rsid w:val="00A31C60"/>
    <w:rsid w:val="00A36EF7"/>
    <w:rsid w:val="00A40470"/>
    <w:rsid w:val="00A5073F"/>
    <w:rsid w:val="00A53258"/>
    <w:rsid w:val="00A56E79"/>
    <w:rsid w:val="00A66A9A"/>
    <w:rsid w:val="00A70933"/>
    <w:rsid w:val="00A73986"/>
    <w:rsid w:val="00A81791"/>
    <w:rsid w:val="00A941D8"/>
    <w:rsid w:val="00A96492"/>
    <w:rsid w:val="00AC5624"/>
    <w:rsid w:val="00AD0698"/>
    <w:rsid w:val="00AD275E"/>
    <w:rsid w:val="00AD577C"/>
    <w:rsid w:val="00AD5FF2"/>
    <w:rsid w:val="00AE06CC"/>
    <w:rsid w:val="00AE4489"/>
    <w:rsid w:val="00B0024F"/>
    <w:rsid w:val="00B019CD"/>
    <w:rsid w:val="00B05B0B"/>
    <w:rsid w:val="00B12797"/>
    <w:rsid w:val="00B2379C"/>
    <w:rsid w:val="00B2509B"/>
    <w:rsid w:val="00B657F0"/>
    <w:rsid w:val="00B714A6"/>
    <w:rsid w:val="00B71895"/>
    <w:rsid w:val="00B71E2C"/>
    <w:rsid w:val="00B80CD7"/>
    <w:rsid w:val="00B8117B"/>
    <w:rsid w:val="00B856D1"/>
    <w:rsid w:val="00B90CF1"/>
    <w:rsid w:val="00B92C7A"/>
    <w:rsid w:val="00B95DB8"/>
    <w:rsid w:val="00B9632D"/>
    <w:rsid w:val="00BA0190"/>
    <w:rsid w:val="00BA061E"/>
    <w:rsid w:val="00BA5758"/>
    <w:rsid w:val="00BC3373"/>
    <w:rsid w:val="00BC5D27"/>
    <w:rsid w:val="00BE487E"/>
    <w:rsid w:val="00BF68B6"/>
    <w:rsid w:val="00C00AC0"/>
    <w:rsid w:val="00C16ABA"/>
    <w:rsid w:val="00C35214"/>
    <w:rsid w:val="00C524EF"/>
    <w:rsid w:val="00C550A7"/>
    <w:rsid w:val="00C57E8C"/>
    <w:rsid w:val="00C60716"/>
    <w:rsid w:val="00C7013D"/>
    <w:rsid w:val="00C72BDB"/>
    <w:rsid w:val="00C74E81"/>
    <w:rsid w:val="00C76183"/>
    <w:rsid w:val="00C813BE"/>
    <w:rsid w:val="00C90475"/>
    <w:rsid w:val="00CA3C64"/>
    <w:rsid w:val="00CA762B"/>
    <w:rsid w:val="00CB70A1"/>
    <w:rsid w:val="00CC27B3"/>
    <w:rsid w:val="00CD035E"/>
    <w:rsid w:val="00CF1065"/>
    <w:rsid w:val="00CF4421"/>
    <w:rsid w:val="00D01657"/>
    <w:rsid w:val="00D14C3E"/>
    <w:rsid w:val="00D34692"/>
    <w:rsid w:val="00D52089"/>
    <w:rsid w:val="00D7040B"/>
    <w:rsid w:val="00D70DEC"/>
    <w:rsid w:val="00D7247F"/>
    <w:rsid w:val="00D7458F"/>
    <w:rsid w:val="00D779B1"/>
    <w:rsid w:val="00D77F81"/>
    <w:rsid w:val="00D9191E"/>
    <w:rsid w:val="00D91A51"/>
    <w:rsid w:val="00D92D17"/>
    <w:rsid w:val="00D94248"/>
    <w:rsid w:val="00DA6CC0"/>
    <w:rsid w:val="00DB17E2"/>
    <w:rsid w:val="00DC0744"/>
    <w:rsid w:val="00DC79E8"/>
    <w:rsid w:val="00DE25FE"/>
    <w:rsid w:val="00DE57F6"/>
    <w:rsid w:val="00E000C8"/>
    <w:rsid w:val="00E25111"/>
    <w:rsid w:val="00E27AC6"/>
    <w:rsid w:val="00E422EF"/>
    <w:rsid w:val="00E64CB2"/>
    <w:rsid w:val="00E70951"/>
    <w:rsid w:val="00E70E73"/>
    <w:rsid w:val="00E74D2C"/>
    <w:rsid w:val="00E74DD2"/>
    <w:rsid w:val="00E80958"/>
    <w:rsid w:val="00E82238"/>
    <w:rsid w:val="00E84C34"/>
    <w:rsid w:val="00E96383"/>
    <w:rsid w:val="00EB34B4"/>
    <w:rsid w:val="00EC09A4"/>
    <w:rsid w:val="00EC19D3"/>
    <w:rsid w:val="00EC2B1F"/>
    <w:rsid w:val="00EC6453"/>
    <w:rsid w:val="00ED0421"/>
    <w:rsid w:val="00EE02E9"/>
    <w:rsid w:val="00EF187A"/>
    <w:rsid w:val="00EF2E62"/>
    <w:rsid w:val="00F062CD"/>
    <w:rsid w:val="00F06F97"/>
    <w:rsid w:val="00F103FB"/>
    <w:rsid w:val="00F16C2F"/>
    <w:rsid w:val="00F27F59"/>
    <w:rsid w:val="00F350AB"/>
    <w:rsid w:val="00F405E8"/>
    <w:rsid w:val="00F4364B"/>
    <w:rsid w:val="00F6383B"/>
    <w:rsid w:val="00F6639F"/>
    <w:rsid w:val="00F77A30"/>
    <w:rsid w:val="00F85DC6"/>
    <w:rsid w:val="00F95580"/>
    <w:rsid w:val="00FA6FA9"/>
    <w:rsid w:val="00FB5639"/>
    <w:rsid w:val="00FB7754"/>
    <w:rsid w:val="00FC293A"/>
    <w:rsid w:val="00FD03A6"/>
    <w:rsid w:val="00FD1656"/>
    <w:rsid w:val="00FD34E0"/>
    <w:rsid w:val="00FE48AD"/>
    <w:rsid w:val="0B814A8A"/>
    <w:rsid w:val="314A078B"/>
    <w:rsid w:val="41F3E3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122CA"/>
  <w15:docId w15:val="{74380972-9A2B-4422-811D-0CB41842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uiPriority w:val="99"/>
    <w:rsid w:val="007D5348"/>
    <w:rPr>
      <w:lang w:val="en-GB" w:eastAsia="en-US"/>
    </w:rPr>
  </w:style>
  <w:style w:type="table" w:styleId="TableGrid">
    <w:name w:val="Table Grid"/>
    <w:basedOn w:val="TableNormal"/>
    <w:rsid w:val="008A4CBB"/>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paragraph" w:styleId="Revision">
    <w:name w:val="Revision"/>
    <w:hidden/>
    <w:uiPriority w:val="99"/>
    <w:semiHidden/>
    <w:rsid w:val="000505A1"/>
    <w:rPr>
      <w:sz w:val="24"/>
      <w:lang w:val="en-GB" w:eastAsia="en-US"/>
    </w:rPr>
  </w:style>
  <w:style w:type="character" w:styleId="Hyperlink">
    <w:name w:val="Hyperlink"/>
    <w:aliases w:val="CEO_Hyperlink"/>
    <w:basedOn w:val="DefaultParagraphFont"/>
    <w:rsid w:val="000E3D7E"/>
    <w:rPr>
      <w:color w:val="0000FF"/>
      <w:u w:val="single"/>
    </w:rPr>
  </w:style>
  <w:style w:type="character" w:customStyle="1" w:styleId="enumlev1Char">
    <w:name w:val="enumlev1 Char"/>
    <w:link w:val="enumlev1"/>
    <w:locked/>
    <w:rsid w:val="000E3D7E"/>
    <w:rPr>
      <w:sz w:val="24"/>
      <w:lang w:val="en-GB" w:eastAsia="en-US"/>
    </w:rPr>
  </w:style>
  <w:style w:type="character" w:styleId="UnresolvedMention">
    <w:name w:val="Unresolved Mention"/>
    <w:basedOn w:val="DefaultParagraphFont"/>
    <w:uiPriority w:val="99"/>
    <w:semiHidden/>
    <w:unhideWhenUsed/>
    <w:rsid w:val="00FD34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TotalTime>
  <Pages>4</Pages>
  <Words>1371</Words>
  <Characters>6648</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8003</CharactersWithSpaces>
  <SharedDoc>false</SharedDoc>
  <HLinks>
    <vt:vector size="18" baseType="variant">
      <vt:variant>
        <vt:i4>7405620</vt:i4>
      </vt:variant>
      <vt:variant>
        <vt:i4>0</vt:i4>
      </vt:variant>
      <vt:variant>
        <vt:i4>0</vt:i4>
      </vt:variant>
      <vt:variant>
        <vt:i4>5</vt:i4>
      </vt:variant>
      <vt:variant>
        <vt:lpwstr>https://www.itu.int/md/R23-WRC23-C-0528/en</vt:lpwstr>
      </vt:variant>
      <vt:variant>
        <vt:lpwstr/>
      </vt:variant>
      <vt:variant>
        <vt:i4>7405620</vt:i4>
      </vt:variant>
      <vt:variant>
        <vt:i4>3</vt:i4>
      </vt:variant>
      <vt:variant>
        <vt:i4>0</vt:i4>
      </vt:variant>
      <vt:variant>
        <vt:i4>5</vt:i4>
      </vt:variant>
      <vt:variant>
        <vt:lpwstr>https://www.itu.int/md/R23-WRC23-C-0528/en</vt:lpwstr>
      </vt:variant>
      <vt:variant>
        <vt:lpwstr/>
      </vt:variant>
      <vt:variant>
        <vt:i4>7405620</vt:i4>
      </vt:variant>
      <vt:variant>
        <vt:i4>0</vt:i4>
      </vt:variant>
      <vt:variant>
        <vt:i4>0</vt:i4>
      </vt:variant>
      <vt:variant>
        <vt:i4>5</vt:i4>
      </vt:variant>
      <vt:variant>
        <vt:lpwstr>https://www.itu.int/md/R23-WRC23-C-0528/en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AP30B</dc:subject>
  <dc:creator/>
  <cp:keywords/>
  <dc:description/>
  <cp:lastModifiedBy>Saez Grau, Ricardo</cp:lastModifiedBy>
  <cp:revision>7</cp:revision>
  <cp:lastPrinted>2024-12-06T19:14:00Z</cp:lastPrinted>
  <dcterms:created xsi:type="dcterms:W3CDTF">2025-11-07T08:11:00Z</dcterms:created>
  <dcterms:modified xsi:type="dcterms:W3CDTF">2026-01-29T14:45:00Z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