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F311" w14:textId="77777777" w:rsidR="00186556" w:rsidRPr="00680E36" w:rsidRDefault="00186556" w:rsidP="00186556">
      <w:pPr>
        <w:pStyle w:val="Heading1"/>
        <w:spacing w:before="120"/>
        <w:jc w:val="center"/>
        <w:rPr>
          <w:lang w:val="es-ES_tradnl"/>
        </w:rPr>
      </w:pPr>
      <w:r w:rsidRPr="00680E36">
        <w:rPr>
          <w:lang w:val="es-ES_tradnl"/>
        </w:rPr>
        <w:t>Reglas relativas a la</w:t>
      </w:r>
    </w:p>
    <w:p w14:paraId="46B1BA21" w14:textId="6F49B182" w:rsidR="00186556" w:rsidRPr="00680E36" w:rsidRDefault="00186556" w:rsidP="00186556">
      <w:pPr>
        <w:pStyle w:val="Heading2"/>
        <w:spacing w:before="360"/>
        <w:jc w:val="center"/>
        <w:rPr>
          <w:lang w:val="es-ES_tradnl"/>
        </w:rPr>
      </w:pPr>
      <w:r w:rsidRPr="00680E36">
        <w:rPr>
          <w:lang w:val="es-ES_tradnl"/>
        </w:rPr>
        <w:t xml:space="preserve">RESOLUCIÓN </w:t>
      </w:r>
      <w:r w:rsidR="006A6EAC">
        <w:rPr>
          <w:lang w:val="es-ES_tradnl"/>
        </w:rPr>
        <w:t xml:space="preserve"> </w:t>
      </w:r>
      <w:r w:rsidRPr="00680E36">
        <w:rPr>
          <w:lang w:val="es-ES_tradnl"/>
        </w:rPr>
        <w:t>170 (</w:t>
      </w:r>
      <w:r w:rsidR="006A6EAC">
        <w:rPr>
          <w:lang w:val="es-ES_tradnl"/>
        </w:rPr>
        <w:t>Rev.</w:t>
      </w:r>
      <w:r w:rsidRPr="00680E36">
        <w:rPr>
          <w:lang w:val="es-ES_tradnl"/>
        </w:rPr>
        <w:t>CMR-</w:t>
      </w:r>
      <w:r w:rsidR="006A6EAC">
        <w:rPr>
          <w:lang w:val="es-ES_tradnl"/>
        </w:rPr>
        <w:t>23</w:t>
      </w:r>
      <w:r w:rsidRPr="00680E36">
        <w:rPr>
          <w:lang w:val="es-ES_tradnl"/>
        </w:rPr>
        <w:t>)</w:t>
      </w:r>
    </w:p>
    <w:p w14:paraId="0C4B95E8" w14:textId="38B67B34" w:rsidR="006A6EAC" w:rsidRPr="006A6EAC" w:rsidRDefault="006A6EAC" w:rsidP="006A6EAC">
      <w:pPr>
        <w:pStyle w:val="Restitle"/>
      </w:pPr>
      <w:r w:rsidRPr="006A6EAC">
        <w:t>Medidas adicionales para redes de satélites del servicio fijo por satélite en bandas de frecuencias sujetas al Apéndice 30B para mejorar el acceso equitativo a estas bandas de frecuencias</w:t>
      </w:r>
    </w:p>
    <w:p w14:paraId="227DEA89" w14:textId="6111236A" w:rsidR="006A6EAC" w:rsidRPr="006A6EAC" w:rsidRDefault="006A6EAC" w:rsidP="006A6EAC">
      <w:pPr>
        <w:pStyle w:val="AnnexTitle"/>
        <w:rPr>
          <w:rFonts w:eastAsia="SimSun"/>
        </w:rPr>
      </w:pPr>
      <w:r w:rsidRPr="006A6EAC">
        <w:rPr>
          <w:rFonts w:eastAsia="SimSun"/>
        </w:rPr>
        <w:t>Adjunto 1 a la Resolución 170 (Rev.CMR-23)</w:t>
      </w:r>
    </w:p>
    <w:p w14:paraId="1DA03610" w14:textId="00A6467F" w:rsidR="006A6EAC" w:rsidRDefault="006A6EAC" w:rsidP="006A6EAC">
      <w:pPr>
        <w:pStyle w:val="Heading8"/>
        <w:rPr>
          <w:color w:val="000000"/>
        </w:rPr>
      </w:pPr>
      <w:r>
        <w:rPr>
          <w:color w:val="000000"/>
        </w:rPr>
        <w:t>§ 3 c)</w:t>
      </w:r>
    </w:p>
    <w:p w14:paraId="7586F00D" w14:textId="7A0C1A9D" w:rsidR="006A6EAC" w:rsidRPr="006A6EAC" w:rsidRDefault="006A6EAC" w:rsidP="006A6EAC">
      <w:pPr>
        <w:rPr>
          <w:lang w:val="es-ES_tradnl"/>
        </w:rPr>
      </w:pPr>
      <w:r w:rsidRPr="006A6EAC">
        <w:rPr>
          <w:lang w:val="es-ES_tradnl"/>
        </w:rPr>
        <w:t>La Junta tomó nota de que la CMR-23 había encargado a la Oficina que armonizara las Reglas de Procedimiento relativas a la Resolución </w:t>
      </w:r>
      <w:r w:rsidRPr="006A6EAC">
        <w:rPr>
          <w:b/>
          <w:bCs/>
          <w:lang w:val="es-ES_tradnl"/>
        </w:rPr>
        <w:t>170 (</w:t>
      </w:r>
      <w:r w:rsidRPr="0043124E">
        <w:rPr>
          <w:rFonts w:eastAsia="SimSun"/>
          <w:b/>
          <w:bCs/>
        </w:rPr>
        <w:t>Rev.</w:t>
      </w:r>
      <w:r>
        <w:rPr>
          <w:rFonts w:eastAsia="SimSun"/>
          <w:b/>
          <w:bCs/>
        </w:rPr>
        <w:t>CMR</w:t>
      </w:r>
      <w:r w:rsidRPr="0043124E">
        <w:rPr>
          <w:rFonts w:eastAsia="SimSun"/>
          <w:b/>
          <w:bCs/>
        </w:rPr>
        <w:t>-23</w:t>
      </w:r>
      <w:r w:rsidRPr="006A6EAC">
        <w:rPr>
          <w:b/>
          <w:bCs/>
          <w:lang w:val="es-ES_tradnl"/>
        </w:rPr>
        <w:t>)</w:t>
      </w:r>
      <w:r w:rsidRPr="006A6EAC">
        <w:rPr>
          <w:lang w:val="es-ES_tradnl"/>
        </w:rPr>
        <w:t xml:space="preserve"> con las decisiones de </w:t>
      </w:r>
      <w:r w:rsidRPr="006A6EAC">
        <w:rPr>
          <w:spacing w:val="-4"/>
          <w:lang w:val="es-ES_tradnl"/>
        </w:rPr>
        <w:t>la Conferencia relativas a las modificaciones a los Apéndices </w:t>
      </w:r>
      <w:r w:rsidRPr="006A6EAC">
        <w:rPr>
          <w:b/>
          <w:bCs/>
          <w:spacing w:val="-4"/>
          <w:lang w:val="es-ES_tradnl"/>
        </w:rPr>
        <w:t xml:space="preserve">30A </w:t>
      </w:r>
      <w:r w:rsidRPr="006A6EAC">
        <w:rPr>
          <w:spacing w:val="-4"/>
          <w:lang w:val="es-ES_tradnl"/>
        </w:rPr>
        <w:t xml:space="preserve">y </w:t>
      </w:r>
      <w:r w:rsidRPr="006A6EAC">
        <w:rPr>
          <w:b/>
          <w:bCs/>
          <w:spacing w:val="-4"/>
          <w:lang w:val="es-ES_tradnl"/>
        </w:rPr>
        <w:t xml:space="preserve">30B </w:t>
      </w:r>
      <w:r w:rsidRPr="006A6EAC">
        <w:rPr>
          <w:spacing w:val="-4"/>
          <w:lang w:val="es-ES_tradnl"/>
        </w:rPr>
        <w:t xml:space="preserve">(véase el apartado 15.1 de las Actas de la 13ª Sesión Plenaria en el </w:t>
      </w:r>
      <w:hyperlink r:id="rId7" w:history="1">
        <w:r w:rsidRPr="006A6EAC">
          <w:rPr>
            <w:color w:val="0000FF"/>
            <w:spacing w:val="-4"/>
            <w:u w:val="single"/>
            <w:lang w:val="es-ES_tradnl"/>
          </w:rPr>
          <w:t>Documento </w:t>
        </w:r>
        <w:r w:rsidR="00B7753D">
          <w:rPr>
            <w:color w:val="0000FF"/>
            <w:spacing w:val="-4"/>
            <w:u w:val="single"/>
            <w:lang w:val="es-ES_tradnl"/>
          </w:rPr>
          <w:t>CMR</w:t>
        </w:r>
        <w:r w:rsidRPr="006A6EAC">
          <w:rPr>
            <w:color w:val="0000FF"/>
            <w:spacing w:val="-4"/>
            <w:u w:val="single"/>
            <w:lang w:val="es-ES_tradnl"/>
          </w:rPr>
          <w:t>23/528</w:t>
        </w:r>
      </w:hyperlink>
      <w:r w:rsidRPr="006A6EAC">
        <w:rPr>
          <w:spacing w:val="-4"/>
          <w:lang w:val="es-ES_tradnl"/>
        </w:rPr>
        <w:t>).</w:t>
      </w:r>
    </w:p>
    <w:p w14:paraId="54B42745" w14:textId="7DD43BFA" w:rsidR="006A6EAC" w:rsidRDefault="006A6EAC" w:rsidP="006A6EAC">
      <w:pPr>
        <w:rPr>
          <w:lang w:val="es-ES_tradnl"/>
        </w:rPr>
      </w:pPr>
      <w:r w:rsidRPr="006A6EAC">
        <w:rPr>
          <w:lang w:val="es-ES_tradnl"/>
        </w:rPr>
        <w:t xml:space="preserve">Por consiguiente, la Junta decidió que </w:t>
      </w:r>
      <w:bookmarkStart w:id="0" w:name="_Hlk190941514"/>
      <w:r w:rsidRPr="006A6EAC">
        <w:rPr>
          <w:lang w:val="es-ES_tradnl"/>
        </w:rPr>
        <w:t>las Reglas de Procedimiento relativas al § 6.39 del</w:t>
      </w:r>
      <w:bookmarkEnd w:id="0"/>
      <w:r w:rsidRPr="006A6EAC">
        <w:rPr>
          <w:lang w:val="es-ES_tradnl"/>
        </w:rPr>
        <w:t xml:space="preserve"> Apéndice </w:t>
      </w:r>
      <w:r w:rsidRPr="006A6EAC">
        <w:rPr>
          <w:b/>
          <w:bCs/>
          <w:lang w:val="es-ES_tradnl"/>
        </w:rPr>
        <w:t xml:space="preserve">30B </w:t>
      </w:r>
      <w:r w:rsidRPr="006A6EAC">
        <w:rPr>
          <w:lang w:val="es-ES_tradnl"/>
        </w:rPr>
        <w:t>del Reglamento de Radiocomunicaciones también se aplicaran en el caso de un haz formado por la combinación de todas las elipses mínimas individuales cuando se trata de un grupo de administraciones designadas, según se indica en el § 3c) del Adjunto 1 a la Resolución </w:t>
      </w:r>
      <w:r w:rsidRPr="006A6EAC">
        <w:rPr>
          <w:b/>
          <w:bCs/>
          <w:lang w:val="es-ES_tradnl"/>
        </w:rPr>
        <w:t>170 (Rev.CMR-23)</w:t>
      </w:r>
      <w:r w:rsidRPr="006A6EAC">
        <w:rPr>
          <w:lang w:val="es-ES_tradnl"/>
        </w:rPr>
        <w:t>.</w:t>
      </w:r>
    </w:p>
    <w:p w14:paraId="55746A47" w14:textId="77777777" w:rsidR="006A6EAC" w:rsidRPr="006A6EAC" w:rsidRDefault="006A6EAC" w:rsidP="006A6EAC">
      <w:pPr>
        <w:rPr>
          <w:lang w:val="es-ES_tradnl"/>
        </w:rPr>
      </w:pPr>
    </w:p>
    <w:p w14:paraId="2B3E4D7F" w14:textId="6C09654E" w:rsidR="00186556" w:rsidRPr="00680E36" w:rsidRDefault="00186556" w:rsidP="00186556">
      <w:pPr>
        <w:spacing w:before="120"/>
        <w:rPr>
          <w:lang w:val="es-ES_tradnl"/>
        </w:rPr>
      </w:pPr>
      <w:r w:rsidRPr="00680E36">
        <w:rPr>
          <w:b/>
          <w:bCs/>
          <w:lang w:val="es-ES_tradnl"/>
        </w:rPr>
        <w:t>Nota</w:t>
      </w:r>
      <w:r w:rsidR="00A5781F" w:rsidRPr="00A5781F">
        <w:rPr>
          <w:lang w:val="es-ES"/>
        </w:rPr>
        <w:t> –</w:t>
      </w:r>
      <w:r w:rsidR="00A5781F">
        <w:rPr>
          <w:lang w:val="es-ES"/>
        </w:rPr>
        <w:t> </w:t>
      </w:r>
      <w:r w:rsidRPr="00680E36">
        <w:rPr>
          <w:lang w:val="es-ES_tradnl"/>
        </w:rPr>
        <w:t>En su 10ª Sesión Plenaria la CMR-19 tomó la siguiente decisión con respecto a la Resolución </w:t>
      </w:r>
      <w:r w:rsidRPr="00680E36">
        <w:rPr>
          <w:b/>
          <w:bCs/>
          <w:lang w:val="es-ES_tradnl"/>
        </w:rPr>
        <w:t>170</w:t>
      </w:r>
      <w:r w:rsidRPr="00680E36">
        <w:rPr>
          <w:lang w:val="es-ES_tradnl"/>
        </w:rPr>
        <w:t>; véanse los apartados 12.2 a 12.4 del Documento CMR19/571, aprobación del Documento 19/509; véanse también las Reglas de Procedimiento relativas a los Anexos</w:t>
      </w:r>
      <w:r w:rsidR="00AB26D4">
        <w:rPr>
          <w:lang w:val="es-ES_tradnl"/>
        </w:rPr>
        <w:t> </w:t>
      </w:r>
      <w:r w:rsidRPr="00680E36">
        <w:rPr>
          <w:lang w:val="es-ES_tradnl"/>
        </w:rPr>
        <w:t xml:space="preserve">3 y 4 del Apéndice </w:t>
      </w:r>
      <w:r w:rsidRPr="00680E36">
        <w:rPr>
          <w:b/>
          <w:bCs/>
          <w:lang w:val="es-ES_tradnl"/>
        </w:rPr>
        <w:t>30B</w:t>
      </w:r>
      <w:r w:rsidRPr="00680E36">
        <w:rPr>
          <w:lang w:val="es-ES_tradnl"/>
        </w:rPr>
        <w:t>:</w:t>
      </w:r>
    </w:p>
    <w:p w14:paraId="102FBBE2" w14:textId="77777777" w:rsidR="00186556" w:rsidRPr="00F67A51" w:rsidRDefault="00186556" w:rsidP="00186556">
      <w:pPr>
        <w:pStyle w:val="Heading2"/>
        <w:spacing w:before="360"/>
        <w:jc w:val="center"/>
        <w:rPr>
          <w:b w:val="0"/>
          <w:i/>
          <w:iCs/>
          <w:sz w:val="28"/>
          <w:szCs w:val="28"/>
          <w:lang w:val="es-ES_tradnl"/>
        </w:rPr>
      </w:pPr>
      <w:r w:rsidRPr="00680E36">
        <w:rPr>
          <w:sz w:val="28"/>
          <w:szCs w:val="28"/>
          <w:lang w:val="es-ES_tradnl"/>
        </w:rPr>
        <w:t>«</w:t>
      </w:r>
      <w:r w:rsidRPr="00F67A51">
        <w:rPr>
          <w:i/>
          <w:iCs/>
          <w:sz w:val="28"/>
          <w:szCs w:val="28"/>
          <w:lang w:val="es-ES_tradnl"/>
        </w:rPr>
        <w:t xml:space="preserve">Instrucciones a la </w:t>
      </w:r>
      <w:r w:rsidRPr="00F67A51">
        <w:rPr>
          <w:bCs/>
          <w:i/>
          <w:iCs/>
          <w:szCs w:val="26"/>
          <w:lang w:val="es-ES_tradnl"/>
        </w:rPr>
        <w:t>Oficina</w:t>
      </w:r>
      <w:r w:rsidRPr="00F67A51">
        <w:rPr>
          <w:i/>
          <w:iCs/>
          <w:sz w:val="28"/>
          <w:szCs w:val="28"/>
          <w:lang w:val="es-ES_tradnl"/>
        </w:rPr>
        <w:t xml:space="preserve"> de Radiocomunicaciones al aplicar</w:t>
      </w:r>
      <w:r w:rsidRPr="00F67A51">
        <w:rPr>
          <w:i/>
          <w:iCs/>
          <w:sz w:val="28"/>
          <w:szCs w:val="28"/>
          <w:lang w:val="es-ES_tradnl"/>
        </w:rPr>
        <w:br/>
        <w:t>la Resolución [A7(E)-AP30B] (CMR-19)</w:t>
      </w:r>
    </w:p>
    <w:p w14:paraId="1247902A" w14:textId="77777777" w:rsidR="00186556" w:rsidRPr="00F67A51" w:rsidRDefault="00186556" w:rsidP="001D6CDC">
      <w:pPr>
        <w:tabs>
          <w:tab w:val="left" w:pos="794"/>
        </w:tabs>
        <w:spacing w:before="120"/>
        <w:ind w:left="794" w:hanging="794"/>
        <w:rPr>
          <w:b/>
          <w:bCs/>
          <w:i/>
          <w:iCs/>
          <w:lang w:val="es-ES_tradnl"/>
        </w:rPr>
      </w:pPr>
      <w:r w:rsidRPr="00F67A51">
        <w:rPr>
          <w:b/>
          <w:bCs/>
          <w:i/>
          <w:iCs/>
          <w:lang w:val="es-ES_tradnl"/>
        </w:rPr>
        <w:t>1</w:t>
      </w:r>
      <w:r w:rsidRPr="00F67A51">
        <w:rPr>
          <w:b/>
          <w:bCs/>
          <w:i/>
          <w:iCs/>
          <w:lang w:val="es-ES_tradnl"/>
        </w:rPr>
        <w:tab/>
        <w:t>Aplicación del § 2 del Adjunto a la Resolución [A7(E)-AP30B] (CMR</w:t>
      </w:r>
      <w:r w:rsidRPr="00F67A51">
        <w:rPr>
          <w:b/>
          <w:bCs/>
          <w:i/>
          <w:iCs/>
          <w:lang w:val="es-ES_tradnl"/>
        </w:rPr>
        <w:noBreakHyphen/>
        <w:t xml:space="preserve">19) para la </w:t>
      </w:r>
      <w:r w:rsidRPr="001D6CDC">
        <w:rPr>
          <w:b/>
          <w:i/>
          <w:iCs/>
          <w:lang w:val="es-ES_tradnl"/>
        </w:rPr>
        <w:t>modificación</w:t>
      </w:r>
      <w:r w:rsidRPr="00F67A51">
        <w:rPr>
          <w:b/>
          <w:bCs/>
          <w:i/>
          <w:iCs/>
          <w:lang w:val="es-ES_tradnl"/>
        </w:rPr>
        <w:t xml:space="preserve"> en el marco del § 6.1 del Apéndice 30B de una comunicación previamente enviada a la Oficina en virtud del § 6.1 del Apéndice 30B</w:t>
      </w:r>
    </w:p>
    <w:p w14:paraId="5E726489" w14:textId="6AC6F867" w:rsidR="00186556" w:rsidRPr="00F67A51" w:rsidRDefault="00186556" w:rsidP="00186556">
      <w:pPr>
        <w:spacing w:before="120"/>
        <w:rPr>
          <w:i/>
          <w:iCs/>
          <w:lang w:val="es-ES_tradnl"/>
        </w:rPr>
      </w:pPr>
      <w:r w:rsidRPr="00F67A51">
        <w:rPr>
          <w:i/>
          <w:iCs/>
          <w:lang w:val="es-ES_tradnl"/>
        </w:rPr>
        <w:t>Cuando, al aplicar el § 2 del Adjunto a la Resolución</w:t>
      </w:r>
      <w:r w:rsidR="00B82BC5">
        <w:rPr>
          <w:i/>
          <w:iCs/>
          <w:lang w:val="es-ES_tradnl"/>
        </w:rPr>
        <w:t> </w:t>
      </w:r>
      <w:r w:rsidRPr="00F67A51">
        <w:rPr>
          <w:b/>
          <w:bCs/>
          <w:i/>
          <w:iCs/>
          <w:lang w:val="es-ES_tradnl"/>
        </w:rPr>
        <w:t>[A7(E)-AP30B] (CMR-19)</w:t>
      </w:r>
      <w:r w:rsidRPr="00F67A51">
        <w:rPr>
          <w:i/>
          <w:iCs/>
          <w:lang w:val="es-ES_tradnl"/>
        </w:rPr>
        <w:t xml:space="preserve"> una administración pretenda modificar una comunicación previamente enviada a la Oficina en virtud del § 6.1 del Apéndice </w:t>
      </w:r>
      <w:r w:rsidRPr="00F67A51">
        <w:rPr>
          <w:b/>
          <w:bCs/>
          <w:i/>
          <w:iCs/>
          <w:lang w:val="es-ES_tradnl"/>
        </w:rPr>
        <w:t>30B</w:t>
      </w:r>
      <w:r w:rsidRPr="00F67A51">
        <w:rPr>
          <w:i/>
          <w:iCs/>
          <w:lang w:val="es-ES_tradnl"/>
        </w:rPr>
        <w:t xml:space="preserve"> del RR, para volver a presentar esta comunicación en virtud del §</w:t>
      </w:r>
      <w:r w:rsidR="00B82BC5">
        <w:rPr>
          <w:i/>
          <w:iCs/>
          <w:lang w:val="es-ES_tradnl"/>
        </w:rPr>
        <w:t> </w:t>
      </w:r>
      <w:r w:rsidRPr="00F67A51">
        <w:rPr>
          <w:i/>
          <w:iCs/>
          <w:lang w:val="es-ES_tradnl"/>
        </w:rPr>
        <w:t>6.1 del Apéndice </w:t>
      </w:r>
      <w:r w:rsidRPr="00F67A51">
        <w:rPr>
          <w:b/>
          <w:bCs/>
          <w:i/>
          <w:iCs/>
          <w:lang w:val="es-ES_tradnl"/>
        </w:rPr>
        <w:t>30B</w:t>
      </w:r>
      <w:r w:rsidRPr="00F67A51">
        <w:rPr>
          <w:i/>
          <w:iCs/>
          <w:lang w:val="es-ES_tradnl"/>
        </w:rPr>
        <w:t xml:space="preserve"> del RR mediante el procedimiento especial descrito en el Adjunto a la Resolución</w:t>
      </w:r>
      <w:r w:rsidR="00B82BC5">
        <w:rPr>
          <w:i/>
          <w:iCs/>
          <w:lang w:val="es-ES_tradnl"/>
        </w:rPr>
        <w:t> </w:t>
      </w:r>
      <w:r w:rsidRPr="00F67A51">
        <w:rPr>
          <w:b/>
          <w:bCs/>
          <w:i/>
          <w:iCs/>
          <w:lang w:val="es-ES_tradnl"/>
        </w:rPr>
        <w:t>[A7(E)-AP30B] (CMR-19)</w:t>
      </w:r>
      <w:r w:rsidRPr="00F67A51">
        <w:rPr>
          <w:i/>
          <w:iCs/>
          <w:lang w:val="es-ES_tradnl"/>
        </w:rPr>
        <w:t>, la Oficina comprobará si la elipse mínima presentada siguiendo este procedimiento se encuentra dentro de los márgenes de la comunicación inicial en virtud del §</w:t>
      </w:r>
      <w:r w:rsidR="00B82BC5">
        <w:rPr>
          <w:i/>
          <w:iCs/>
          <w:lang w:val="es-ES_tradnl"/>
        </w:rPr>
        <w:t> </w:t>
      </w:r>
      <w:r w:rsidRPr="00F67A51">
        <w:rPr>
          <w:i/>
          <w:iCs/>
          <w:lang w:val="es-ES_tradnl"/>
        </w:rPr>
        <w:t>6.1 del Apéndice</w:t>
      </w:r>
      <w:r w:rsidR="00B82BC5">
        <w:rPr>
          <w:i/>
          <w:iCs/>
          <w:lang w:val="es-ES_tradnl"/>
        </w:rPr>
        <w:t> </w:t>
      </w:r>
      <w:r w:rsidRPr="00F67A51">
        <w:rPr>
          <w:b/>
          <w:bCs/>
          <w:i/>
          <w:iCs/>
          <w:lang w:val="es-ES_tradnl"/>
        </w:rPr>
        <w:t>30B</w:t>
      </w:r>
      <w:r w:rsidRPr="00F67A51">
        <w:rPr>
          <w:i/>
          <w:iCs/>
          <w:lang w:val="es-ES_tradnl"/>
        </w:rPr>
        <w:t xml:space="preserve">. En dicho caso, la Oficina mantendrá la fecha de recepción inicial de la comunicación inicial con arreglo al § 6.1 del Apéndice </w:t>
      </w:r>
      <w:r w:rsidRPr="00F67A51">
        <w:rPr>
          <w:b/>
          <w:bCs/>
          <w:i/>
          <w:iCs/>
          <w:lang w:val="es-ES_tradnl"/>
        </w:rPr>
        <w:t>30B,</w:t>
      </w:r>
      <w:r w:rsidRPr="00F67A51">
        <w:rPr>
          <w:i/>
          <w:iCs/>
          <w:lang w:val="es-ES_tradnl"/>
        </w:rPr>
        <w:t xml:space="preserve"> volverá a iniciar el examen de compatibilidad con la notificación existente y publicará una nueva Sección Especial. En otro caso, la Oficina comunicará una nueva fecha de recepción que será la fecha de recepción de la solicitud de aplicación de este procedimiento.</w:t>
      </w:r>
    </w:p>
    <w:p w14:paraId="6587CE55" w14:textId="77777777" w:rsidR="00186556" w:rsidRPr="00F67A51" w:rsidRDefault="00186556" w:rsidP="001D6CDC">
      <w:pPr>
        <w:tabs>
          <w:tab w:val="left" w:pos="794"/>
        </w:tabs>
        <w:spacing w:before="120"/>
        <w:ind w:left="794" w:hanging="794"/>
        <w:rPr>
          <w:b/>
          <w:i/>
          <w:iCs/>
          <w:lang w:val="es-ES_tradnl"/>
        </w:rPr>
      </w:pPr>
      <w:r w:rsidRPr="00F67A51">
        <w:rPr>
          <w:b/>
          <w:i/>
          <w:iCs/>
          <w:lang w:val="es-ES_tradnl"/>
        </w:rPr>
        <w:lastRenderedPageBreak/>
        <w:t>2</w:t>
      </w:r>
      <w:r w:rsidRPr="00F67A51">
        <w:rPr>
          <w:b/>
          <w:i/>
          <w:iCs/>
          <w:lang w:val="es-ES_tradnl"/>
        </w:rPr>
        <w:tab/>
        <w:t>Aplicación del § 2 del Adjunto a la Resolución [A7(E)-AP30B] (CMR</w:t>
      </w:r>
      <w:r w:rsidRPr="00F67A51">
        <w:rPr>
          <w:b/>
          <w:i/>
          <w:iCs/>
          <w:lang w:val="es-ES_tradnl"/>
        </w:rPr>
        <w:noBreakHyphen/>
        <w:t>19) para la notificación directa con arreglo al § 6.17 del Apéndice 30B de una comunicación previamente enviada a la Oficina en virtud del § 6.1 del Apéndice 30B</w:t>
      </w:r>
    </w:p>
    <w:p w14:paraId="260388AB" w14:textId="77777777" w:rsidR="00186556" w:rsidRPr="00F67A51" w:rsidRDefault="00186556" w:rsidP="00186556">
      <w:pPr>
        <w:pStyle w:val="enumlev1"/>
        <w:ind w:left="794" w:hanging="794"/>
        <w:rPr>
          <w:i/>
          <w:iCs/>
          <w:lang w:val="es-ES_tradnl"/>
        </w:rPr>
      </w:pPr>
      <w:r w:rsidRPr="00F67A51">
        <w:rPr>
          <w:i/>
          <w:iCs/>
          <w:lang w:val="es-ES_tradnl"/>
        </w:rPr>
        <w:t>a)</w:t>
      </w:r>
      <w:r w:rsidRPr="00F67A51">
        <w:rPr>
          <w:i/>
          <w:iCs/>
          <w:lang w:val="es-ES_tradnl"/>
        </w:rPr>
        <w:tab/>
        <w:t>Presentación de una elipse conforme al § 6.17 del Apéndice 30B</w:t>
      </w:r>
    </w:p>
    <w:p w14:paraId="709ED046" w14:textId="6C3FECAD" w:rsidR="00186556" w:rsidRPr="00F67A51" w:rsidRDefault="00186556" w:rsidP="00186556">
      <w:pPr>
        <w:pStyle w:val="enumlev1"/>
        <w:ind w:left="794" w:hanging="794"/>
        <w:rPr>
          <w:i/>
          <w:iCs/>
          <w:lang w:val="es-ES_tradnl"/>
        </w:rPr>
      </w:pPr>
      <w:r w:rsidRPr="00F67A51">
        <w:rPr>
          <w:i/>
          <w:iCs/>
          <w:lang w:val="es-ES_tradnl"/>
        </w:rPr>
        <w:tab/>
        <w:t>Cuando, al aplicar el §</w:t>
      </w:r>
      <w:r w:rsidR="00A5781F">
        <w:rPr>
          <w:i/>
          <w:iCs/>
          <w:lang w:val="es-ES_tradnl"/>
        </w:rPr>
        <w:t> </w:t>
      </w:r>
      <w:r w:rsidRPr="00F67A51">
        <w:rPr>
          <w:i/>
          <w:iCs/>
          <w:lang w:val="es-ES_tradnl"/>
        </w:rPr>
        <w:t xml:space="preserve">2 del Adjunto a la Resolución </w:t>
      </w:r>
      <w:r w:rsidRPr="00F67A51">
        <w:rPr>
          <w:b/>
          <w:bCs/>
          <w:i/>
          <w:iCs/>
          <w:lang w:val="es-ES_tradnl"/>
        </w:rPr>
        <w:t>[A7(E)-AP30B] (CMR-19)</w:t>
      </w:r>
      <w:r w:rsidRPr="00F67A51">
        <w:rPr>
          <w:i/>
          <w:iCs/>
          <w:lang w:val="es-ES_tradnl"/>
        </w:rPr>
        <w:t xml:space="preserve"> una administración pretenda una notificación directa en virtud del § 6.17 del Apéndice </w:t>
      </w:r>
      <w:r w:rsidRPr="00F67A51">
        <w:rPr>
          <w:b/>
          <w:bCs/>
          <w:i/>
          <w:iCs/>
          <w:lang w:val="es-ES_tradnl"/>
        </w:rPr>
        <w:t>30B</w:t>
      </w:r>
      <w:r w:rsidRPr="00F67A51">
        <w:rPr>
          <w:i/>
          <w:iCs/>
          <w:lang w:val="es-ES_tradnl"/>
        </w:rPr>
        <w:t xml:space="preserve"> del</w:t>
      </w:r>
      <w:r w:rsidR="00B82BC5">
        <w:rPr>
          <w:i/>
          <w:iCs/>
          <w:lang w:val="es-ES_tradnl"/>
        </w:rPr>
        <w:t xml:space="preserve"> </w:t>
      </w:r>
      <w:r w:rsidRPr="00F67A51">
        <w:rPr>
          <w:i/>
          <w:iCs/>
          <w:lang w:val="es-ES_tradnl"/>
        </w:rPr>
        <w:t xml:space="preserve">RR aplicando el procedimiento especial descrito en el Adjunto a la Resolución </w:t>
      </w:r>
      <w:r w:rsidRPr="00F67A51">
        <w:rPr>
          <w:b/>
          <w:bCs/>
          <w:i/>
          <w:iCs/>
          <w:lang w:val="es-ES_tradnl"/>
        </w:rPr>
        <w:t>[A7(E)</w:t>
      </w:r>
      <w:r w:rsidRPr="00F67A51">
        <w:rPr>
          <w:b/>
          <w:bCs/>
          <w:i/>
          <w:iCs/>
          <w:lang w:val="es-ES_tradnl"/>
        </w:rPr>
        <w:noBreakHyphen/>
        <w:t>AP30B] (CMR-19)</w:t>
      </w:r>
      <w:r w:rsidRPr="00F67A51">
        <w:rPr>
          <w:i/>
          <w:iCs/>
          <w:lang w:val="es-ES_tradnl"/>
        </w:rPr>
        <w:t xml:space="preserve"> a una comunicación previamente enviada a la Oficina en virtud del § 6.1 del Apéndice </w:t>
      </w:r>
      <w:r w:rsidRPr="00F67A51">
        <w:rPr>
          <w:b/>
          <w:bCs/>
          <w:i/>
          <w:iCs/>
          <w:lang w:val="es-ES_tradnl"/>
        </w:rPr>
        <w:t>30B</w:t>
      </w:r>
      <w:r w:rsidRPr="00F67A51">
        <w:rPr>
          <w:i/>
          <w:iCs/>
          <w:lang w:val="es-ES_tradnl"/>
        </w:rPr>
        <w:t xml:space="preserve">, la Oficina comprobará si la elipse mínima presentada siguiendo este procedimiento se encuentra dentro de los márgenes de la comunicación inicial con arreglo al § 6.1 del Apéndice </w:t>
      </w:r>
      <w:r w:rsidRPr="00F67A51">
        <w:rPr>
          <w:b/>
          <w:bCs/>
          <w:i/>
          <w:iCs/>
          <w:lang w:val="es-ES_tradnl"/>
        </w:rPr>
        <w:t>30B</w:t>
      </w:r>
      <w:r w:rsidRPr="00F67A51">
        <w:rPr>
          <w:i/>
          <w:iCs/>
          <w:lang w:val="es-ES_tradnl"/>
        </w:rPr>
        <w:t>. En dicho caso, la Oficina mantendrá la fecha de recepción inicial de la comunicación inicial en virtud del § 6.1 del Apéndice </w:t>
      </w:r>
      <w:r w:rsidRPr="00F67A51">
        <w:rPr>
          <w:b/>
          <w:bCs/>
          <w:i/>
          <w:iCs/>
          <w:lang w:val="es-ES_tradnl"/>
        </w:rPr>
        <w:t>30B</w:t>
      </w:r>
      <w:r w:rsidRPr="00F67A51">
        <w:rPr>
          <w:i/>
          <w:iCs/>
          <w:lang w:val="es-ES_tradnl"/>
        </w:rPr>
        <w:t xml:space="preserve"> y llevará a cabo el examen con arreglo al</w:t>
      </w:r>
      <w:r w:rsidR="00B82BC5">
        <w:rPr>
          <w:i/>
          <w:iCs/>
          <w:lang w:val="es-ES_tradnl"/>
        </w:rPr>
        <w:t xml:space="preserve"> </w:t>
      </w:r>
      <w:r w:rsidRPr="00F67A51">
        <w:rPr>
          <w:i/>
          <w:iCs/>
          <w:lang w:val="es-ES_tradnl"/>
        </w:rPr>
        <w:t>§ 6.17</w:t>
      </w:r>
      <w:r w:rsidR="00B82BC5">
        <w:rPr>
          <w:i/>
          <w:iCs/>
          <w:lang w:val="es-ES_tradnl"/>
        </w:rPr>
        <w:t xml:space="preserve"> </w:t>
      </w:r>
      <w:r w:rsidRPr="00F67A51">
        <w:rPr>
          <w:i/>
          <w:iCs/>
          <w:lang w:val="es-ES_tradnl"/>
        </w:rPr>
        <w:t>del Apéndice</w:t>
      </w:r>
      <w:r w:rsidR="00B82BC5">
        <w:rPr>
          <w:i/>
          <w:iCs/>
          <w:lang w:val="es-ES_tradnl"/>
        </w:rPr>
        <w:t> </w:t>
      </w:r>
      <w:r w:rsidRPr="00F67A51">
        <w:rPr>
          <w:b/>
          <w:bCs/>
          <w:i/>
          <w:iCs/>
          <w:lang w:val="es-ES_tradnl"/>
        </w:rPr>
        <w:t>30B</w:t>
      </w:r>
      <w:r w:rsidRPr="00F67A51">
        <w:rPr>
          <w:i/>
          <w:iCs/>
          <w:lang w:val="es-ES_tradnl"/>
        </w:rPr>
        <w:t xml:space="preserve"> basándose en esta elipse mínima. En otro caso, la Oficina devolverá la notificación a la administración.</w:t>
      </w:r>
    </w:p>
    <w:p w14:paraId="39CD2B3A" w14:textId="77777777" w:rsidR="00186556" w:rsidRPr="00F67A51" w:rsidRDefault="00186556" w:rsidP="006A6EAC">
      <w:pPr>
        <w:pStyle w:val="enumlev1"/>
        <w:ind w:left="794" w:hanging="794"/>
        <w:rPr>
          <w:i/>
          <w:iCs/>
          <w:lang w:val="es-ES_tradnl"/>
        </w:rPr>
      </w:pPr>
      <w:r w:rsidRPr="00F67A51">
        <w:rPr>
          <w:i/>
          <w:iCs/>
          <w:lang w:val="es-ES_tradnl"/>
        </w:rPr>
        <w:t>b)</w:t>
      </w:r>
      <w:r w:rsidRPr="00F67A51">
        <w:rPr>
          <w:i/>
          <w:iCs/>
          <w:lang w:val="es-ES_tradnl"/>
        </w:rPr>
        <w:tab/>
        <w:t>Presentación de un haz conformado en virtud del § 6.17 del Apéndice 30B</w:t>
      </w:r>
    </w:p>
    <w:p w14:paraId="0F0032AE" w14:textId="77777777" w:rsidR="00186556" w:rsidRPr="00F67A51" w:rsidRDefault="00186556" w:rsidP="00186556">
      <w:pPr>
        <w:pStyle w:val="enumlev1"/>
        <w:spacing w:before="80"/>
        <w:ind w:left="794" w:hanging="794"/>
        <w:rPr>
          <w:i/>
          <w:iCs/>
          <w:lang w:val="es-ES_tradnl"/>
        </w:rPr>
      </w:pPr>
      <w:r w:rsidRPr="00F67A51">
        <w:rPr>
          <w:i/>
          <w:iCs/>
          <w:lang w:val="es-ES_tradnl"/>
        </w:rPr>
        <w:tab/>
        <w:t xml:space="preserve">Cuando, al aplicar el § 2 del Adjunto a la Resolución </w:t>
      </w:r>
      <w:r w:rsidRPr="00F67A51">
        <w:rPr>
          <w:b/>
          <w:bCs/>
          <w:i/>
          <w:iCs/>
          <w:lang w:val="es-ES_tradnl"/>
        </w:rPr>
        <w:t>[A7(E)-AP30B] (CMR</w:t>
      </w:r>
      <w:r w:rsidRPr="00F67A51">
        <w:rPr>
          <w:b/>
          <w:bCs/>
          <w:i/>
          <w:iCs/>
          <w:lang w:val="es-ES_tradnl"/>
        </w:rPr>
        <w:noBreakHyphen/>
        <w:t>19)</w:t>
      </w:r>
      <w:r w:rsidRPr="00F67A51">
        <w:rPr>
          <w:i/>
          <w:iCs/>
          <w:lang w:val="es-ES_tradnl"/>
        </w:rPr>
        <w:t xml:space="preserve"> una administración pretenda una notificación directa en virtud del § 6.17 del Apéndice </w:t>
      </w:r>
      <w:r w:rsidRPr="00F67A51">
        <w:rPr>
          <w:b/>
          <w:bCs/>
          <w:i/>
          <w:iCs/>
          <w:lang w:val="es-ES_tradnl"/>
        </w:rPr>
        <w:t>30B</w:t>
      </w:r>
      <w:r w:rsidRPr="00F67A51">
        <w:rPr>
          <w:i/>
          <w:iCs/>
          <w:lang w:val="es-ES_tradnl"/>
        </w:rPr>
        <w:t xml:space="preserve"> del RR aplicando el procedimiento especial descrito en el Adjunto a la Resolución </w:t>
      </w:r>
      <w:r w:rsidRPr="00F67A51">
        <w:rPr>
          <w:b/>
          <w:bCs/>
          <w:i/>
          <w:iCs/>
          <w:lang w:val="es-ES_tradnl"/>
        </w:rPr>
        <w:t>[A7(E)</w:t>
      </w:r>
      <w:r w:rsidRPr="00F67A51">
        <w:rPr>
          <w:b/>
          <w:bCs/>
          <w:i/>
          <w:iCs/>
          <w:lang w:val="es-ES_tradnl"/>
        </w:rPr>
        <w:noBreakHyphen/>
        <w:t>AP30B] (CMR-19)</w:t>
      </w:r>
      <w:r w:rsidRPr="00F67A51">
        <w:rPr>
          <w:i/>
          <w:iCs/>
          <w:lang w:val="es-ES_tradnl"/>
        </w:rPr>
        <w:t xml:space="preserve"> a una comunicación previamente enviada a la Oficina en virtud del § 6.1 del Apéndice </w:t>
      </w:r>
      <w:r w:rsidRPr="00F67A51">
        <w:rPr>
          <w:b/>
          <w:bCs/>
          <w:i/>
          <w:iCs/>
          <w:lang w:val="es-ES_tradnl"/>
        </w:rPr>
        <w:t>30B</w:t>
      </w:r>
      <w:r w:rsidRPr="00F67A51">
        <w:rPr>
          <w:i/>
          <w:iCs/>
          <w:lang w:val="es-ES_tradnl"/>
        </w:rPr>
        <w:t xml:space="preserve">, la Oficina comprobará si el haz conformado presentado siguiendo este procedimiento se encuentra dentro de los márgenes de la elipse mínima generada por la Oficina, teniendo en cuenta los puntos de prueba correspondientes, y dentro de los márgenes de la comunicación inicial con arreglo al § 6.1 del Apéndice </w:t>
      </w:r>
      <w:r w:rsidRPr="00F67A51">
        <w:rPr>
          <w:b/>
          <w:bCs/>
          <w:i/>
          <w:iCs/>
          <w:lang w:val="es-ES_tradnl"/>
        </w:rPr>
        <w:t>30B</w:t>
      </w:r>
      <w:r w:rsidRPr="00F67A51">
        <w:rPr>
          <w:i/>
          <w:iCs/>
          <w:lang w:val="es-ES_tradnl"/>
        </w:rPr>
        <w:t>. En dicho caso, la Oficina mantendrá la fecha de recepción inicial de la comunicación inicial en virtud del § 6.1 del Apéndice </w:t>
      </w:r>
      <w:r w:rsidRPr="00F67A51">
        <w:rPr>
          <w:b/>
          <w:bCs/>
          <w:i/>
          <w:iCs/>
          <w:lang w:val="es-ES_tradnl"/>
        </w:rPr>
        <w:t>30B</w:t>
      </w:r>
      <w:r w:rsidRPr="00F67A51">
        <w:rPr>
          <w:i/>
          <w:iCs/>
          <w:lang w:val="es-ES_tradnl"/>
        </w:rPr>
        <w:t xml:space="preserve"> y llevará a cabo el examen con arreglo al § 6.17 del Apéndice </w:t>
      </w:r>
      <w:r w:rsidRPr="00F67A51">
        <w:rPr>
          <w:b/>
          <w:bCs/>
          <w:i/>
          <w:iCs/>
          <w:lang w:val="es-ES_tradnl"/>
        </w:rPr>
        <w:t>30B</w:t>
      </w:r>
      <w:r w:rsidRPr="00F67A51">
        <w:rPr>
          <w:i/>
          <w:iCs/>
          <w:lang w:val="es-ES_tradnl"/>
        </w:rPr>
        <w:t xml:space="preserve"> basándose en esta elipse mínima. En otro caso, la Oficina devolverá la notificación a la administración.</w:t>
      </w:r>
    </w:p>
    <w:p w14:paraId="15A4F230" w14:textId="77777777" w:rsidR="00186556" w:rsidRPr="00F67A51" w:rsidRDefault="00186556" w:rsidP="001D6CDC">
      <w:pPr>
        <w:tabs>
          <w:tab w:val="left" w:pos="794"/>
        </w:tabs>
        <w:spacing w:before="120"/>
        <w:ind w:left="794" w:hanging="794"/>
        <w:rPr>
          <w:b/>
          <w:i/>
          <w:iCs/>
          <w:lang w:val="es-ES_tradnl"/>
        </w:rPr>
      </w:pPr>
      <w:r w:rsidRPr="00F67A51">
        <w:rPr>
          <w:b/>
          <w:i/>
          <w:iCs/>
          <w:lang w:val="es-ES_tradnl"/>
        </w:rPr>
        <w:t>3</w:t>
      </w:r>
      <w:r w:rsidRPr="00F67A51">
        <w:rPr>
          <w:b/>
          <w:i/>
          <w:iCs/>
          <w:lang w:val="es-ES_tradnl"/>
        </w:rPr>
        <w:tab/>
        <w:t>Haz creado cuando una administración que actúa en nombre de un grupo de administraciones designadas presenta un sistema adicional</w:t>
      </w:r>
    </w:p>
    <w:p w14:paraId="73EBDF05" w14:textId="77777777" w:rsidR="00186556" w:rsidRPr="00F67A51" w:rsidRDefault="00186556" w:rsidP="00186556">
      <w:pPr>
        <w:spacing w:before="80"/>
        <w:rPr>
          <w:i/>
          <w:iCs/>
          <w:lang w:val="es-ES_tradnl"/>
        </w:rPr>
      </w:pPr>
      <w:r w:rsidRPr="00F67A51">
        <w:rPr>
          <w:i/>
          <w:iCs/>
          <w:lang w:val="es-ES_tradnl"/>
        </w:rPr>
        <w:t>En el caso de la presentación de un sistema adicional por una administración que actúa en nombre de un grupo de administraciones designadas, el haz de la presentación está formado por la combinación de todas las elipses mínimas individuales asociadas a cada una de las administraciones del grupo:</w:t>
      </w:r>
    </w:p>
    <w:p w14:paraId="3AD7BCE0" w14:textId="77777777" w:rsidR="00186556" w:rsidRPr="00F67A51" w:rsidRDefault="00186556" w:rsidP="001D6CDC">
      <w:pPr>
        <w:pStyle w:val="enumlev1"/>
        <w:tabs>
          <w:tab w:val="left" w:pos="794"/>
        </w:tabs>
        <w:spacing w:before="80"/>
        <w:ind w:left="794" w:hanging="794"/>
        <w:rPr>
          <w:i/>
          <w:iCs/>
          <w:lang w:val="es-ES_tradnl"/>
        </w:rPr>
      </w:pPr>
      <w:r w:rsidRPr="00F67A51">
        <w:rPr>
          <w:i/>
          <w:iCs/>
          <w:lang w:val="es-ES_tradnl"/>
        </w:rPr>
        <w:t>–</w:t>
      </w:r>
      <w:r w:rsidRPr="00F67A51">
        <w:rPr>
          <w:i/>
          <w:iCs/>
          <w:lang w:val="es-ES_tradnl"/>
        </w:rPr>
        <w:tab/>
        <w:t>Si todas las elipses mínimas individuales se superponen entre sí, el haz solo contiene la zona de cobertura formada por el contorno de la combinación de todas las elipses mínimas individuales.</w:t>
      </w:r>
    </w:p>
    <w:p w14:paraId="0175B32C" w14:textId="77777777" w:rsidR="00186556" w:rsidRDefault="00186556" w:rsidP="001D6CDC">
      <w:pPr>
        <w:pStyle w:val="enumlev1"/>
        <w:tabs>
          <w:tab w:val="left" w:pos="794"/>
        </w:tabs>
        <w:spacing w:before="80"/>
        <w:ind w:left="794" w:hanging="794"/>
        <w:rPr>
          <w:i/>
          <w:iCs/>
          <w:lang w:val="es-ES_tradnl"/>
        </w:rPr>
      </w:pPr>
      <w:r w:rsidRPr="00F67A51">
        <w:rPr>
          <w:i/>
          <w:iCs/>
          <w:lang w:val="es-ES_tradnl"/>
        </w:rPr>
        <w:t>–</w:t>
      </w:r>
      <w:r w:rsidRPr="00F67A51">
        <w:rPr>
          <w:i/>
          <w:iCs/>
          <w:lang w:val="es-ES_tradnl"/>
        </w:rPr>
        <w:tab/>
        <w:t>Si no todas las elipses mínimas individuales se superponen entre sí, el haz consta de múltiples haces puntuales derivados de las elipses que no se superponen y cada haz puntual está formado por el contorno formado por la combinación de las elipses mínimas individuales que se superponen entre sí.</w:t>
      </w:r>
    </w:p>
    <w:p w14:paraId="1E0D1052" w14:textId="59D82CB0" w:rsidR="006A6EAC" w:rsidRDefault="006A6EAC" w:rsidP="006A6EAC">
      <w:pPr>
        <w:rPr>
          <w:lang w:val="es-ES_tradnl"/>
        </w:rPr>
      </w:pPr>
      <w:r>
        <w:rPr>
          <w:lang w:val="es-ES_tradnl"/>
        </w:rPr>
        <w:br w:type="page"/>
      </w:r>
    </w:p>
    <w:p w14:paraId="1B6751A3" w14:textId="7C21C01E" w:rsidR="00186556" w:rsidRPr="00F67A51" w:rsidRDefault="00186556" w:rsidP="001D6CDC">
      <w:pPr>
        <w:tabs>
          <w:tab w:val="left" w:pos="794"/>
        </w:tabs>
        <w:spacing w:before="120"/>
        <w:ind w:left="794" w:hanging="794"/>
        <w:rPr>
          <w:b/>
          <w:i/>
          <w:iCs/>
          <w:lang w:val="es-ES_tradnl"/>
        </w:rPr>
      </w:pPr>
      <w:r w:rsidRPr="00F67A51">
        <w:rPr>
          <w:b/>
          <w:i/>
          <w:iCs/>
          <w:lang w:val="es-ES_tradnl"/>
        </w:rPr>
        <w:lastRenderedPageBreak/>
        <w:t>4</w:t>
      </w:r>
      <w:r w:rsidRPr="00F67A51">
        <w:rPr>
          <w:b/>
          <w:i/>
          <w:iCs/>
          <w:lang w:val="es-ES_tradnl"/>
        </w:rPr>
        <w:tab/>
        <w:t>Aplicación del §</w:t>
      </w:r>
      <w:r w:rsidR="00B82BC5">
        <w:rPr>
          <w:b/>
          <w:i/>
          <w:iCs/>
          <w:lang w:val="es-ES_tradnl"/>
        </w:rPr>
        <w:t> </w:t>
      </w:r>
      <w:r w:rsidRPr="00F67A51">
        <w:rPr>
          <w:b/>
          <w:i/>
          <w:iCs/>
          <w:lang w:val="es-ES_tradnl"/>
        </w:rPr>
        <w:t>12 del Adjunto a la Resolución [A7(E)-AP30B] (CMR</w:t>
      </w:r>
      <w:r w:rsidRPr="00F67A51">
        <w:rPr>
          <w:b/>
          <w:i/>
          <w:iCs/>
          <w:lang w:val="es-ES_tradnl"/>
        </w:rPr>
        <w:noBreakHyphen/>
        <w:t>19) cuando no existe colaboración por parte de la administración notificante de la red existente</w:t>
      </w:r>
    </w:p>
    <w:p w14:paraId="65B3ABF6" w14:textId="5DECF753" w:rsidR="00186556" w:rsidRPr="00C04663" w:rsidRDefault="00186556" w:rsidP="00186556">
      <w:pPr>
        <w:spacing w:before="120"/>
        <w:rPr>
          <w:lang w:val="es-ES"/>
        </w:rPr>
      </w:pPr>
      <w:r w:rsidRPr="00F67A51">
        <w:rPr>
          <w:i/>
          <w:iCs/>
          <w:lang w:val="es-ES_tradnl"/>
        </w:rPr>
        <w:t>Cuando, en aplicación del §</w:t>
      </w:r>
      <w:r w:rsidR="00B82BC5">
        <w:rPr>
          <w:i/>
          <w:iCs/>
          <w:lang w:val="es-ES_tradnl"/>
        </w:rPr>
        <w:t> </w:t>
      </w:r>
      <w:r w:rsidRPr="00F67A51">
        <w:rPr>
          <w:i/>
          <w:iCs/>
          <w:lang w:val="es-ES_tradnl"/>
        </w:rPr>
        <w:t xml:space="preserve">12 del Adjunto a la Resolución </w:t>
      </w:r>
      <w:r w:rsidRPr="00F67A51">
        <w:rPr>
          <w:b/>
          <w:bCs/>
          <w:i/>
          <w:iCs/>
          <w:lang w:val="es-ES_tradnl"/>
        </w:rPr>
        <w:t>[A7(E)-AP30B] (CMR</w:t>
      </w:r>
      <w:r w:rsidRPr="00F67A51">
        <w:rPr>
          <w:b/>
          <w:bCs/>
          <w:i/>
          <w:iCs/>
          <w:lang w:val="es-ES_tradnl"/>
        </w:rPr>
        <w:noBreakHyphen/>
        <w:t>19)</w:t>
      </w:r>
      <w:r w:rsidRPr="00F67A51">
        <w:rPr>
          <w:i/>
          <w:iCs/>
          <w:lang w:val="es-ES_tradnl"/>
        </w:rPr>
        <w:t>, la Oficina no reciba la confirmación por parte de la administración notificante de la red entrante de que la colaboración entre las dos</w:t>
      </w:r>
      <w:r w:rsidR="00A5781F">
        <w:rPr>
          <w:i/>
          <w:iCs/>
          <w:lang w:val="es-ES_tradnl"/>
        </w:rPr>
        <w:t> </w:t>
      </w:r>
      <w:r w:rsidRPr="00F67A51">
        <w:rPr>
          <w:i/>
          <w:iCs/>
          <w:lang w:val="es-ES_tradnl"/>
        </w:rPr>
        <w:t>administraciones se ha iniciado adecuadamente, la administración notificante podrá solicitar la ayuda de la Oficina. La Oficina enviará inmediatamente un telefax a la administración notificante de la red existente solicitándole la entrega, en un plazo de 30</w:t>
      </w:r>
      <w:r w:rsidR="00A5781F">
        <w:rPr>
          <w:i/>
          <w:iCs/>
          <w:lang w:val="es-ES_tradnl"/>
        </w:rPr>
        <w:t> </w:t>
      </w:r>
      <w:r w:rsidRPr="00F67A51">
        <w:rPr>
          <w:i/>
          <w:iCs/>
          <w:lang w:val="es-ES_tradnl"/>
        </w:rPr>
        <w:t>días, de las condiciones para que los responsables de la operación verifiquen la interferencia perjudicial y la propuesta de fecha de aplicación de esas condiciones, en un plazo máximo de cuatro</w:t>
      </w:r>
      <w:r w:rsidR="00A5781F">
        <w:rPr>
          <w:i/>
          <w:iCs/>
          <w:lang w:val="es-ES_tradnl"/>
        </w:rPr>
        <w:t> </w:t>
      </w:r>
      <w:r w:rsidRPr="00F67A51">
        <w:rPr>
          <w:i/>
          <w:iCs/>
          <w:lang w:val="es-ES_tradnl"/>
        </w:rPr>
        <w:t>meses, para la aplicación del §</w:t>
      </w:r>
      <w:r w:rsidR="00A5781F">
        <w:rPr>
          <w:i/>
          <w:iCs/>
          <w:lang w:val="es-ES_tradnl"/>
        </w:rPr>
        <w:t> </w:t>
      </w:r>
      <w:r w:rsidRPr="00F67A51">
        <w:rPr>
          <w:i/>
          <w:iCs/>
          <w:lang w:val="es-ES_tradnl"/>
        </w:rPr>
        <w:t>12 de la Resolución</w:t>
      </w:r>
      <w:r w:rsidR="003E1413">
        <w:rPr>
          <w:i/>
          <w:iCs/>
          <w:lang w:val="es-ES_tradnl"/>
        </w:rPr>
        <w:t> </w:t>
      </w:r>
      <w:r w:rsidRPr="00F67A51">
        <w:rPr>
          <w:b/>
          <w:bCs/>
          <w:i/>
          <w:iCs/>
          <w:lang w:val="es-ES_tradnl"/>
        </w:rPr>
        <w:t>[A7(E)-AP30B]</w:t>
      </w:r>
      <w:r w:rsidRPr="00F67A51">
        <w:rPr>
          <w:i/>
          <w:iCs/>
          <w:lang w:val="es-ES_tradnl"/>
        </w:rPr>
        <w:t>. En caso de no recibir dicha información, la</w:t>
      </w:r>
      <w:r w:rsidR="003E1413">
        <w:rPr>
          <w:i/>
          <w:iCs/>
          <w:lang w:val="es-ES_tradnl"/>
        </w:rPr>
        <w:t xml:space="preserve"> </w:t>
      </w:r>
      <w:r w:rsidRPr="00F67A51">
        <w:rPr>
          <w:i/>
          <w:iCs/>
          <w:lang w:val="es-ES_tradnl"/>
        </w:rPr>
        <w:t>Oficina enviará inmediatamente un recordatorio concediendo 15</w:t>
      </w:r>
      <w:r w:rsidR="003E1413">
        <w:rPr>
          <w:i/>
          <w:iCs/>
          <w:lang w:val="es-ES_tradnl"/>
        </w:rPr>
        <w:t> </w:t>
      </w:r>
      <w:r w:rsidRPr="00F67A51">
        <w:rPr>
          <w:i/>
          <w:iCs/>
          <w:lang w:val="es-ES_tradnl"/>
        </w:rPr>
        <w:t>días adicionales para la respuesta. De no recibirse el acuse de recibo en esos 15</w:t>
      </w:r>
      <w:r w:rsidR="00A5781F">
        <w:rPr>
          <w:i/>
          <w:iCs/>
          <w:lang w:val="es-ES_tradnl"/>
        </w:rPr>
        <w:t> </w:t>
      </w:r>
      <w:r w:rsidRPr="00F67A51">
        <w:rPr>
          <w:i/>
          <w:iCs/>
          <w:lang w:val="es-ES_tradnl"/>
        </w:rPr>
        <w:t>días, se considerará que la administración notificante de la red existente, que no ha iniciado la colaboración, entiende que no se formulará queja alguna con respecto a las interferencias perjudiciales que afecten a sus propias asignaciones y que pudieran ser causadas por la asignación de la administración notificante de la red entrante para la que solicitó la coordinación</w:t>
      </w:r>
      <w:r w:rsidRPr="00680E36">
        <w:rPr>
          <w:lang w:val="es-ES_tradnl"/>
        </w:rPr>
        <w:t>».</w:t>
      </w:r>
      <w:r w:rsidR="001D6CDC">
        <w:rPr>
          <w:lang w:val="es-ES_tradnl"/>
        </w:rPr>
        <w:t>*</w:t>
      </w:r>
    </w:p>
    <w:p w14:paraId="38D8E83A" w14:textId="4BA51DF5" w:rsidR="00186556" w:rsidRPr="00680E36" w:rsidRDefault="001D6CDC" w:rsidP="00186556">
      <w:pPr>
        <w:spacing w:before="120"/>
        <w:rPr>
          <w:sz w:val="20"/>
          <w:lang w:val="es-ES_tradnl"/>
        </w:rPr>
      </w:pPr>
      <w:r w:rsidRPr="006746C8">
        <w:rPr>
          <w:sz w:val="20"/>
          <w:lang w:val="es-ES_tradnl"/>
        </w:rPr>
        <w:t>*</w:t>
      </w:r>
      <w:r w:rsidR="003E1413">
        <w:rPr>
          <w:i/>
          <w:iCs/>
          <w:sz w:val="20"/>
          <w:lang w:val="es-ES"/>
        </w:rPr>
        <w:t>  </w:t>
      </w:r>
      <w:r w:rsidR="00186556" w:rsidRPr="00680E36">
        <w:rPr>
          <w:i/>
          <w:iCs/>
          <w:sz w:val="20"/>
          <w:lang w:val="es-ES"/>
        </w:rPr>
        <w:t xml:space="preserve">Nota de la Secretaría: </w:t>
      </w:r>
      <w:r w:rsidR="00186556" w:rsidRPr="00680E36">
        <w:rPr>
          <w:sz w:val="20"/>
          <w:lang w:val="es-ES"/>
        </w:rPr>
        <w:t>El número definitivo de la Resolución</w:t>
      </w:r>
      <w:r w:rsidR="00186556" w:rsidRPr="00680E36">
        <w:rPr>
          <w:sz w:val="20"/>
          <w:lang w:val="es-ES_tradnl"/>
        </w:rPr>
        <w:t xml:space="preserve"> </w:t>
      </w:r>
      <w:r w:rsidR="00186556" w:rsidRPr="00680E36">
        <w:rPr>
          <w:b/>
          <w:bCs/>
          <w:sz w:val="20"/>
          <w:lang w:val="es-ES_tradnl"/>
        </w:rPr>
        <w:t>[A7(E)-AP30B] (CMR-19)</w:t>
      </w:r>
      <w:r w:rsidR="00186556" w:rsidRPr="00680E36">
        <w:rPr>
          <w:sz w:val="20"/>
          <w:lang w:val="es-ES_tradnl"/>
        </w:rPr>
        <w:t xml:space="preserve"> es Resolución </w:t>
      </w:r>
      <w:r w:rsidR="00186556" w:rsidRPr="00680E36">
        <w:rPr>
          <w:b/>
          <w:bCs/>
          <w:sz w:val="20"/>
          <w:lang w:val="es-ES_tradnl"/>
        </w:rPr>
        <w:t>170 (</w:t>
      </w:r>
      <w:r w:rsidR="00205E70">
        <w:rPr>
          <w:b/>
          <w:bCs/>
          <w:sz w:val="20"/>
          <w:lang w:val="es-ES_tradnl"/>
        </w:rPr>
        <w:t>Rev.</w:t>
      </w:r>
      <w:r w:rsidR="00186556" w:rsidRPr="00680E36">
        <w:rPr>
          <w:b/>
          <w:bCs/>
          <w:sz w:val="20"/>
          <w:lang w:val="es-ES_tradnl"/>
        </w:rPr>
        <w:t>CMR-</w:t>
      </w:r>
      <w:r w:rsidR="00205E70">
        <w:rPr>
          <w:b/>
          <w:bCs/>
          <w:sz w:val="20"/>
          <w:lang w:val="es-ES_tradnl"/>
        </w:rPr>
        <w:t>23</w:t>
      </w:r>
      <w:r w:rsidR="00186556" w:rsidRPr="00680E36">
        <w:rPr>
          <w:b/>
          <w:bCs/>
          <w:sz w:val="20"/>
          <w:lang w:val="es-ES_tradnl"/>
        </w:rPr>
        <w:t>)</w:t>
      </w:r>
      <w:r w:rsidR="00186556" w:rsidRPr="00680E36">
        <w:rPr>
          <w:sz w:val="20"/>
          <w:lang w:val="es-ES_tradnl"/>
        </w:rPr>
        <w:t>.</w:t>
      </w:r>
    </w:p>
    <w:p w14:paraId="0855525A" w14:textId="77777777" w:rsidR="006A6EAC" w:rsidRDefault="006A6EAC" w:rsidP="006A6EAC"/>
    <w:p w14:paraId="0D342C1D" w14:textId="77777777" w:rsidR="006A6EAC" w:rsidRDefault="006A6EAC" w:rsidP="006A6EAC"/>
    <w:p w14:paraId="2DB2D5B0" w14:textId="77777777" w:rsidR="006A6EAC" w:rsidRDefault="006A6EAC" w:rsidP="006A6EAC"/>
    <w:p w14:paraId="01D1B84D" w14:textId="258D02D8" w:rsidR="00E052A7" w:rsidRDefault="00E052A7" w:rsidP="006D6EDD">
      <w:pPr>
        <w:spacing w:before="0"/>
        <w:jc w:val="center"/>
        <w:rPr>
          <w:color w:val="000000"/>
        </w:rPr>
      </w:pPr>
      <w:r>
        <w:rPr>
          <w:color w:val="000000"/>
        </w:rPr>
        <w:t>____________________</w:t>
      </w:r>
    </w:p>
    <w:p w14:paraId="090F5D51" w14:textId="77777777" w:rsidR="006A6EAC" w:rsidRDefault="006A6EAC" w:rsidP="006A6EAC"/>
    <w:p w14:paraId="79452303" w14:textId="77777777" w:rsidR="006A6EAC" w:rsidRDefault="006A6EAC" w:rsidP="006A6EAC"/>
    <w:p w14:paraId="4B0D0983" w14:textId="77777777" w:rsidR="006A6EAC" w:rsidRDefault="006A6EAC" w:rsidP="006A6EAC"/>
    <w:p w14:paraId="0A132466" w14:textId="77777777" w:rsidR="006A6EAC" w:rsidRDefault="006A6EAC" w:rsidP="006A6EAC"/>
    <w:p w14:paraId="01B3CA11" w14:textId="77777777" w:rsidR="006A6EAC" w:rsidRDefault="006A6EAC" w:rsidP="006A6EAC"/>
    <w:p w14:paraId="7A1EE34E" w14:textId="77777777" w:rsidR="006A6EAC" w:rsidRDefault="006A6EAC" w:rsidP="006A6EAC"/>
    <w:p w14:paraId="2B277E43" w14:textId="77777777" w:rsidR="006A6EAC" w:rsidRDefault="006A6EAC" w:rsidP="006A6EAC"/>
    <w:p w14:paraId="61C934F6" w14:textId="77777777" w:rsidR="006A6EAC" w:rsidRDefault="006A6EAC" w:rsidP="006A6EAC"/>
    <w:p w14:paraId="7FDC41AF" w14:textId="77777777" w:rsidR="006A6EAC" w:rsidRDefault="006A6EAC" w:rsidP="006A6EAC"/>
    <w:p w14:paraId="49596736" w14:textId="77777777" w:rsidR="006A6EAC" w:rsidRDefault="006A6EAC" w:rsidP="006A6EAC"/>
    <w:p w14:paraId="016BC745" w14:textId="77777777" w:rsidR="006A6EAC" w:rsidRPr="006D6EDD" w:rsidRDefault="006A6EAC" w:rsidP="006A6EAC"/>
    <w:p w14:paraId="65980689" w14:textId="77777777" w:rsidR="00E052A7" w:rsidRDefault="00E052A7" w:rsidP="006A6EAC">
      <w:pPr>
        <w:rPr>
          <w:lang w:val="en-US"/>
        </w:rPr>
        <w:sectPr w:rsidR="00E052A7">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7806" w14:textId="77777777" w:rsidR="00824378" w:rsidRDefault="00824378">
      <w:r>
        <w:separator/>
      </w:r>
    </w:p>
  </w:endnote>
  <w:endnote w:type="continuationSeparator" w:id="0">
    <w:p w14:paraId="30701766"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11ED" w14:textId="77777777" w:rsidR="00824378" w:rsidRDefault="00824378">
      <w:r>
        <w:rPr>
          <w:b/>
        </w:rPr>
        <w:t>_______________</w:t>
      </w:r>
    </w:p>
  </w:footnote>
  <w:footnote w:type="continuationSeparator" w:id="0">
    <w:p w14:paraId="0968A897"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6FBE38E1" w:rsidR="000A14AD" w:rsidRDefault="000A14AD" w:rsidP="000A14AD">
          <w:pPr>
            <w:pStyle w:val="HeaderRegProc"/>
          </w:pPr>
          <w:r>
            <w:t>Part</w:t>
          </w:r>
          <w:r w:rsidR="004E6A5E">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687E1C13" w:rsidR="000A14AD" w:rsidRDefault="00B82BC5" w:rsidP="000A14AD">
          <w:pPr>
            <w:pStyle w:val="HeaderRegProc"/>
            <w:rPr>
              <w:lang w:val="fr-CH"/>
            </w:rPr>
          </w:pPr>
          <w:proofErr w:type="gramStart"/>
          <w:r>
            <w:rPr>
              <w:lang w:val="fr-FR"/>
            </w:rPr>
            <w:t>página</w:t>
          </w:r>
          <w:proofErr w:type="gramEnd"/>
          <w:r w:rsidR="000A14AD">
            <w:rPr>
              <w:lang w:val="fr-FR"/>
            </w:rPr>
            <w:t xml:space="preserve"> </w:t>
          </w:r>
          <w:r w:rsidR="000A14AD">
            <w:rPr>
              <w:rStyle w:val="PageNumber"/>
            </w:rPr>
            <w:fldChar w:fldCharType="begin"/>
          </w:r>
          <w:r w:rsidR="000A14AD">
            <w:rPr>
              <w:rStyle w:val="PageNumber"/>
            </w:rPr>
            <w:instrText xml:space="preserve"> PAGE </w:instrText>
          </w:r>
          <w:r w:rsidR="000A14AD">
            <w:rPr>
              <w:rStyle w:val="PageNumber"/>
            </w:rPr>
            <w:fldChar w:fldCharType="separate"/>
          </w:r>
          <w:r w:rsidR="000A14AD">
            <w:rPr>
              <w:rStyle w:val="PageNumber"/>
            </w:rPr>
            <w:t>1</w:t>
          </w:r>
          <w:r w:rsidR="000A14A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76B5BCD7" w:rsidR="000A14AD" w:rsidRDefault="000A14AD" w:rsidP="000A14AD">
          <w:pPr>
            <w:pStyle w:val="HeaderRegProc"/>
            <w:rPr>
              <w:lang w:val="fr-CH"/>
            </w:rPr>
          </w:pPr>
          <w:proofErr w:type="gramStart"/>
          <w:r>
            <w:rPr>
              <w:lang w:val="fr-CH"/>
            </w:rPr>
            <w:t>r</w:t>
          </w:r>
          <w:r w:rsidR="00186556">
            <w:rPr>
              <w:lang w:val="fr-CH"/>
            </w:rPr>
            <w:t>e</w:t>
          </w:r>
          <w:r>
            <w:rPr>
              <w:lang w:val="fr-CH"/>
            </w:rPr>
            <w:t>v</w:t>
          </w:r>
          <w:proofErr w:type="gramEnd"/>
          <w:r>
            <w:rPr>
              <w:lang w:val="fr-CH"/>
            </w:rPr>
            <w:t>.</w:t>
          </w:r>
          <w:r w:rsidR="000E7624">
            <w:rPr>
              <w:lang w:val="fr-CH"/>
            </w:rPr>
            <w:t xml:space="preserve"> </w:t>
          </w:r>
          <w:r w:rsidR="00205E70">
            <w:rPr>
              <w:lang w:val="fr-CH"/>
            </w:rPr>
            <w:t>-</w:t>
          </w:r>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5EBB8C83" w:rsidR="000A14AD" w:rsidRDefault="000A14AD" w:rsidP="001221BA">
          <w:pPr>
            <w:pStyle w:val="HeaderRegProc"/>
          </w:pPr>
          <w:r>
            <w:t>Part</w:t>
          </w:r>
          <w:r w:rsidR="004E6A5E">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33E77048" w:rsidR="000A14AD" w:rsidRDefault="000A14AD">
          <w:pPr>
            <w:pStyle w:val="HeaderRegProc"/>
            <w:rPr>
              <w:lang w:val="fr-CH"/>
            </w:rPr>
          </w:pPr>
          <w:proofErr w:type="gramStart"/>
          <w:r>
            <w:rPr>
              <w:lang w:val="fr-FR"/>
            </w:rPr>
            <w:t>p</w:t>
          </w:r>
          <w:r w:rsidR="00B82BC5">
            <w:rPr>
              <w:lang w:val="fr-FR"/>
            </w:rPr>
            <w:t>á</w:t>
          </w:r>
          <w:r>
            <w:rPr>
              <w:lang w:val="fr-FR"/>
            </w:rPr>
            <w:t>g</w:t>
          </w:r>
          <w:r w:rsidR="00B82BC5">
            <w:rPr>
              <w:lang w:val="fr-FR"/>
            </w:rPr>
            <w:t>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5549DEBF" w:rsidR="000A14AD" w:rsidRDefault="000A14AD" w:rsidP="006A4C0E">
          <w:pPr>
            <w:pStyle w:val="HeaderRegProc"/>
            <w:rPr>
              <w:lang w:val="fr-CH"/>
            </w:rPr>
          </w:pPr>
          <w:proofErr w:type="gramStart"/>
          <w:r>
            <w:rPr>
              <w:lang w:val="fr-CH"/>
            </w:rPr>
            <w:t>r</w:t>
          </w:r>
          <w:r w:rsidR="004C7E98">
            <w:rPr>
              <w:lang w:val="fr-CH"/>
            </w:rPr>
            <w:t>e</w:t>
          </w:r>
          <w:r>
            <w:rPr>
              <w:lang w:val="fr-CH"/>
            </w:rPr>
            <w:t>v</w:t>
          </w:r>
          <w:proofErr w:type="gramEnd"/>
          <w:r>
            <w:rPr>
              <w:lang w:val="fr-CH"/>
            </w:rPr>
            <w:t>.</w:t>
          </w:r>
          <w:r w:rsidR="000E7624">
            <w:rPr>
              <w:lang w:val="fr-CH"/>
            </w:rPr>
            <w:t xml:space="preserve"> </w:t>
          </w:r>
          <w:r w:rsidR="00205E70">
            <w:rPr>
              <w:lang w:val="fr-CH"/>
            </w:rPr>
            <w:t>-</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E4F4" w14:textId="77777777" w:rsidR="00E052A7" w:rsidRDefault="00E05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9C29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3469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268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344F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1702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C0B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FE83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3A6B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42EF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0AFBA"/>
    <w:lvl w:ilvl="0">
      <w:start w:val="1"/>
      <w:numFmt w:val="bullet"/>
      <w:lvlText w:val=""/>
      <w:lvlJc w:val="left"/>
      <w:pPr>
        <w:tabs>
          <w:tab w:val="num" w:pos="360"/>
        </w:tabs>
        <w:ind w:left="360" w:hanging="360"/>
      </w:pPr>
      <w:rPr>
        <w:rFonts w:ascii="Symbol" w:hAnsi="Symbol" w:hint="default"/>
      </w:rPr>
    </w:lvl>
  </w:abstractNum>
  <w:num w:numId="1" w16cid:durableId="571308098">
    <w:abstractNumId w:val="9"/>
  </w:num>
  <w:num w:numId="2" w16cid:durableId="1261376831">
    <w:abstractNumId w:val="7"/>
  </w:num>
  <w:num w:numId="3" w16cid:durableId="109009108">
    <w:abstractNumId w:val="6"/>
  </w:num>
  <w:num w:numId="4" w16cid:durableId="1132332316">
    <w:abstractNumId w:val="5"/>
  </w:num>
  <w:num w:numId="5" w16cid:durableId="1268922935">
    <w:abstractNumId w:val="4"/>
  </w:num>
  <w:num w:numId="6" w16cid:durableId="1825773485">
    <w:abstractNumId w:val="8"/>
  </w:num>
  <w:num w:numId="7" w16cid:durableId="1649090732">
    <w:abstractNumId w:val="3"/>
  </w:num>
  <w:num w:numId="8" w16cid:durableId="1693804532">
    <w:abstractNumId w:val="2"/>
  </w:num>
  <w:num w:numId="9" w16cid:durableId="739864596">
    <w:abstractNumId w:val="1"/>
  </w:num>
  <w:num w:numId="10" w16cid:durableId="1254389595">
    <w:abstractNumId w:val="0"/>
  </w:num>
  <w:num w:numId="11" w16cid:durableId="343215101">
    <w:abstractNumId w:val="8"/>
  </w:num>
  <w:num w:numId="12" w16cid:durableId="2078244834">
    <w:abstractNumId w:val="3"/>
  </w:num>
  <w:num w:numId="13" w16cid:durableId="390620151">
    <w:abstractNumId w:val="2"/>
  </w:num>
  <w:num w:numId="14" w16cid:durableId="767778822">
    <w:abstractNumId w:val="1"/>
  </w:num>
  <w:num w:numId="15" w16cid:durableId="1137530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A14AD"/>
    <w:rsid w:val="000E051F"/>
    <w:rsid w:val="000E7624"/>
    <w:rsid w:val="000F7D8B"/>
    <w:rsid w:val="00117C3F"/>
    <w:rsid w:val="001221BA"/>
    <w:rsid w:val="00186556"/>
    <w:rsid w:val="001D6CDC"/>
    <w:rsid w:val="001F66E2"/>
    <w:rsid w:val="00205E70"/>
    <w:rsid w:val="002A15EF"/>
    <w:rsid w:val="003B5F76"/>
    <w:rsid w:val="003E1413"/>
    <w:rsid w:val="003E1D7F"/>
    <w:rsid w:val="00442396"/>
    <w:rsid w:val="004C7E98"/>
    <w:rsid w:val="004E6A5E"/>
    <w:rsid w:val="00545224"/>
    <w:rsid w:val="006361D8"/>
    <w:rsid w:val="00636EA8"/>
    <w:rsid w:val="006746C8"/>
    <w:rsid w:val="006A4C0E"/>
    <w:rsid w:val="006A6EAC"/>
    <w:rsid w:val="006D6EDD"/>
    <w:rsid w:val="006F26AF"/>
    <w:rsid w:val="00762ECE"/>
    <w:rsid w:val="007A7699"/>
    <w:rsid w:val="007E3EEF"/>
    <w:rsid w:val="00824378"/>
    <w:rsid w:val="00844A76"/>
    <w:rsid w:val="0089365D"/>
    <w:rsid w:val="00935263"/>
    <w:rsid w:val="00A5781F"/>
    <w:rsid w:val="00AB26D4"/>
    <w:rsid w:val="00B7753D"/>
    <w:rsid w:val="00B82BC5"/>
    <w:rsid w:val="00C91547"/>
    <w:rsid w:val="00CC1BC0"/>
    <w:rsid w:val="00D41107"/>
    <w:rsid w:val="00E052A7"/>
    <w:rsid w:val="00F17911"/>
    <w:rsid w:val="00F67A5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character" w:customStyle="1" w:styleId="enumlev1Char">
    <w:name w:val="enumlev1 Char"/>
    <w:basedOn w:val="DefaultParagraphFont"/>
    <w:link w:val="enumlev1"/>
    <w:locked/>
    <w:rsid w:val="00186556"/>
    <w:rPr>
      <w:sz w:val="24"/>
      <w:lang w:val="en-GB" w:eastAsia="en-US"/>
    </w:rPr>
  </w:style>
  <w:style w:type="character" w:customStyle="1" w:styleId="CommentTextChar">
    <w:name w:val="Comment Text Char"/>
    <w:basedOn w:val="DefaultParagraphFont"/>
    <w:link w:val="CommentText"/>
    <w:semiHidden/>
    <w:rsid w:val="006A6EAC"/>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tu.int/md/R23-WRC23-C-0528/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39</TotalTime>
  <Pages>4</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Reglas de procedimiento / Edición 2009</dc:title>
  <dc:subject>RES170</dc:subject>
  <dc:creator>Composition des Publications</dc:creator>
  <cp:keywords/>
  <dc:description/>
  <cp:lastModifiedBy>Saez Grau, Ricardo</cp:lastModifiedBy>
  <cp:revision>23</cp:revision>
  <cp:lastPrinted>2020-12-21T13:46:00Z</cp:lastPrinted>
  <dcterms:created xsi:type="dcterms:W3CDTF">2020-11-18T16:15:00Z</dcterms:created>
  <dcterms:modified xsi:type="dcterms:W3CDTF">2025-11-28T16:16:00Z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