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00DC9878" w:rsidR="00E052A7" w:rsidRPr="00CE726F" w:rsidRDefault="00CE726F" w:rsidP="00CE726F">
      <w:pPr>
        <w:jc w:val="center"/>
        <w:rPr>
          <w:b/>
          <w:bCs/>
          <w:sz w:val="28"/>
          <w:szCs w:val="28"/>
          <w:lang w:val="es-ES"/>
        </w:rPr>
      </w:pPr>
      <w:r w:rsidRPr="00CE726F">
        <w:rPr>
          <w:b/>
          <w:bCs/>
          <w:sz w:val="28"/>
          <w:szCs w:val="28"/>
          <w:lang w:val="es-ES"/>
        </w:rPr>
        <w:t>Reglas relativas a la</w:t>
      </w:r>
    </w:p>
    <w:p w14:paraId="6D735A6A" w14:textId="12C3AC4E" w:rsidR="00E052A7" w:rsidRPr="00CE726F" w:rsidRDefault="00E052A7" w:rsidP="003134F7">
      <w:pPr>
        <w:pStyle w:val="Heading2"/>
        <w:jc w:val="center"/>
        <w:rPr>
          <w:lang w:val="es-ES"/>
        </w:rPr>
      </w:pPr>
      <w:r w:rsidRPr="00CE726F">
        <w:rPr>
          <w:lang w:val="es-ES"/>
        </w:rPr>
        <w:t>RESOLU</w:t>
      </w:r>
      <w:r w:rsidR="00CE726F" w:rsidRPr="00CE726F">
        <w:rPr>
          <w:lang w:val="es-ES"/>
        </w:rPr>
        <w:t>C</w:t>
      </w:r>
      <w:r w:rsidRPr="00CE726F">
        <w:rPr>
          <w:lang w:val="es-ES"/>
        </w:rPr>
        <w:t>I</w:t>
      </w:r>
      <w:r w:rsidR="00CE726F" w:rsidRPr="00CE726F">
        <w:rPr>
          <w:lang w:val="es-ES"/>
        </w:rPr>
        <w:t>Ó</w:t>
      </w:r>
      <w:r w:rsidRPr="00CE726F">
        <w:rPr>
          <w:lang w:val="es-ES"/>
        </w:rPr>
        <w:t xml:space="preserve">N  </w:t>
      </w:r>
      <w:r w:rsidR="00062037" w:rsidRPr="00CE726F">
        <w:rPr>
          <w:rStyle w:val="href2"/>
          <w:lang w:val="es-ES"/>
        </w:rPr>
        <w:t>123</w:t>
      </w:r>
      <w:r w:rsidRPr="00CE726F">
        <w:rPr>
          <w:lang w:val="es-ES"/>
        </w:rPr>
        <w:t xml:space="preserve"> (C</w:t>
      </w:r>
      <w:r w:rsidR="00CE726F" w:rsidRPr="00CE726F">
        <w:rPr>
          <w:lang w:val="es-ES"/>
        </w:rPr>
        <w:t>MR</w:t>
      </w:r>
      <w:r w:rsidRPr="00CE726F">
        <w:rPr>
          <w:lang w:val="es-ES"/>
        </w:rPr>
        <w:t>-</w:t>
      </w:r>
      <w:r w:rsidR="00062037" w:rsidRPr="00CE726F">
        <w:rPr>
          <w:lang w:val="es-ES"/>
        </w:rPr>
        <w:t>2</w:t>
      </w:r>
      <w:r w:rsidR="00A002ED" w:rsidRPr="00CE726F">
        <w:rPr>
          <w:lang w:val="es-ES"/>
        </w:rPr>
        <w:t>3</w:t>
      </w:r>
      <w:r w:rsidRPr="00CE726F">
        <w:rPr>
          <w:lang w:val="es-ES"/>
        </w:rPr>
        <w:t>)</w:t>
      </w:r>
    </w:p>
    <w:p w14:paraId="7D60942F" w14:textId="7EBA3661" w:rsidR="00E052A7" w:rsidRPr="00F73D0C" w:rsidRDefault="00CE726F" w:rsidP="003134F7">
      <w:pPr>
        <w:pStyle w:val="Restitle"/>
        <w:spacing w:before="600"/>
        <w:rPr>
          <w:lang w:val="es-ES"/>
        </w:rPr>
      </w:pPr>
      <w:r w:rsidRPr="00F73D0C">
        <w:rPr>
          <w:lang w:val="es-ES"/>
        </w:rPr>
        <w:t xml:space="preserve">Utilización de las bandas de frecuencias 17,7-18,6 GHz, 18,8-19,3 GHz </w:t>
      </w:r>
      <w:r w:rsidRPr="00F73D0C">
        <w:rPr>
          <w:lang w:val="es-ES"/>
        </w:rPr>
        <w:br/>
        <w:t>y 19,7</w:t>
      </w:r>
      <w:r w:rsidRPr="00F73D0C">
        <w:rPr>
          <w:lang w:val="es-ES"/>
        </w:rPr>
        <w:noBreakHyphen/>
        <w:t>20,2 GHz (espacio</w:t>
      </w:r>
      <w:r w:rsidRPr="00F73D0C">
        <w:rPr>
          <w:lang w:val="es-ES"/>
        </w:rPr>
        <w:noBreakHyphen/>
        <w:t>Tierra) y 27,5-29,1 GHz y 29,5-30,0 GHz (Tierra</w:t>
      </w:r>
      <w:r w:rsidRPr="00F73D0C">
        <w:rPr>
          <w:lang w:val="es-ES"/>
        </w:rPr>
        <w:noBreakHyphen/>
        <w:t xml:space="preserve">espacio) por las estaciones terrenas en movimiento </w:t>
      </w:r>
      <w:r w:rsidR="003134F7">
        <w:rPr>
          <w:lang w:val="es-ES"/>
        </w:rPr>
        <w:br/>
      </w:r>
      <w:r w:rsidRPr="00F73D0C">
        <w:rPr>
          <w:lang w:val="es-ES"/>
        </w:rPr>
        <w:t xml:space="preserve">aeronáuticas y marítimas que se comunican con </w:t>
      </w:r>
      <w:r w:rsidR="003134F7">
        <w:rPr>
          <w:lang w:val="es-ES"/>
        </w:rPr>
        <w:br/>
      </w:r>
      <w:r w:rsidRPr="00F73D0C">
        <w:rPr>
          <w:lang w:val="es-ES"/>
        </w:rPr>
        <w:t xml:space="preserve">estaciones espaciales no geoestacionarias del </w:t>
      </w:r>
      <w:r w:rsidR="003134F7">
        <w:rPr>
          <w:lang w:val="es-ES"/>
        </w:rPr>
        <w:br/>
      </w:r>
      <w:r w:rsidRPr="00F73D0C">
        <w:rPr>
          <w:lang w:val="es-ES"/>
        </w:rPr>
        <w:t>servicio fijo por satélite</w:t>
      </w:r>
    </w:p>
    <w:p w14:paraId="4D7E6CC2" w14:textId="77777777" w:rsidR="00BD7EA7" w:rsidRPr="00A805B4" w:rsidRDefault="00BD7EA7" w:rsidP="00BD7EA7">
      <w:pPr>
        <w:pStyle w:val="Normalaftertitle0"/>
      </w:pPr>
      <w:r w:rsidRPr="00A805B4">
        <w:t>1</w:t>
      </w:r>
      <w:r w:rsidRPr="00A805B4">
        <w:tab/>
        <w:t xml:space="preserve">La Junta observó que el </w:t>
      </w:r>
      <w:r>
        <w:rPr>
          <w:i/>
          <w:iCs/>
        </w:rPr>
        <w:t>resuelve </w:t>
      </w:r>
      <w:r w:rsidRPr="00A805B4">
        <w:t xml:space="preserve">2 de la </w:t>
      </w:r>
      <w:r>
        <w:t>Resolución </w:t>
      </w:r>
      <w:r w:rsidRPr="00A805B4">
        <w:rPr>
          <w:b/>
          <w:bCs/>
        </w:rPr>
        <w:t>123 (</w:t>
      </w:r>
      <w:r>
        <w:rPr>
          <w:b/>
          <w:bCs/>
        </w:rPr>
        <w:t>CMR</w:t>
      </w:r>
      <w:r>
        <w:rPr>
          <w:b/>
          <w:bCs/>
        </w:rPr>
        <w:noBreakHyphen/>
      </w:r>
      <w:r w:rsidRPr="00A805B4">
        <w:rPr>
          <w:b/>
          <w:bCs/>
        </w:rPr>
        <w:t>23)</w:t>
      </w:r>
      <w:r w:rsidRPr="00A805B4">
        <w:t xml:space="preserve"> estipula que las características de las estaciones terrenas en movimiento (ETEM) se ajustarán al conjunto de características, incluidas las de cualquier acuerdo de coordinación aplicable, de las estaciones terrenas típicas asociadas al sistema de satélites en la órbita de los satélites no geoestacionarios (no</w:t>
      </w:r>
      <w:r>
        <w:t> </w:t>
      </w:r>
      <w:r w:rsidRPr="00A805B4">
        <w:t>OSG) del SFS con las que se comunican esas ETEM.</w:t>
      </w:r>
    </w:p>
    <w:p w14:paraId="061F1E8B" w14:textId="77777777" w:rsidR="00BD7EA7" w:rsidRPr="00BD7EA7" w:rsidRDefault="00BD7EA7" w:rsidP="00BD7EA7">
      <w:pPr>
        <w:rPr>
          <w:lang w:val="es-ES"/>
        </w:rPr>
      </w:pPr>
      <w:r w:rsidRPr="00BD7EA7">
        <w:rPr>
          <w:lang w:val="es-ES"/>
        </w:rPr>
        <w:t>1.1</w:t>
      </w:r>
      <w:r w:rsidRPr="00BD7EA7">
        <w:rPr>
          <w:lang w:val="es-ES"/>
        </w:rPr>
        <w:tab/>
        <w:t xml:space="preserve">Para aplicar el </w:t>
      </w:r>
      <w:r w:rsidRPr="00BD7EA7">
        <w:rPr>
          <w:i/>
          <w:iCs/>
          <w:lang w:val="es-ES"/>
        </w:rPr>
        <w:t>resuelve </w:t>
      </w:r>
      <w:r w:rsidRPr="00BD7EA7">
        <w:rPr>
          <w:lang w:val="es-ES"/>
        </w:rPr>
        <w:t>2, la Junta decidió que la Oficina determinará si las características de las ETEM se ajustan al conjunto de características de las estaciones terrenas típicas asociadas al sistema de satélites con las que se comunican dichas ETEM aeronáuticas y/o marítimas utilizando el método que figura en el § 2.3 de las Reglas de Procedimiento relativas al número </w:t>
      </w:r>
      <w:r w:rsidRPr="00BD7EA7">
        <w:rPr>
          <w:b/>
          <w:bCs/>
          <w:lang w:val="es-ES"/>
        </w:rPr>
        <w:t>9.27</w:t>
      </w:r>
      <w:r w:rsidRPr="00BD7EA7">
        <w:rPr>
          <w:lang w:val="es-ES"/>
        </w:rPr>
        <w:t>. Cuando dicho examen revele que los requisitos de coordinación de las asignaciones de frecuencias de las ETEM aeronáuticas y/o marítimas afectan a alguna red o sistema de satélites adicional, la notificación de las asignaciones de frecuencias a las ETEM aeronáuticas y/o marítimas se devolverá a la administración notificante con una conclusión desfavorable con arreglo al número </w:t>
      </w:r>
      <w:r w:rsidRPr="00BD7EA7">
        <w:rPr>
          <w:b/>
          <w:bCs/>
          <w:lang w:val="es-ES"/>
        </w:rPr>
        <w:t>11.32</w:t>
      </w:r>
      <w:r w:rsidRPr="00BD7EA7">
        <w:rPr>
          <w:lang w:val="es-ES"/>
        </w:rPr>
        <w:t>. Los resultados del examen de la Oficina se publicarán en su Circular Internacional de Información sobre Frecuencias (BR IFIC).</w:t>
      </w:r>
    </w:p>
    <w:p w14:paraId="72E35E02" w14:textId="77777777" w:rsidR="00BD7EA7" w:rsidRPr="00BD7EA7" w:rsidRDefault="00BD7EA7" w:rsidP="00BD7EA7">
      <w:pPr>
        <w:rPr>
          <w:lang w:val="es-ES"/>
        </w:rPr>
      </w:pPr>
      <w:r w:rsidRPr="00BD7EA7">
        <w:rPr>
          <w:lang w:val="es-ES"/>
        </w:rPr>
        <w:t>1.2</w:t>
      </w:r>
      <w:r w:rsidRPr="00BD7EA7">
        <w:rPr>
          <w:lang w:val="es-ES"/>
        </w:rPr>
        <w:tab/>
        <w:t>Además del procedimiento indicado en el § 1.1 anterior, en aquellos casos en los que las ETEM funcionen en las bandas de frecuencias 27,5-28,6 GHz y 29,5-30 GHz (Tierra</w:t>
      </w:r>
      <w:r w:rsidRPr="00BD7EA7">
        <w:rPr>
          <w:lang w:val="es-ES"/>
        </w:rPr>
        <w:noBreakHyphen/>
        <w:t>espacio), la Junta concluyó que el ángulo de elevación mínimo presentado para las ETEM (véase el Apéndice </w:t>
      </w:r>
      <w:r w:rsidRPr="00BD7EA7">
        <w:rPr>
          <w:b/>
          <w:bCs/>
          <w:lang w:val="es-ES"/>
        </w:rPr>
        <w:t>4</w:t>
      </w:r>
      <w:r w:rsidRPr="00BD7EA7">
        <w:rPr>
          <w:lang w:val="es-ES"/>
        </w:rPr>
        <w:t>, punto A.36.a) deberá ser mayor o igual que el ángulo de elevación mínimo presentado para el grupo de asignaciones de frecuencia asociado al sistema no OSG del SFS (véase el Apéndice </w:t>
      </w:r>
      <w:r w:rsidRPr="00BD7EA7">
        <w:rPr>
          <w:b/>
          <w:bCs/>
          <w:lang w:val="es-ES"/>
        </w:rPr>
        <w:t>4</w:t>
      </w:r>
      <w:r w:rsidRPr="00BD7EA7">
        <w:rPr>
          <w:lang w:val="es-ES"/>
        </w:rPr>
        <w:t>, punto A.4.b.7.c</w:t>
      </w:r>
      <w:r w:rsidRPr="00BD7EA7">
        <w:rPr>
          <w:i/>
          <w:iCs/>
          <w:lang w:val="es-ES"/>
        </w:rPr>
        <w:t>bis</w:t>
      </w:r>
      <w:r w:rsidRPr="00BD7EA7">
        <w:rPr>
          <w:lang w:val="es-ES"/>
        </w:rPr>
        <w:t>) con el fin de garantizar que las ETEM cumplen los límites de dfpe establecidos en el número </w:t>
      </w:r>
      <w:r w:rsidRPr="00BD7EA7">
        <w:rPr>
          <w:b/>
          <w:bCs/>
          <w:lang w:val="es-ES"/>
        </w:rPr>
        <w:t>22.5D</w:t>
      </w:r>
      <w:r w:rsidRPr="00BD7EA7">
        <w:rPr>
          <w:lang w:val="es-ES"/>
        </w:rPr>
        <w:t>.</w:t>
      </w:r>
    </w:p>
    <w:p w14:paraId="248B942D" w14:textId="179A76AE" w:rsidR="009B0898" w:rsidRPr="00BD7EA7" w:rsidRDefault="00BD7EA7" w:rsidP="00BD7EA7">
      <w:pPr>
        <w:rPr>
          <w:lang w:val="es-ES"/>
        </w:rPr>
      </w:pPr>
      <w:r w:rsidRPr="00BD7EA7">
        <w:rPr>
          <w:lang w:val="es-ES"/>
        </w:rPr>
        <w:t>La Junta observó que, para las ETEM aeronáuticas, el valor del ángulo de elevación mínimo de referencia de las estaciones terrenas típicas del sistema no OSG del SFS asociado, cuando se ajuste a una altitud de 15 km, será mayor que el correspondiente a una altitud de 0 km, siempre que se mantenga el mismo ángulo de observación desde la estación espacial no OSG.</w:t>
      </w:r>
    </w:p>
    <w:p w14:paraId="51AF60A5" w14:textId="77777777" w:rsidR="00722FEF" w:rsidRPr="00BD7EA7" w:rsidRDefault="00722FEF">
      <w:pPr>
        <w:tabs>
          <w:tab w:val="clear" w:pos="1134"/>
          <w:tab w:val="clear" w:pos="1871"/>
          <w:tab w:val="clear" w:pos="2268"/>
        </w:tabs>
        <w:overflowPunct/>
        <w:autoSpaceDE/>
        <w:autoSpaceDN/>
        <w:adjustRightInd/>
        <w:spacing w:before="0"/>
        <w:jc w:val="left"/>
        <w:textAlignment w:val="auto"/>
        <w:rPr>
          <w:rFonts w:asciiTheme="majorBidi" w:hAnsiTheme="majorBidi" w:cstheme="majorBidi"/>
          <w:iCs/>
          <w:szCs w:val="22"/>
          <w:lang w:val="es-ES"/>
        </w:rPr>
      </w:pPr>
      <w:r w:rsidRPr="00BD7EA7">
        <w:rPr>
          <w:rFonts w:asciiTheme="majorBidi" w:hAnsiTheme="majorBidi" w:cstheme="majorBidi"/>
          <w:iCs/>
          <w:szCs w:val="22"/>
          <w:lang w:val="es-ES"/>
        </w:rPr>
        <w:br w:type="page"/>
      </w:r>
    </w:p>
    <w:p w14:paraId="7D3F014F" w14:textId="4BDA747A" w:rsidR="00997F0D" w:rsidRPr="00997F0D" w:rsidRDefault="00997F0D" w:rsidP="00997F0D">
      <w:pPr>
        <w:rPr>
          <w:lang w:val="es-ES"/>
        </w:rPr>
      </w:pPr>
      <w:r w:rsidRPr="00997F0D">
        <w:rPr>
          <w:iCs/>
          <w:lang w:val="es-ES"/>
        </w:rPr>
        <w:lastRenderedPageBreak/>
        <w:t>2</w:t>
      </w:r>
      <w:r w:rsidRPr="00997F0D">
        <w:rPr>
          <w:iCs/>
          <w:lang w:val="es-ES"/>
        </w:rPr>
        <w:tab/>
        <w:t xml:space="preserve">La Junta observó que el </w:t>
      </w:r>
      <w:r w:rsidRPr="00997F0D">
        <w:rPr>
          <w:i/>
          <w:lang w:val="es-ES"/>
        </w:rPr>
        <w:t>resuelve </w:t>
      </w:r>
      <w:r w:rsidRPr="00997F0D">
        <w:rPr>
          <w:iCs/>
          <w:lang w:val="es-ES"/>
        </w:rPr>
        <w:t>3.5 de la Resolución </w:t>
      </w:r>
      <w:r w:rsidRPr="00997F0D">
        <w:rPr>
          <w:b/>
          <w:bCs/>
          <w:iCs/>
          <w:lang w:val="es-ES"/>
        </w:rPr>
        <w:t>123 (CMR</w:t>
      </w:r>
      <w:r w:rsidRPr="00997F0D">
        <w:rPr>
          <w:b/>
          <w:bCs/>
          <w:iCs/>
          <w:lang w:val="es-ES"/>
        </w:rPr>
        <w:noBreakHyphen/>
        <w:t>23)</w:t>
      </w:r>
      <w:r w:rsidRPr="00997F0D">
        <w:rPr>
          <w:iCs/>
          <w:lang w:val="es-ES"/>
        </w:rPr>
        <w:t xml:space="preserve"> establece que, con respecto a la protección del servicio de exploración de la Tierra por satélite (pasivo) que utiliza la banda de frecuencias 18,6-18,8 GHz, todo sistema del SFS no OSG cuyo apogeo orbital sea inferior a 20</w:t>
      </w:r>
      <w:r w:rsidRPr="00997F0D">
        <w:rPr>
          <w:lang w:val="es-ES"/>
        </w:rPr>
        <w:t> </w:t>
      </w:r>
      <w:r w:rsidRPr="00997F0D">
        <w:rPr>
          <w:iCs/>
          <w:lang w:val="es-ES"/>
        </w:rPr>
        <w:t>000</w:t>
      </w:r>
      <w:r w:rsidRPr="00997F0D">
        <w:rPr>
          <w:lang w:val="es-ES"/>
        </w:rPr>
        <w:t> </w:t>
      </w:r>
      <w:r w:rsidRPr="00997F0D">
        <w:rPr>
          <w:iCs/>
          <w:lang w:val="es-ES"/>
        </w:rPr>
        <w:t>km que utiliza las bandas de frecuencias 18,3-18,6 GHz y 18,8</w:t>
      </w:r>
      <w:r>
        <w:rPr>
          <w:iCs/>
          <w:lang w:val="es-ES"/>
        </w:rPr>
        <w:t>−</w:t>
      </w:r>
      <w:r w:rsidRPr="00997F0D">
        <w:rPr>
          <w:iCs/>
          <w:lang w:val="es-ES"/>
        </w:rPr>
        <w:t>19,1 GHz con las que se comuniquen las ETEM aeronáuticas y/o marítimas y para el cual la Oficina haya recibido la información de notificación completa después del 1 de enero de 2025, deberá cumplir las disposiciones del Anexo 3 a la Resolución </w:t>
      </w:r>
      <w:r w:rsidRPr="00997F0D">
        <w:rPr>
          <w:b/>
          <w:bCs/>
          <w:iCs/>
          <w:lang w:val="es-ES"/>
        </w:rPr>
        <w:t>123 (CMR</w:t>
      </w:r>
      <w:r w:rsidRPr="00997F0D">
        <w:rPr>
          <w:b/>
          <w:bCs/>
          <w:iCs/>
          <w:lang w:val="es-ES"/>
        </w:rPr>
        <w:noBreakHyphen/>
        <w:t>23)</w:t>
      </w:r>
      <w:r w:rsidRPr="00997F0D">
        <w:rPr>
          <w:iCs/>
          <w:lang w:val="es-ES"/>
        </w:rPr>
        <w:t>. Dado que la Resolución </w:t>
      </w:r>
      <w:r w:rsidRPr="00997F0D">
        <w:rPr>
          <w:b/>
          <w:bCs/>
          <w:iCs/>
          <w:lang w:val="es-ES"/>
        </w:rPr>
        <w:t>123 (CMR</w:t>
      </w:r>
      <w:r w:rsidRPr="00997F0D">
        <w:rPr>
          <w:b/>
          <w:bCs/>
          <w:iCs/>
          <w:lang w:val="es-ES"/>
        </w:rPr>
        <w:noBreakHyphen/>
        <w:t>23)</w:t>
      </w:r>
      <w:r w:rsidRPr="00997F0D">
        <w:rPr>
          <w:iCs/>
          <w:lang w:val="es-ES"/>
        </w:rPr>
        <w:t xml:space="preserve"> entró en vigor el 1 de enero de 2025, la Junta llegó a la conclusión de que la disposición se aplica a cualquier sistema no OSG del SFS con un apogeo orbital inferior a 20</w:t>
      </w:r>
      <w:r w:rsidRPr="00997F0D">
        <w:rPr>
          <w:lang w:val="es-ES"/>
        </w:rPr>
        <w:t> </w:t>
      </w:r>
      <w:r w:rsidRPr="00997F0D">
        <w:rPr>
          <w:iCs/>
          <w:lang w:val="es-ES"/>
        </w:rPr>
        <w:t>000</w:t>
      </w:r>
      <w:r w:rsidRPr="00997F0D">
        <w:rPr>
          <w:lang w:val="es-ES"/>
        </w:rPr>
        <w:t> </w:t>
      </w:r>
      <w:r w:rsidRPr="00997F0D">
        <w:rPr>
          <w:iCs/>
          <w:lang w:val="es-ES"/>
        </w:rPr>
        <w:t>km que utilice las bandas de frecuencias 18,3-18,6 GHz y 18,8</w:t>
      </w:r>
      <w:r>
        <w:rPr>
          <w:iCs/>
          <w:lang w:val="es-ES"/>
        </w:rPr>
        <w:t>−</w:t>
      </w:r>
      <w:r w:rsidRPr="00997F0D">
        <w:rPr>
          <w:iCs/>
          <w:lang w:val="es-ES"/>
        </w:rPr>
        <w:t>19,1 GHz con las que se comunican las ETEM aeronáuticas y/o marítimas y cuya información de notificación haya recibido la Oficina a partir del 1 de enero de 2025, inclusive, y no sólo después de esa fecha.</w:t>
      </w:r>
    </w:p>
    <w:p w14:paraId="3D47A9FE" w14:textId="77777777" w:rsidR="00997F0D" w:rsidRPr="00997F0D" w:rsidRDefault="00997F0D" w:rsidP="00997F0D">
      <w:pPr>
        <w:rPr>
          <w:lang w:val="es-ES"/>
        </w:rPr>
      </w:pPr>
      <w:r w:rsidRPr="00997F0D">
        <w:rPr>
          <w:lang w:val="es-ES"/>
        </w:rPr>
        <w:t>3</w:t>
      </w:r>
      <w:r w:rsidRPr="00997F0D">
        <w:rPr>
          <w:lang w:val="es-ES"/>
        </w:rPr>
        <w:tab/>
        <w:t>Asimismo, la Junta llegó a la conclusión de que la Oficina deberá verificar la conformidad de las características de las ETEM aeronáuticas con respecto a los límites de dfp en la superficie de la Tierra especificados en la Parte II del Anexo 1 a la Resolución </w:t>
      </w:r>
      <w:r w:rsidRPr="00997F0D">
        <w:rPr>
          <w:b/>
          <w:bCs/>
          <w:lang w:val="es-ES"/>
        </w:rPr>
        <w:t>123 (CMR</w:t>
      </w:r>
      <w:r w:rsidRPr="00997F0D">
        <w:rPr>
          <w:b/>
          <w:bCs/>
          <w:lang w:val="es-ES"/>
        </w:rPr>
        <w:noBreakHyphen/>
        <w:t>23)</w:t>
      </w:r>
      <w:r w:rsidRPr="00997F0D">
        <w:rPr>
          <w:lang w:val="es-ES"/>
        </w:rPr>
        <w:t xml:space="preserve"> utilizando la metodología contenida en la Regla de Procedimiento relativa al cálculo de los niveles de densidad de flujo de potencia producidos por las ETEM aeronáuticas y su validación con los límites del Anexo 3 a la Resolución </w:t>
      </w:r>
      <w:r w:rsidRPr="00997F0D">
        <w:rPr>
          <w:b/>
          <w:bCs/>
          <w:lang w:val="es-ES"/>
        </w:rPr>
        <w:t>169 (Rev.CMR</w:t>
      </w:r>
      <w:r w:rsidRPr="00997F0D">
        <w:rPr>
          <w:b/>
          <w:bCs/>
          <w:lang w:val="es-ES"/>
        </w:rPr>
        <w:noBreakHyphen/>
        <w:t>23)</w:t>
      </w:r>
      <w:r w:rsidRPr="00997F0D">
        <w:rPr>
          <w:lang w:val="es-ES"/>
        </w:rPr>
        <w:t>, el Anexo 2 de la Resolución </w:t>
      </w:r>
      <w:r w:rsidRPr="00997F0D">
        <w:rPr>
          <w:b/>
          <w:bCs/>
          <w:lang w:val="es-ES"/>
        </w:rPr>
        <w:t>121 (CMR</w:t>
      </w:r>
      <w:r w:rsidRPr="00997F0D">
        <w:rPr>
          <w:b/>
          <w:bCs/>
          <w:lang w:val="es-ES"/>
        </w:rPr>
        <w:noBreakHyphen/>
        <w:t>23)</w:t>
      </w:r>
      <w:r w:rsidRPr="00997F0D">
        <w:rPr>
          <w:lang w:val="es-ES"/>
        </w:rPr>
        <w:t xml:space="preserve"> y el Anexo 2 a la Resolución </w:t>
      </w:r>
      <w:r w:rsidRPr="00997F0D">
        <w:rPr>
          <w:b/>
          <w:bCs/>
          <w:lang w:val="es-ES"/>
        </w:rPr>
        <w:t>123 (CMR</w:t>
      </w:r>
      <w:r w:rsidRPr="00997F0D">
        <w:rPr>
          <w:b/>
          <w:bCs/>
          <w:lang w:val="es-ES"/>
        </w:rPr>
        <w:noBreakHyphen/>
        <w:t>23)</w:t>
      </w:r>
      <w:r w:rsidRPr="00997F0D">
        <w:rPr>
          <w:lang w:val="es-ES"/>
        </w:rPr>
        <w:t>. Los resultados se ajustarán a lo dispuesto en el número </w:t>
      </w:r>
      <w:r w:rsidRPr="00997F0D">
        <w:rPr>
          <w:b/>
          <w:bCs/>
          <w:lang w:val="es-ES"/>
        </w:rPr>
        <w:t>11.31</w:t>
      </w:r>
      <w:r w:rsidRPr="00997F0D">
        <w:rPr>
          <w:lang w:val="es-ES"/>
        </w:rPr>
        <w:t>.</w:t>
      </w:r>
    </w:p>
    <w:p w14:paraId="6F7DB285" w14:textId="0151417B" w:rsidR="009B0898" w:rsidRPr="00997F0D" w:rsidRDefault="00997F0D" w:rsidP="00997F0D">
      <w:pPr>
        <w:rPr>
          <w:szCs w:val="24"/>
          <w:lang w:val="es-ES"/>
        </w:rPr>
      </w:pPr>
      <w:r w:rsidRPr="00997F0D">
        <w:rPr>
          <w:lang w:val="es-ES"/>
        </w:rPr>
        <w:t>4</w:t>
      </w:r>
      <w:r w:rsidRPr="00997F0D">
        <w:rPr>
          <w:lang w:val="es-ES"/>
        </w:rPr>
        <w:tab/>
        <w:t>Con respecto a las disposiciones contenidas en la Parte 1 del Anexo 1 y en el Anexo 3 a la Resolución </w:t>
      </w:r>
      <w:r w:rsidRPr="00997F0D">
        <w:rPr>
          <w:b/>
          <w:bCs/>
          <w:lang w:val="es-ES"/>
        </w:rPr>
        <w:t>123 (CMR</w:t>
      </w:r>
      <w:r w:rsidRPr="00997F0D">
        <w:rPr>
          <w:b/>
          <w:bCs/>
          <w:lang w:val="es-ES"/>
        </w:rPr>
        <w:noBreakHyphen/>
        <w:t>23)</w:t>
      </w:r>
      <w:r w:rsidRPr="00997F0D">
        <w:rPr>
          <w:lang w:val="es-ES"/>
        </w:rPr>
        <w:t>, la Junta llegó además a la conclusión de que la Oficina no deberá llevar a cabo ningún examen. La administración notificante del sistema no OSG del SFS con el que se comunican las ETEM deberá velar por que se cumplan dichas disposiciones cuando facilite el compromiso estipulado en el punto A.34.a del Anexo 2 al Apéndice </w:t>
      </w:r>
      <w:r w:rsidRPr="00997F0D">
        <w:rPr>
          <w:b/>
          <w:bCs/>
          <w:lang w:val="es-ES"/>
        </w:rPr>
        <w:t>4</w:t>
      </w:r>
      <w:r w:rsidRPr="00997F0D">
        <w:rPr>
          <w:lang w:val="es-ES"/>
        </w:rPr>
        <w:t xml:space="preserve"> para explotar las ETEM de conformidad con el Reglamento de Radiocomunicaciones y la Resolución </w:t>
      </w:r>
      <w:r w:rsidRPr="00997F0D">
        <w:rPr>
          <w:b/>
          <w:bCs/>
          <w:lang w:val="es-ES"/>
        </w:rPr>
        <w:t>123 (CMR</w:t>
      </w:r>
      <w:r w:rsidRPr="00997F0D">
        <w:rPr>
          <w:b/>
          <w:bCs/>
          <w:lang w:val="es-ES"/>
        </w:rPr>
        <w:noBreakHyphen/>
        <w:t>23)</w:t>
      </w:r>
      <w:r w:rsidRPr="00997F0D">
        <w:rPr>
          <w:lang w:val="es-ES"/>
        </w:rPr>
        <w:t>.</w:t>
      </w:r>
    </w:p>
    <w:p w14:paraId="3B749283" w14:textId="77777777" w:rsidR="00E052A7" w:rsidRPr="00997F0D" w:rsidRDefault="00E052A7" w:rsidP="0089365D">
      <w:pPr>
        <w:rPr>
          <w:lang w:val="es-ES"/>
        </w:rPr>
      </w:pPr>
    </w:p>
    <w:p w14:paraId="02257F70" w14:textId="77777777" w:rsidR="00E052A7" w:rsidRDefault="00E052A7">
      <w:pPr>
        <w:jc w:val="center"/>
        <w:rPr>
          <w:color w:val="000000"/>
        </w:rPr>
      </w:pPr>
      <w:r>
        <w:rPr>
          <w:color w:val="000000"/>
        </w:rPr>
        <w:t>____________________</w:t>
      </w:r>
    </w:p>
    <w:p w14:paraId="65D0D92C" w14:textId="77777777" w:rsidR="00035525" w:rsidRDefault="00035525">
      <w:pPr>
        <w:jc w:val="center"/>
        <w:rPr>
          <w:color w:val="000000"/>
        </w:rPr>
      </w:pPr>
    </w:p>
    <w:p w14:paraId="47E7C057" w14:textId="77777777" w:rsidR="00035525" w:rsidRDefault="00035525">
      <w:pPr>
        <w:jc w:val="center"/>
        <w:rPr>
          <w:color w:val="000000"/>
        </w:rPr>
      </w:pPr>
    </w:p>
    <w:p w14:paraId="5E21AD6A" w14:textId="77777777" w:rsidR="00035525" w:rsidRDefault="00035525">
      <w:pPr>
        <w:jc w:val="center"/>
        <w:rPr>
          <w:color w:val="000000"/>
        </w:rPr>
      </w:pPr>
    </w:p>
    <w:p w14:paraId="45586D9A" w14:textId="77777777" w:rsidR="00035525" w:rsidRDefault="00035525">
      <w:pPr>
        <w:jc w:val="center"/>
        <w:rPr>
          <w:color w:val="000000"/>
        </w:rPr>
      </w:pPr>
    </w:p>
    <w:p w14:paraId="1C316475" w14:textId="77777777" w:rsidR="00035525" w:rsidRDefault="00035525">
      <w:pPr>
        <w:jc w:val="center"/>
        <w:rPr>
          <w:color w:val="000000"/>
        </w:rPr>
      </w:pPr>
    </w:p>
    <w:p w14:paraId="7396A8FA" w14:textId="77777777" w:rsidR="00E052A7" w:rsidRDefault="00E052A7" w:rsidP="0089365D"/>
    <w:p w14:paraId="1F1DDE53" w14:textId="77777777" w:rsidR="00E07A08" w:rsidRDefault="00E07A08" w:rsidP="00E36ED1">
      <w:pPr>
        <w:rPr>
          <w:lang w:val="en-US"/>
        </w:rPr>
        <w:sectPr w:rsidR="00E07A08" w:rsidSect="0089365D">
          <w:headerReference w:type="even" r:id="rId6"/>
          <w:headerReference w:type="first" r:id="rId7"/>
          <w:footnotePr>
            <w:pos w:val="beneathText"/>
          </w:footnotePr>
          <w:pgSz w:w="11907" w:h="16840" w:code="9"/>
          <w:pgMar w:top="1701" w:right="851" w:bottom="1134" w:left="1985" w:header="720" w:footer="482" w:gutter="0"/>
          <w:cols w:space="720"/>
          <w:vAlign w:val="both"/>
          <w:titlePg/>
        </w:sectPr>
      </w:pPr>
    </w:p>
    <w:p w14:paraId="445AFBC5" w14:textId="77777777" w:rsidR="00E052A7" w:rsidRDefault="00E052A7" w:rsidP="00E36ED1">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CADCC" w14:textId="77777777" w:rsidR="00405F45" w:rsidRDefault="00405F45">
      <w:r>
        <w:separator/>
      </w:r>
    </w:p>
  </w:endnote>
  <w:endnote w:type="continuationSeparator" w:id="0">
    <w:p w14:paraId="1C5D059F" w14:textId="77777777" w:rsidR="00405F45" w:rsidRDefault="0040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79F51" w14:textId="77777777" w:rsidR="00405F45" w:rsidRDefault="00405F45">
      <w:r>
        <w:rPr>
          <w:b/>
        </w:rPr>
        <w:t>_______________</w:t>
      </w:r>
    </w:p>
  </w:footnote>
  <w:footnote w:type="continuationSeparator" w:id="0">
    <w:p w14:paraId="4E3D7376" w14:textId="77777777" w:rsidR="00405F45" w:rsidRDefault="0040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7A08" w14:paraId="4C5F77E2" w14:textId="77777777" w:rsidTr="00E07A08">
      <w:trPr>
        <w:cantSplit/>
      </w:trPr>
      <w:tc>
        <w:tcPr>
          <w:tcW w:w="1701" w:type="dxa"/>
          <w:tcBorders>
            <w:top w:val="single" w:sz="6" w:space="0" w:color="auto"/>
            <w:left w:val="single" w:sz="6" w:space="0" w:color="auto"/>
            <w:bottom w:val="single" w:sz="6" w:space="0" w:color="auto"/>
            <w:right w:val="single" w:sz="6" w:space="0" w:color="auto"/>
          </w:tcBorders>
        </w:tcPr>
        <w:p w14:paraId="0B5C71B2" w14:textId="1D9AF945" w:rsidR="00E07A08" w:rsidRDefault="00E07A08" w:rsidP="00E07A08">
          <w:pPr>
            <w:pStyle w:val="HeaderRegProc"/>
          </w:pPr>
          <w:r>
            <w:t>Part</w:t>
          </w:r>
          <w:r w:rsidR="004F48FC">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74826545" w14:textId="7D62A6A1" w:rsidR="00E07A08" w:rsidRDefault="00E07A08" w:rsidP="00E07A08">
          <w:pPr>
            <w:pStyle w:val="HeaderRegProc"/>
            <w:rPr>
              <w:lang w:val="fr-FR"/>
            </w:rPr>
          </w:pPr>
          <w:r>
            <w:t>RES</w:t>
          </w:r>
          <w:r>
            <w:fldChar w:fldCharType="begin"/>
          </w:r>
          <w:r>
            <w:instrText>styleref href2</w:instrText>
          </w:r>
          <w:r>
            <w:fldChar w:fldCharType="separate"/>
          </w:r>
          <w:r w:rsidR="00C66492">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73FD54" w14:textId="38D3F3BC" w:rsidR="00E07A08" w:rsidRDefault="00E07A08" w:rsidP="00E07A08">
          <w:pPr>
            <w:pStyle w:val="HeaderRegProc"/>
            <w:rPr>
              <w:lang w:val="fr-CH"/>
            </w:rPr>
          </w:pPr>
          <w:proofErr w:type="gramStart"/>
          <w:r>
            <w:rPr>
              <w:lang w:val="fr-FR"/>
            </w:rPr>
            <w:t>p</w:t>
          </w:r>
          <w:r w:rsidR="004F48FC">
            <w:rPr>
              <w:lang w:val="fr-FR"/>
            </w:rPr>
            <w:t>á</w:t>
          </w:r>
          <w:r>
            <w:rPr>
              <w:lang w:val="fr-FR"/>
            </w:rPr>
            <w:t>g</w:t>
          </w:r>
          <w:r w:rsidR="004F48FC">
            <w:rPr>
              <w:lang w:val="fr-FR"/>
            </w:rPr>
            <w:t>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A63B3" w14:textId="020797B9" w:rsidR="00E07A08" w:rsidRDefault="00E07A08" w:rsidP="00E07A08">
          <w:pPr>
            <w:pStyle w:val="HeaderRegProc"/>
            <w:rPr>
              <w:lang w:val="fr-CH"/>
            </w:rPr>
          </w:pPr>
          <w:proofErr w:type="gramStart"/>
          <w:r>
            <w:rPr>
              <w:lang w:val="fr-CH"/>
            </w:rPr>
            <w:t>rev</w:t>
          </w:r>
          <w:proofErr w:type="gramEnd"/>
          <w:r>
            <w:rPr>
              <w:lang w:val="fr-CH"/>
            </w:rPr>
            <w:t xml:space="preserve">. </w:t>
          </w:r>
          <w:r w:rsidR="003134F7">
            <w:t>-</w:t>
          </w:r>
        </w:p>
      </w:tc>
    </w:tr>
  </w:tbl>
  <w:p w14:paraId="7ACF379A" w14:textId="77777777" w:rsidR="00E07A08" w:rsidRDefault="00E07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7EA02BCF" w:rsidR="00B00715" w:rsidRDefault="00B00715" w:rsidP="00B00715">
          <w:pPr>
            <w:pStyle w:val="HeaderRegProc"/>
          </w:pPr>
          <w:r>
            <w:t>Part</w:t>
          </w:r>
          <w:r w:rsidR="00CE726F">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6163DB2F" w:rsidR="00B00715" w:rsidRDefault="00B00715" w:rsidP="00B00715">
          <w:pPr>
            <w:pStyle w:val="HeaderRegProc"/>
            <w:rPr>
              <w:lang w:val="fr-FR"/>
            </w:rPr>
          </w:pPr>
          <w:r>
            <w:t>RES</w:t>
          </w:r>
          <w:r>
            <w:fldChar w:fldCharType="begin"/>
          </w:r>
          <w:r>
            <w:instrText>styleref href2</w:instrText>
          </w:r>
          <w:r>
            <w:fldChar w:fldCharType="separate"/>
          </w:r>
          <w:r w:rsidR="00C66492">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4B45A432" w:rsidR="00B00715" w:rsidRDefault="00B00715" w:rsidP="00B00715">
          <w:pPr>
            <w:pStyle w:val="HeaderRegProc"/>
            <w:rPr>
              <w:lang w:val="fr-CH"/>
            </w:rPr>
          </w:pPr>
          <w:proofErr w:type="gramStart"/>
          <w:r>
            <w:rPr>
              <w:lang w:val="fr-FR"/>
            </w:rPr>
            <w:t>p</w:t>
          </w:r>
          <w:r w:rsidR="00CE726F">
            <w:rPr>
              <w:lang w:val="fr-FR"/>
            </w:rPr>
            <w:t>á</w:t>
          </w:r>
          <w:r>
            <w:rPr>
              <w:lang w:val="fr-FR"/>
            </w:rPr>
            <w:t>g</w:t>
          </w:r>
          <w:r w:rsidR="00CE726F">
            <w:rPr>
              <w:lang w:val="fr-FR"/>
            </w:rPr>
            <w:t>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7EFC45CE" w:rsidR="00B00715" w:rsidRDefault="00B00715" w:rsidP="00B00715">
          <w:pPr>
            <w:pStyle w:val="HeaderRegProc"/>
            <w:rPr>
              <w:lang w:val="fr-CH"/>
            </w:rPr>
          </w:pPr>
          <w:proofErr w:type="gramStart"/>
          <w:r>
            <w:rPr>
              <w:lang w:val="fr-CH"/>
            </w:rPr>
            <w:t>rev</w:t>
          </w:r>
          <w:proofErr w:type="gramEnd"/>
          <w:r>
            <w:rPr>
              <w:lang w:val="fr-CH"/>
            </w:rPr>
            <w:t xml:space="preserve">. </w:t>
          </w:r>
          <w:r w:rsidR="003134F7">
            <w:t>-</w:t>
          </w:r>
        </w:p>
      </w:tc>
    </w:tr>
  </w:tbl>
  <w:p w14:paraId="3CE4A68B"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9699" w14:textId="77777777" w:rsidR="00E07A08" w:rsidRDefault="00E07A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35525"/>
    <w:rsid w:val="00062037"/>
    <w:rsid w:val="00075975"/>
    <w:rsid w:val="00085F8F"/>
    <w:rsid w:val="000B1472"/>
    <w:rsid w:val="000B6CC5"/>
    <w:rsid w:val="000F45FA"/>
    <w:rsid w:val="001549C7"/>
    <w:rsid w:val="001C7192"/>
    <w:rsid w:val="001E215E"/>
    <w:rsid w:val="00204C1C"/>
    <w:rsid w:val="00264A7E"/>
    <w:rsid w:val="002F6FCF"/>
    <w:rsid w:val="003134F7"/>
    <w:rsid w:val="00382B7D"/>
    <w:rsid w:val="00395F3E"/>
    <w:rsid w:val="003F79CF"/>
    <w:rsid w:val="00405F45"/>
    <w:rsid w:val="00483705"/>
    <w:rsid w:val="004F48FC"/>
    <w:rsid w:val="00620931"/>
    <w:rsid w:val="006779FD"/>
    <w:rsid w:val="006B2BAF"/>
    <w:rsid w:val="006B40CA"/>
    <w:rsid w:val="006F26AF"/>
    <w:rsid w:val="00722FEF"/>
    <w:rsid w:val="00762188"/>
    <w:rsid w:val="008018D9"/>
    <w:rsid w:val="00803152"/>
    <w:rsid w:val="00824378"/>
    <w:rsid w:val="0089365D"/>
    <w:rsid w:val="009971CA"/>
    <w:rsid w:val="00997F0D"/>
    <w:rsid w:val="009B0898"/>
    <w:rsid w:val="00A002ED"/>
    <w:rsid w:val="00A04D5E"/>
    <w:rsid w:val="00A70933"/>
    <w:rsid w:val="00AE5F49"/>
    <w:rsid w:val="00B00715"/>
    <w:rsid w:val="00B2732B"/>
    <w:rsid w:val="00B472F8"/>
    <w:rsid w:val="00BA1AEC"/>
    <w:rsid w:val="00BD7EA7"/>
    <w:rsid w:val="00C55D4B"/>
    <w:rsid w:val="00C66492"/>
    <w:rsid w:val="00C77ED5"/>
    <w:rsid w:val="00CC1BC0"/>
    <w:rsid w:val="00CE726F"/>
    <w:rsid w:val="00E052A7"/>
    <w:rsid w:val="00E07A08"/>
    <w:rsid w:val="00E36ED1"/>
    <w:rsid w:val="00E70951"/>
    <w:rsid w:val="00EC2C88"/>
    <w:rsid w:val="00F14B16"/>
    <w:rsid w:val="00F73346"/>
    <w:rsid w:val="00F73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styleId="Revision">
    <w:name w:val="Revision"/>
    <w:hidden/>
    <w:uiPriority w:val="99"/>
    <w:semiHidden/>
    <w:rsid w:val="009971CA"/>
    <w:rPr>
      <w:sz w:val="24"/>
      <w:lang w:val="en-GB" w:eastAsia="en-US"/>
    </w:rPr>
  </w:style>
  <w:style w:type="paragraph" w:customStyle="1" w:styleId="Normalaftertitle0">
    <w:name w:val="Normal_after_title"/>
    <w:basedOn w:val="Normal"/>
    <w:next w:val="Normal"/>
    <w:rsid w:val="00BD7EA7"/>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customStyle="1" w:styleId="Reasons">
    <w:name w:val="Reasons"/>
    <w:basedOn w:val="Normal"/>
    <w:qFormat/>
    <w:rsid w:val="00997F0D"/>
    <w:pPr>
      <w:tabs>
        <w:tab w:val="clear" w:pos="1871"/>
        <w:tab w:val="clear" w:pos="2268"/>
        <w:tab w:val="left" w:pos="1588"/>
        <w:tab w:val="left" w:pos="1985"/>
      </w:tabs>
      <w:spacing w:before="120"/>
      <w:jc w:val="left"/>
    </w:pPr>
    <w:rPr>
      <w:rFonts w:eastAsiaTheme="minorEastAsia"/>
    </w:rPr>
  </w:style>
  <w:style w:type="paragraph" w:customStyle="1" w:styleId="StyleRecBefore18pt">
    <w:name w:val="Style Rec_# + Before:  18 pt"/>
    <w:basedOn w:val="Rec"/>
    <w:rsid w:val="00F73D0C"/>
    <w:pPr>
      <w:spacing w:before="36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78</TotalTime>
  <Pages>3</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
  <dc:creator>Composition des Publications</dc:creator>
  <cp:keywords/>
  <dc:description/>
  <cp:lastModifiedBy>Saez Grau, Ricardo</cp:lastModifiedBy>
  <cp:revision>43</cp:revision>
  <cp:lastPrinted>2025-11-28T16:13:00Z</cp:lastPrinted>
  <dcterms:created xsi:type="dcterms:W3CDTF">2012-08-08T06:51:00Z</dcterms:created>
  <dcterms:modified xsi:type="dcterms:W3CDTF">2025-11-28T16:13:00Z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