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D0DB" w14:textId="5D62BDA6" w:rsidR="00E052A7" w:rsidRPr="00B849D8" w:rsidRDefault="00B849D8" w:rsidP="00B849D8">
      <w:pPr>
        <w:jc w:val="center"/>
        <w:rPr>
          <w:b/>
          <w:bCs/>
          <w:sz w:val="28"/>
          <w:szCs w:val="28"/>
          <w:lang w:val="es-ES"/>
        </w:rPr>
      </w:pPr>
      <w:r w:rsidRPr="00B849D8">
        <w:rPr>
          <w:b/>
          <w:bCs/>
          <w:sz w:val="28"/>
          <w:szCs w:val="28"/>
          <w:lang w:val="es-ES"/>
        </w:rPr>
        <w:t>Reglas relativas a la</w:t>
      </w:r>
    </w:p>
    <w:p w14:paraId="6D735A6A" w14:textId="5D2AE96B" w:rsidR="00E052A7" w:rsidRPr="00B849D8" w:rsidRDefault="00E052A7" w:rsidP="00A95CE8">
      <w:pPr>
        <w:pStyle w:val="Heading2"/>
        <w:jc w:val="center"/>
        <w:rPr>
          <w:lang w:val="es-ES"/>
        </w:rPr>
      </w:pPr>
      <w:r w:rsidRPr="00B849D8">
        <w:rPr>
          <w:lang w:val="es-ES"/>
        </w:rPr>
        <w:t>RESOLU</w:t>
      </w:r>
      <w:r w:rsidR="00B849D8">
        <w:rPr>
          <w:lang w:val="es-ES"/>
        </w:rPr>
        <w:t>CIÓ</w:t>
      </w:r>
      <w:r w:rsidRPr="00B849D8">
        <w:rPr>
          <w:lang w:val="es-ES"/>
        </w:rPr>
        <w:t xml:space="preserve">N  </w:t>
      </w:r>
      <w:r w:rsidR="005F1E1A" w:rsidRPr="00B849D8">
        <w:rPr>
          <w:rStyle w:val="href2"/>
          <w:lang w:val="es-ES"/>
        </w:rPr>
        <w:t>121</w:t>
      </w:r>
      <w:r w:rsidRPr="00B849D8">
        <w:rPr>
          <w:lang w:val="es-ES"/>
        </w:rPr>
        <w:t xml:space="preserve"> (C</w:t>
      </w:r>
      <w:r w:rsidR="00B849D8">
        <w:rPr>
          <w:lang w:val="es-ES"/>
        </w:rPr>
        <w:t>MR</w:t>
      </w:r>
      <w:r w:rsidRPr="00B849D8">
        <w:rPr>
          <w:lang w:val="es-ES"/>
        </w:rPr>
        <w:t>-</w:t>
      </w:r>
      <w:r w:rsidR="005F1E1A" w:rsidRPr="00B849D8">
        <w:rPr>
          <w:lang w:val="es-ES"/>
        </w:rPr>
        <w:t>23</w:t>
      </w:r>
      <w:r w:rsidRPr="00B849D8">
        <w:rPr>
          <w:lang w:val="es-ES"/>
        </w:rPr>
        <w:t>)</w:t>
      </w:r>
    </w:p>
    <w:p w14:paraId="7D60942F" w14:textId="24AECF2E" w:rsidR="00E052A7" w:rsidRPr="007A262C" w:rsidRDefault="00B849D8" w:rsidP="00A95CE8">
      <w:pPr>
        <w:pStyle w:val="Restitle"/>
        <w:spacing w:before="600"/>
        <w:rPr>
          <w:lang w:val="es-ES"/>
        </w:rPr>
      </w:pPr>
      <w:r w:rsidRPr="007A262C">
        <w:rPr>
          <w:lang w:val="es-ES"/>
        </w:rPr>
        <w:t>Utilización de la banda de frecuencias 12,75-13,25 GHz por estaciones terrenas en movimiento a bordo de aeronaves y barcos que comunican con</w:t>
      </w:r>
      <w:r w:rsidR="00A95CE8">
        <w:rPr>
          <w:lang w:val="es-ES"/>
        </w:rPr>
        <w:t xml:space="preserve"> </w:t>
      </w:r>
      <w:r w:rsidRPr="007A262C">
        <w:rPr>
          <w:lang w:val="es-ES"/>
        </w:rPr>
        <w:t>estaciones espaciales geoestacionarias del servicio fijo por satélite</w:t>
      </w:r>
    </w:p>
    <w:p w14:paraId="79796C29" w14:textId="7B696147" w:rsidR="00AD5DE6" w:rsidRPr="00C20434" w:rsidRDefault="00AD5DE6" w:rsidP="00AD5DE6">
      <w:pPr>
        <w:pStyle w:val="AnnexNo"/>
        <w:keepNext w:val="0"/>
        <w:rPr>
          <w:lang w:val="es-ES"/>
        </w:rPr>
      </w:pPr>
      <w:r w:rsidRPr="00C20434">
        <w:rPr>
          <w:lang w:val="es-ES"/>
        </w:rPr>
        <w:t>ANEX</w:t>
      </w:r>
      <w:r w:rsidR="00A80474" w:rsidRPr="00C20434">
        <w:rPr>
          <w:lang w:val="es-ES"/>
        </w:rPr>
        <w:t>O</w:t>
      </w:r>
      <w:r w:rsidRPr="00C20434">
        <w:rPr>
          <w:lang w:val="es-ES"/>
        </w:rPr>
        <w:t xml:space="preserve"> 1 </w:t>
      </w:r>
      <w:r w:rsidR="00A80474" w:rsidRPr="00C20434">
        <w:rPr>
          <w:lang w:val="es-ES"/>
        </w:rPr>
        <w:t xml:space="preserve">A LA </w:t>
      </w:r>
      <w:r w:rsidRPr="00C20434">
        <w:rPr>
          <w:lang w:val="es-ES"/>
        </w:rPr>
        <w:t>Resolu</w:t>
      </w:r>
      <w:r w:rsidR="00A80474" w:rsidRPr="00C20434">
        <w:rPr>
          <w:lang w:val="es-ES"/>
        </w:rPr>
        <w:t>CIÓ</w:t>
      </w:r>
      <w:r w:rsidRPr="00C20434">
        <w:rPr>
          <w:lang w:val="es-ES"/>
        </w:rPr>
        <w:t xml:space="preserve">n </w:t>
      </w:r>
      <w:r w:rsidRPr="00737A6C">
        <w:rPr>
          <w:b/>
          <w:bCs/>
          <w:lang w:val="es-ES"/>
        </w:rPr>
        <w:t>121 (C</w:t>
      </w:r>
      <w:r w:rsidR="00A80474" w:rsidRPr="00737A6C">
        <w:rPr>
          <w:b/>
          <w:bCs/>
          <w:lang w:val="es-ES"/>
        </w:rPr>
        <w:t>MR</w:t>
      </w:r>
      <w:r w:rsidRPr="00737A6C">
        <w:rPr>
          <w:b/>
          <w:bCs/>
          <w:lang w:val="es-ES"/>
        </w:rPr>
        <w:t>-23)</w:t>
      </w:r>
    </w:p>
    <w:p w14:paraId="42374E84" w14:textId="6E1DD682" w:rsidR="00AD5DE6" w:rsidRPr="00C20434" w:rsidRDefault="00AD5DE6" w:rsidP="00AD5DE6">
      <w:pPr>
        <w:pStyle w:val="PartNo"/>
        <w:keepNext w:val="0"/>
        <w:rPr>
          <w:lang w:val="es-ES"/>
        </w:rPr>
      </w:pPr>
      <w:r w:rsidRPr="00C20434">
        <w:rPr>
          <w:lang w:val="es-ES"/>
        </w:rPr>
        <w:t>PART</w:t>
      </w:r>
      <w:r w:rsidR="00C20434" w:rsidRPr="00C20434">
        <w:rPr>
          <w:lang w:val="es-ES"/>
        </w:rPr>
        <w:t>E</w:t>
      </w:r>
      <w:r w:rsidRPr="00C20434">
        <w:rPr>
          <w:lang w:val="es-ES"/>
        </w:rPr>
        <w:t xml:space="preserve"> I</w:t>
      </w:r>
    </w:p>
    <w:p w14:paraId="5ECBEDE6" w14:textId="661E4D9A" w:rsidR="00AD5DE6" w:rsidRPr="00C20434" w:rsidRDefault="00C20434" w:rsidP="00C20434">
      <w:pPr>
        <w:pStyle w:val="Parttitle"/>
        <w:rPr>
          <w:lang w:val="es-ES"/>
        </w:rPr>
      </w:pPr>
      <w:r w:rsidRPr="00C20434">
        <w:rPr>
          <w:lang w:val="es-ES"/>
        </w:rPr>
        <w:t>Procedimiento que han de seguir las administraciones y la Oficina para</w:t>
      </w:r>
      <w:r>
        <w:rPr>
          <w:lang w:val="es-ES"/>
        </w:rPr>
        <w:t xml:space="preserve"> </w:t>
      </w:r>
      <w:r w:rsidRPr="00C20434">
        <w:rPr>
          <w:lang w:val="es-ES"/>
        </w:rPr>
        <w:t>la notificación de estaciones terrenas a bordo de aeronaves y barcos que utilizan la banda de frecuencias 12,75-13,25 GHz (Tierra espacio) y para la</w:t>
      </w:r>
      <w:r>
        <w:rPr>
          <w:lang w:val="es-ES"/>
        </w:rPr>
        <w:t> </w:t>
      </w:r>
      <w:r w:rsidRPr="00C20434">
        <w:rPr>
          <w:lang w:val="es-ES"/>
        </w:rPr>
        <w:t>protección de las adjudicaciones del Plan, las asignaciones de la Lista del</w:t>
      </w:r>
      <w:r>
        <w:rPr>
          <w:lang w:val="es-ES"/>
        </w:rPr>
        <w:t> </w:t>
      </w:r>
      <w:r w:rsidRPr="00C20434">
        <w:rPr>
          <w:lang w:val="es-ES"/>
        </w:rPr>
        <w:t>Apéndice 30B</w:t>
      </w:r>
      <w:r>
        <w:rPr>
          <w:lang w:val="es-ES"/>
        </w:rPr>
        <w:t xml:space="preserve"> </w:t>
      </w:r>
      <w:r w:rsidRPr="00C20434">
        <w:rPr>
          <w:lang w:val="es-ES"/>
        </w:rPr>
        <w:t>y las asignaciones notificadas en virtud de los Artículos 6 y 7 del</w:t>
      </w:r>
      <w:r>
        <w:rPr>
          <w:lang w:val="es-ES"/>
        </w:rPr>
        <w:t xml:space="preserve"> </w:t>
      </w:r>
      <w:r w:rsidRPr="00C20434">
        <w:rPr>
          <w:lang w:val="es-ES"/>
        </w:rPr>
        <w:t>Apéndice 30B y de la Resolución 170 (Rev.CMR</w:t>
      </w:r>
      <w:r w:rsidR="00B514E8">
        <w:rPr>
          <w:lang w:val="es-ES"/>
        </w:rPr>
        <w:t>-</w:t>
      </w:r>
      <w:r w:rsidRPr="00C20434">
        <w:rPr>
          <w:lang w:val="es-ES"/>
        </w:rPr>
        <w:t>23)</w:t>
      </w:r>
    </w:p>
    <w:p w14:paraId="5072897D" w14:textId="536AF5D2" w:rsidR="00AD5DE6" w:rsidRPr="00C20434" w:rsidRDefault="00C20434" w:rsidP="00C20434">
      <w:pPr>
        <w:pStyle w:val="Sectiontitle"/>
        <w:rPr>
          <w:lang w:val="es-ES"/>
        </w:rPr>
      </w:pPr>
      <w:r w:rsidRPr="00C20434">
        <w:rPr>
          <w:lang w:val="es-ES"/>
        </w:rPr>
        <w:t>Sección A – Procedimiento para la inscripción de asignaciones a estaciones</w:t>
      </w:r>
      <w:r>
        <w:rPr>
          <w:lang w:val="es-ES"/>
        </w:rPr>
        <w:t> </w:t>
      </w:r>
      <w:r w:rsidRPr="00C20434">
        <w:rPr>
          <w:lang w:val="es-ES"/>
        </w:rPr>
        <w:t>terrenas a bordo de aeronaves y barcos en la</w:t>
      </w:r>
      <w:r>
        <w:rPr>
          <w:lang w:val="es-ES"/>
        </w:rPr>
        <w:t xml:space="preserve"> </w:t>
      </w:r>
      <w:r>
        <w:rPr>
          <w:lang w:val="es-ES"/>
        </w:rPr>
        <w:br/>
      </w:r>
      <w:r w:rsidRPr="00C20434">
        <w:rPr>
          <w:lang w:val="es-ES"/>
        </w:rPr>
        <w:t>Lista de ETEM del Apéndice 30B</w:t>
      </w:r>
    </w:p>
    <w:p w14:paraId="0B18535C" w14:textId="347386F3" w:rsidR="000E2988" w:rsidRPr="005F4AC5" w:rsidRDefault="000E2988" w:rsidP="0030730A">
      <w:pPr>
        <w:pStyle w:val="Heading8"/>
        <w:rPr>
          <w:lang w:val="es-ES"/>
        </w:rPr>
      </w:pPr>
      <w:r w:rsidRPr="005F4AC5">
        <w:rPr>
          <w:lang w:val="es-ES"/>
        </w:rPr>
        <w:t xml:space="preserve">§ 3 </w:t>
      </w:r>
      <w:r w:rsidRPr="005F4AC5">
        <w:rPr>
          <w:i/>
          <w:iCs/>
          <w:lang w:val="es-ES"/>
        </w:rPr>
        <w:t>a)</w:t>
      </w:r>
      <w:r w:rsidRPr="005F4AC5">
        <w:rPr>
          <w:lang w:val="es-ES"/>
        </w:rPr>
        <w:t xml:space="preserve"> </w:t>
      </w:r>
    </w:p>
    <w:p w14:paraId="2FCF307B" w14:textId="77777777" w:rsidR="004C41FA" w:rsidRPr="004C41FA" w:rsidRDefault="004C41FA" w:rsidP="004C41FA">
      <w:pPr>
        <w:rPr>
          <w:lang w:val="es-ES"/>
        </w:rPr>
      </w:pPr>
      <w:r w:rsidRPr="004C41FA">
        <w:rPr>
          <w:lang w:val="es-ES"/>
        </w:rPr>
        <w:t>La Junta observó que las notas adjuntas a las disposiciones § 3 a) y § 14 a) de la Sección A y § 6.1 de la Sección B indican que las «demás disposiciones» mencionadas en esas disposiciones deberán identificarse e incluirse en las Reglas de Procedimiento. Dado que las estaciones terrenas en movimiento a bordo de aeronaves y buques en la banda de frecuencias 12,75-13,25 GHz deben ajustarse a las características de las asignaciones de frecuencias complementarias de la Lista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>, las «demás disposiciones» deben ser las mismas que las aplicadas en el examen de una notificación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>.</w:t>
      </w:r>
    </w:p>
    <w:p w14:paraId="5C442390" w14:textId="1975ECE6" w:rsidR="009B2AF4" w:rsidRPr="004C41FA" w:rsidRDefault="004C41FA" w:rsidP="004C41FA">
      <w:pPr>
        <w:rPr>
          <w:lang w:val="es-ES"/>
        </w:rPr>
      </w:pPr>
      <w:r w:rsidRPr="004C41FA">
        <w:rPr>
          <w:lang w:val="es-ES"/>
        </w:rPr>
        <w:t>A este respecto, las Reglas de Procedimiento relativas al § 6.3 </w:t>
      </w:r>
      <w:r w:rsidRPr="004C41FA">
        <w:rPr>
          <w:i/>
          <w:iCs/>
          <w:lang w:val="es-ES"/>
        </w:rPr>
        <w:t>a)</w:t>
      </w:r>
      <w:r w:rsidRPr="004C41FA">
        <w:rPr>
          <w:lang w:val="es-ES"/>
        </w:rPr>
        <w:t xml:space="preserve">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 xml:space="preserve"> enumeran las «demás disposiciones» que figuran en los Artículos 21 y 22 del Reglamento de Radiocomunicaciones con respecto a las cuales se examinan las notificaciones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 xml:space="preserve"> en virtud del § 6.3 </w:t>
      </w:r>
      <w:r w:rsidRPr="004C41FA">
        <w:rPr>
          <w:i/>
          <w:iCs/>
          <w:lang w:val="es-ES"/>
        </w:rPr>
        <w:t>a)</w:t>
      </w:r>
      <w:r w:rsidRPr="004C41FA">
        <w:rPr>
          <w:lang w:val="es-ES"/>
        </w:rPr>
        <w:t>, § 6.19 </w:t>
      </w:r>
      <w:r w:rsidRPr="004C41FA">
        <w:rPr>
          <w:i/>
          <w:iCs/>
          <w:lang w:val="es-ES"/>
        </w:rPr>
        <w:t>b)</w:t>
      </w:r>
      <w:r w:rsidRPr="004C41FA">
        <w:rPr>
          <w:lang w:val="es-ES"/>
        </w:rPr>
        <w:t>, § 7.5 </w:t>
      </w:r>
      <w:r w:rsidRPr="004C41FA">
        <w:rPr>
          <w:i/>
          <w:iCs/>
          <w:lang w:val="es-ES"/>
        </w:rPr>
        <w:t>a)</w:t>
      </w:r>
      <w:r w:rsidRPr="004C41FA">
        <w:rPr>
          <w:lang w:val="es-ES"/>
        </w:rPr>
        <w:t xml:space="preserve"> o § 8.8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>, en particular «conformidad con los límites de potencia para estaciones terrenas estipulados en las disposiciones de los números </w:t>
      </w:r>
      <w:r w:rsidRPr="004C41FA">
        <w:rPr>
          <w:b/>
          <w:bCs/>
          <w:lang w:val="es-ES"/>
        </w:rPr>
        <w:t>21.8</w:t>
      </w:r>
      <w:r w:rsidRPr="004C41FA">
        <w:rPr>
          <w:lang w:val="es-ES"/>
        </w:rPr>
        <w:t xml:space="preserve"> y </w:t>
      </w:r>
      <w:r w:rsidRPr="004C41FA">
        <w:rPr>
          <w:b/>
          <w:bCs/>
          <w:lang w:val="es-ES"/>
        </w:rPr>
        <w:t>21.12</w:t>
      </w:r>
      <w:r w:rsidRPr="004C41FA">
        <w:rPr>
          <w:lang w:val="es-ES"/>
        </w:rPr>
        <w:t>, teniendo en cuenta lo dispuesto en los números </w:t>
      </w:r>
      <w:r w:rsidRPr="004C41FA">
        <w:rPr>
          <w:b/>
          <w:bCs/>
          <w:lang w:val="es-ES"/>
        </w:rPr>
        <w:t>21.9</w:t>
      </w:r>
      <w:r w:rsidRPr="004C41FA">
        <w:rPr>
          <w:lang w:val="es-ES"/>
        </w:rPr>
        <w:t xml:space="preserve"> y </w:t>
      </w:r>
      <w:r w:rsidRPr="004C41FA">
        <w:rPr>
          <w:b/>
          <w:bCs/>
          <w:lang w:val="es-ES"/>
        </w:rPr>
        <w:t>21.11</w:t>
      </w:r>
      <w:r w:rsidRPr="004C41FA">
        <w:rPr>
          <w:lang w:val="es-ES"/>
        </w:rPr>
        <w:t>» y «conformidad con el mínimo ángulo de elevación de las estaciones terrenas estipulado en las disposiciones del número </w:t>
      </w:r>
      <w:r w:rsidRPr="004C41FA">
        <w:rPr>
          <w:b/>
          <w:bCs/>
          <w:lang w:val="es-ES"/>
        </w:rPr>
        <w:t>21.14</w:t>
      </w:r>
      <w:r w:rsidRPr="004C41FA">
        <w:rPr>
          <w:lang w:val="es-ES"/>
        </w:rPr>
        <w:t>».</w:t>
      </w:r>
    </w:p>
    <w:p w14:paraId="796A7A8C" w14:textId="77777777" w:rsidR="0030730A" w:rsidRPr="004C41FA" w:rsidRDefault="0030730A" w:rsidP="009B2AF4">
      <w:pPr>
        <w:spacing w:before="160"/>
        <w:ind w:right="26"/>
        <w:rPr>
          <w:rFonts w:asciiTheme="majorBidi" w:hAnsiTheme="majorBidi" w:cstheme="majorBidi"/>
          <w:szCs w:val="24"/>
          <w:lang w:val="es-ES"/>
        </w:rPr>
      </w:pPr>
      <w:r w:rsidRPr="004C41FA">
        <w:rPr>
          <w:rFonts w:asciiTheme="majorBidi" w:hAnsiTheme="majorBidi" w:cstheme="majorBidi"/>
          <w:szCs w:val="24"/>
          <w:lang w:val="es-ES"/>
        </w:rPr>
        <w:br w:type="page"/>
      </w:r>
    </w:p>
    <w:p w14:paraId="51410C10" w14:textId="77777777" w:rsidR="00F87050" w:rsidRPr="00F87050" w:rsidRDefault="00F87050" w:rsidP="00F87050">
      <w:pPr>
        <w:rPr>
          <w:lang w:val="es-ES"/>
        </w:rPr>
      </w:pPr>
      <w:r w:rsidRPr="00F87050">
        <w:rPr>
          <w:lang w:val="es-ES"/>
        </w:rPr>
        <w:lastRenderedPageBreak/>
        <w:t>Ahora bien, la Junta observó que los números </w:t>
      </w:r>
      <w:r w:rsidRPr="00F87050">
        <w:rPr>
          <w:b/>
          <w:bCs/>
          <w:lang w:val="es-ES"/>
        </w:rPr>
        <w:t>21.8</w:t>
      </w:r>
      <w:r w:rsidRPr="00F87050">
        <w:rPr>
          <w:lang w:val="es-ES"/>
        </w:rPr>
        <w:t xml:space="preserve"> y </w:t>
      </w:r>
      <w:r w:rsidRPr="00F87050">
        <w:rPr>
          <w:b/>
          <w:bCs/>
          <w:lang w:val="es-ES"/>
        </w:rPr>
        <w:t>21.12</w:t>
      </w:r>
      <w:r w:rsidRPr="00F87050">
        <w:rPr>
          <w:lang w:val="es-ES"/>
        </w:rPr>
        <w:t xml:space="preserve"> del Reglamento de Radiocomunicaciones y el Anexo 2 a la Resolución </w:t>
      </w:r>
      <w:r w:rsidRPr="00F87050">
        <w:rPr>
          <w:b/>
          <w:bCs/>
          <w:lang w:val="es-ES"/>
        </w:rPr>
        <w:t>121 (CMR</w:t>
      </w:r>
      <w:r w:rsidRPr="00F87050">
        <w:rPr>
          <w:b/>
          <w:bCs/>
          <w:lang w:val="es-ES"/>
        </w:rPr>
        <w:noBreakHyphen/>
        <w:t>23)</w:t>
      </w:r>
      <w:r w:rsidRPr="00F87050">
        <w:rPr>
          <w:lang w:val="es-ES"/>
        </w:rPr>
        <w:t xml:space="preserve"> tienen por objeto proteger los servicios terrenales. Dado que las limitaciones contenidas en el número </w:t>
      </w:r>
      <w:r w:rsidRPr="00F87050">
        <w:rPr>
          <w:b/>
          <w:bCs/>
          <w:lang w:val="es-ES"/>
        </w:rPr>
        <w:t>21.8</w:t>
      </w:r>
      <w:r w:rsidRPr="00F87050">
        <w:rPr>
          <w:lang w:val="es-ES"/>
        </w:rPr>
        <w:t xml:space="preserve"> son menos estrictas que las contenidas en el Anexo 2 de la Resolución </w:t>
      </w:r>
      <w:r w:rsidRPr="00F87050">
        <w:rPr>
          <w:b/>
          <w:bCs/>
          <w:lang w:val="es-ES"/>
        </w:rPr>
        <w:t>121 (CMR</w:t>
      </w:r>
      <w:r w:rsidRPr="00F87050">
        <w:rPr>
          <w:b/>
          <w:bCs/>
          <w:lang w:val="es-ES"/>
        </w:rPr>
        <w:noBreakHyphen/>
        <w:t>23)</w:t>
      </w:r>
      <w:r w:rsidRPr="00F87050">
        <w:rPr>
          <w:lang w:val="es-ES"/>
        </w:rPr>
        <w:t>, la Junta concluyó que no es necesario efectuar un examen con arreglo al número </w:t>
      </w:r>
      <w:r w:rsidRPr="00F87050">
        <w:rPr>
          <w:b/>
          <w:bCs/>
          <w:lang w:val="es-ES"/>
        </w:rPr>
        <w:t>21.8</w:t>
      </w:r>
      <w:r w:rsidRPr="00F87050">
        <w:rPr>
          <w:lang w:val="es-ES"/>
        </w:rPr>
        <w:t>. Asimismo, dada la naturaleza de las estaciones terrenas en movimiento a bordo de aeronaves y buques, en tanto que estaciones típicas, y habida cuenta de la decisión de la CMR</w:t>
      </w:r>
      <w:r w:rsidRPr="00F87050">
        <w:rPr>
          <w:lang w:val="es-ES"/>
        </w:rPr>
        <w:noBreakHyphen/>
        <w:t>15 relativa al número </w:t>
      </w:r>
      <w:r w:rsidRPr="00F87050">
        <w:rPr>
          <w:b/>
          <w:bCs/>
          <w:lang w:val="es-ES"/>
        </w:rPr>
        <w:t>21.14</w:t>
      </w:r>
      <w:r w:rsidRPr="00F87050">
        <w:rPr>
          <w:lang w:val="es-ES"/>
        </w:rPr>
        <w:t xml:space="preserve"> por la que se elimina la limitación de utilizar los puntos de cuadrícula con un ángulo de elevación mínimo de 3°, la Junta concluyó además que tampoco es necesario realizar el examen con arreglo al número </w:t>
      </w:r>
      <w:r w:rsidRPr="00F87050">
        <w:rPr>
          <w:b/>
          <w:bCs/>
          <w:lang w:val="es-ES"/>
        </w:rPr>
        <w:t>21.14</w:t>
      </w:r>
      <w:r w:rsidRPr="00F87050">
        <w:rPr>
          <w:lang w:val="es-ES"/>
        </w:rPr>
        <w:t>.</w:t>
      </w:r>
    </w:p>
    <w:p w14:paraId="4778B25B" w14:textId="77777777" w:rsidR="00F87050" w:rsidRPr="00F87050" w:rsidRDefault="00F87050" w:rsidP="00F87050">
      <w:pPr>
        <w:rPr>
          <w:lang w:val="es-ES"/>
        </w:rPr>
      </w:pPr>
      <w:r w:rsidRPr="00F87050">
        <w:rPr>
          <w:lang w:val="es-ES"/>
        </w:rPr>
        <w:t>La Junta decidió además que las «demás disposiciones» contenidas en el Artículo </w:t>
      </w:r>
      <w:r w:rsidRPr="00F87050">
        <w:rPr>
          <w:b/>
          <w:bCs/>
          <w:lang w:val="es-ES"/>
        </w:rPr>
        <w:t xml:space="preserve">22 </w:t>
      </w:r>
      <w:r w:rsidRPr="00F87050">
        <w:rPr>
          <w:lang w:val="es-ES"/>
        </w:rPr>
        <w:t>y que se habrán de aplicar al realizar el examen con arreglo a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y § 14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de la Sección A y § 6.1 de la Sección B son las siguientes: </w:t>
      </w:r>
    </w:p>
    <w:p w14:paraId="7C5F2027" w14:textId="77777777" w:rsidR="00F87050" w:rsidRPr="005F4AC5" w:rsidRDefault="00F87050" w:rsidP="00F87050">
      <w:pPr>
        <w:pStyle w:val="enumlev1"/>
        <w:rPr>
          <w:lang w:val="es-ES"/>
        </w:rPr>
      </w:pPr>
      <w:r w:rsidRPr="005F4AC5">
        <w:rPr>
          <w:lang w:val="es-ES"/>
        </w:rPr>
        <w:t>–</w:t>
      </w:r>
      <w:r w:rsidRPr="005F4AC5">
        <w:rPr>
          <w:lang w:val="es-ES"/>
        </w:rPr>
        <w:tab/>
        <w:t>conformidad con los límites de potencia para estaciones terrenas en movimiento a bordo de aeronaves y buques estipulados en el número </w:t>
      </w:r>
      <w:r w:rsidRPr="006D6906">
        <w:rPr>
          <w:b/>
          <w:bCs/>
          <w:lang w:val="es-ES"/>
        </w:rPr>
        <w:t>22.26</w:t>
      </w:r>
      <w:r w:rsidRPr="005F4AC5">
        <w:rPr>
          <w:lang w:val="es-ES"/>
        </w:rPr>
        <w:t>, conforme a las condiciones especificadas en el número </w:t>
      </w:r>
      <w:r w:rsidRPr="006D6906">
        <w:rPr>
          <w:b/>
          <w:bCs/>
          <w:lang w:val="es-ES"/>
        </w:rPr>
        <w:t>22.37</w:t>
      </w:r>
      <w:r w:rsidRPr="005F4AC5">
        <w:rPr>
          <w:lang w:val="es-ES"/>
        </w:rPr>
        <w:t xml:space="preserve"> cuando las estaciones terrenas en movimiento a bordo de aeronaves y buques estén sujetas a dichas limitaciones de potencia; y</w:t>
      </w:r>
    </w:p>
    <w:p w14:paraId="686162DD" w14:textId="77777777" w:rsidR="00F87050" w:rsidRPr="005F4AC5" w:rsidRDefault="00F87050" w:rsidP="00F87050">
      <w:pPr>
        <w:pStyle w:val="enumlev1"/>
        <w:rPr>
          <w:lang w:val="es-ES"/>
        </w:rPr>
      </w:pPr>
      <w:r w:rsidRPr="005F4AC5">
        <w:rPr>
          <w:lang w:val="es-ES"/>
        </w:rPr>
        <w:t>–</w:t>
      </w:r>
      <w:r w:rsidRPr="005F4AC5">
        <w:rPr>
          <w:lang w:val="es-ES"/>
        </w:rPr>
        <w:tab/>
        <w:t>conformidad con el límite especificado en el número </w:t>
      </w:r>
      <w:r w:rsidRPr="006D6906">
        <w:rPr>
          <w:b/>
          <w:bCs/>
          <w:lang w:val="es-ES"/>
        </w:rPr>
        <w:t>22.8</w:t>
      </w:r>
      <w:r w:rsidRPr="005F4AC5">
        <w:rPr>
          <w:lang w:val="es-ES"/>
        </w:rPr>
        <w:t>.</w:t>
      </w:r>
    </w:p>
    <w:p w14:paraId="1244B2C9" w14:textId="7B1AAB4C" w:rsidR="009B2AF4" w:rsidRPr="00F87050" w:rsidRDefault="00F87050" w:rsidP="00F87050">
      <w:pPr>
        <w:rPr>
          <w:lang w:val="es-ES"/>
        </w:rPr>
      </w:pPr>
      <w:r w:rsidRPr="00F87050">
        <w:rPr>
          <w:lang w:val="es-ES"/>
        </w:rPr>
        <w:t>Otras disposiciones de los Artículos </w:t>
      </w:r>
      <w:r w:rsidRPr="00F87050">
        <w:rPr>
          <w:b/>
          <w:bCs/>
          <w:lang w:val="es-ES"/>
        </w:rPr>
        <w:t>21</w:t>
      </w:r>
      <w:r w:rsidRPr="00F87050">
        <w:rPr>
          <w:lang w:val="es-ES"/>
        </w:rPr>
        <w:t xml:space="preserve"> y </w:t>
      </w:r>
      <w:r w:rsidRPr="00F87050">
        <w:rPr>
          <w:b/>
          <w:bCs/>
          <w:lang w:val="es-ES"/>
        </w:rPr>
        <w:t>22</w:t>
      </w:r>
      <w:r w:rsidRPr="00F87050">
        <w:rPr>
          <w:lang w:val="es-ES"/>
        </w:rPr>
        <w:t xml:space="preserve"> no se tendrán en cuenta al realizar el examen reglamentario con arreglo a los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y § 14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de la Sección A y § 6.1 de la Sección B, ya que la Junta entiende que dichas disposiciones deben aplicarse entre administraciones según proceda.</w:t>
      </w:r>
    </w:p>
    <w:p w14:paraId="3AA25A21" w14:textId="77777777" w:rsidR="009B2AF4" w:rsidRPr="005F4AC5" w:rsidRDefault="009B2AF4" w:rsidP="0030730A">
      <w:pPr>
        <w:pStyle w:val="Heading8"/>
        <w:rPr>
          <w:lang w:val="es-ES"/>
        </w:rPr>
      </w:pPr>
      <w:r w:rsidRPr="005F4AC5">
        <w:rPr>
          <w:lang w:val="es-ES"/>
        </w:rPr>
        <w:t xml:space="preserve">§ 14 </w:t>
      </w:r>
      <w:r w:rsidRPr="005F4AC5">
        <w:rPr>
          <w:i/>
          <w:iCs/>
          <w:lang w:val="es-ES"/>
        </w:rPr>
        <w:t>a)</w:t>
      </w:r>
      <w:r w:rsidRPr="005F4AC5">
        <w:rPr>
          <w:lang w:val="es-ES"/>
        </w:rPr>
        <w:t xml:space="preserve"> </w:t>
      </w:r>
    </w:p>
    <w:p w14:paraId="55FC86D2" w14:textId="77777777" w:rsidR="00F87050" w:rsidRPr="00F87050" w:rsidRDefault="00F87050" w:rsidP="00F87050">
      <w:pPr>
        <w:rPr>
          <w:lang w:val="es-ES"/>
        </w:rPr>
      </w:pPr>
      <w:r w:rsidRPr="00F87050">
        <w:rPr>
          <w:lang w:val="es-ES"/>
        </w:rPr>
        <w:t>Véanse las Reglas de Procedimiento relativas al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anterior.</w:t>
      </w:r>
    </w:p>
    <w:p w14:paraId="3656B9C4" w14:textId="53CD0A9E" w:rsidR="007A181A" w:rsidRPr="00F87050" w:rsidRDefault="00F87050" w:rsidP="00F87050">
      <w:pPr>
        <w:pStyle w:val="Sectiontitle"/>
        <w:rPr>
          <w:lang w:val="es-ES"/>
        </w:rPr>
      </w:pPr>
      <w:r w:rsidRPr="00F87050">
        <w:rPr>
          <w:lang w:val="es-ES"/>
        </w:rPr>
        <w:t>Sección B – Procedimiento de notificación e inscripción en el Registro Internacional de Frecuencias de asignaciones a estaciones terrenas</w:t>
      </w:r>
      <w:r w:rsidRPr="00F87050">
        <w:rPr>
          <w:lang w:val="es-ES"/>
        </w:rPr>
        <w:br/>
        <w:t>en movimiento a bordo de aeronaves y barcos en virtud</w:t>
      </w:r>
      <w:r w:rsidRPr="00F87050">
        <w:rPr>
          <w:lang w:val="es-ES"/>
        </w:rPr>
        <w:br/>
        <w:t>de la presente Resolución</w:t>
      </w:r>
    </w:p>
    <w:p w14:paraId="0155E40D" w14:textId="1C10BDB8" w:rsidR="00C160BD" w:rsidRPr="007A262C" w:rsidRDefault="00C160BD" w:rsidP="0030730A">
      <w:pPr>
        <w:pStyle w:val="Heading8"/>
        <w:rPr>
          <w:rFonts w:asciiTheme="majorBidi" w:hAnsiTheme="majorBidi" w:cstheme="majorBidi"/>
          <w:b w:val="0"/>
          <w:color w:val="000000"/>
          <w:szCs w:val="24"/>
          <w:lang w:val="es-ES"/>
        </w:rPr>
      </w:pPr>
      <w:r w:rsidRPr="007A262C">
        <w:rPr>
          <w:rFonts w:asciiTheme="majorBidi" w:hAnsiTheme="majorBidi" w:cstheme="majorBidi"/>
          <w:color w:val="000000"/>
          <w:szCs w:val="24"/>
          <w:lang w:val="es-ES"/>
        </w:rPr>
        <w:t>§ 6.1</w:t>
      </w:r>
    </w:p>
    <w:p w14:paraId="571A8031" w14:textId="461D0CDA" w:rsidR="00C160BD" w:rsidRPr="00F87050" w:rsidRDefault="00F87050" w:rsidP="005F4AC5">
      <w:pPr>
        <w:rPr>
          <w:rFonts w:asciiTheme="majorBidi" w:hAnsiTheme="majorBidi" w:cstheme="majorBidi"/>
          <w:szCs w:val="24"/>
          <w:lang w:val="es-ES"/>
        </w:rPr>
      </w:pPr>
      <w:r w:rsidRPr="00F87050">
        <w:rPr>
          <w:lang w:val="es-ES"/>
        </w:rPr>
        <w:t>Véanse las Reglas de Procedimiento relativas al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de la Sección A anterior.</w:t>
      </w:r>
    </w:p>
    <w:p w14:paraId="1A8C89E1" w14:textId="77777777" w:rsidR="009B2AF4" w:rsidRPr="00F87050" w:rsidRDefault="009B2AF4" w:rsidP="00390648">
      <w:pPr>
        <w:rPr>
          <w:lang w:val="es-ES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05A4" w14:textId="77777777" w:rsidR="00EE2F0B" w:rsidRDefault="00EE2F0B">
      <w:r>
        <w:separator/>
      </w:r>
    </w:p>
  </w:endnote>
  <w:endnote w:type="continuationSeparator" w:id="0">
    <w:p w14:paraId="26672FC0" w14:textId="77777777" w:rsidR="00EE2F0B" w:rsidRDefault="00EE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629A6" w14:textId="77777777" w:rsidR="00EE2F0B" w:rsidRDefault="00EE2F0B">
      <w:r>
        <w:rPr>
          <w:b/>
        </w:rPr>
        <w:t>_______________</w:t>
      </w:r>
    </w:p>
  </w:footnote>
  <w:footnote w:type="continuationSeparator" w:id="0">
    <w:p w14:paraId="0986B9A7" w14:textId="77777777" w:rsidR="00EE2F0B" w:rsidRDefault="00EE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0730A" w14:paraId="0A407421" w14:textId="77777777" w:rsidTr="0030730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5CEEF8" w14:textId="09929E98" w:rsidR="0030730A" w:rsidRDefault="0030730A" w:rsidP="0030730A">
          <w:pPr>
            <w:pStyle w:val="HeaderRegProc"/>
          </w:pPr>
          <w:r>
            <w:t>Part</w:t>
          </w:r>
          <w:r w:rsidR="00F2625D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489129" w14:textId="1D962957" w:rsidR="0030730A" w:rsidRDefault="0030730A" w:rsidP="0030730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2549A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F5AF67" w14:textId="681DE9D4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F2625D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F2625D">
            <w:rPr>
              <w:lang w:val="fr-FR"/>
            </w:rPr>
            <w:t>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56F6A3" w14:textId="427A7A34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A95CE8">
            <w:t>-</w:t>
          </w:r>
        </w:p>
      </w:tc>
    </w:tr>
  </w:tbl>
  <w:p w14:paraId="690C0240" w14:textId="77777777" w:rsidR="0030730A" w:rsidRDefault="00307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0A4885D7" w:rsidR="00B00715" w:rsidRDefault="00B00715" w:rsidP="00B00715">
          <w:pPr>
            <w:pStyle w:val="HeaderRegProc"/>
          </w:pPr>
          <w:r>
            <w:t>Part</w:t>
          </w:r>
          <w:r w:rsidR="002E510B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71ACC4FF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2549A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06E2C404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2E510B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2E510B">
            <w:rPr>
              <w:lang w:val="fr-FR"/>
            </w:rPr>
            <w:t>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2F80E925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A95CE8">
            <w:t>-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B1472"/>
    <w:rsid w:val="000B6CC5"/>
    <w:rsid w:val="000E2988"/>
    <w:rsid w:val="00114820"/>
    <w:rsid w:val="00146746"/>
    <w:rsid w:val="001B1E4D"/>
    <w:rsid w:val="001C7192"/>
    <w:rsid w:val="00204C1C"/>
    <w:rsid w:val="002E510B"/>
    <w:rsid w:val="002F6FCF"/>
    <w:rsid w:val="0030730A"/>
    <w:rsid w:val="00322597"/>
    <w:rsid w:val="00390648"/>
    <w:rsid w:val="00395F3E"/>
    <w:rsid w:val="003C1437"/>
    <w:rsid w:val="003F79CF"/>
    <w:rsid w:val="00483705"/>
    <w:rsid w:val="004C41FA"/>
    <w:rsid w:val="005775B5"/>
    <w:rsid w:val="005930F7"/>
    <w:rsid w:val="005F1E1A"/>
    <w:rsid w:val="005F4AC5"/>
    <w:rsid w:val="0062549A"/>
    <w:rsid w:val="00636B1E"/>
    <w:rsid w:val="006B40CA"/>
    <w:rsid w:val="006C0C1E"/>
    <w:rsid w:val="006D6906"/>
    <w:rsid w:val="006F26AF"/>
    <w:rsid w:val="00736A1F"/>
    <w:rsid w:val="00737A6C"/>
    <w:rsid w:val="00747EBF"/>
    <w:rsid w:val="007A181A"/>
    <w:rsid w:val="007A262C"/>
    <w:rsid w:val="00803152"/>
    <w:rsid w:val="00824378"/>
    <w:rsid w:val="0089365D"/>
    <w:rsid w:val="008E6ED2"/>
    <w:rsid w:val="009A5418"/>
    <w:rsid w:val="009B2AF4"/>
    <w:rsid w:val="009C4343"/>
    <w:rsid w:val="00A70933"/>
    <w:rsid w:val="00A80474"/>
    <w:rsid w:val="00A95CE8"/>
    <w:rsid w:val="00AD5DE6"/>
    <w:rsid w:val="00B00715"/>
    <w:rsid w:val="00B2732B"/>
    <w:rsid w:val="00B472F8"/>
    <w:rsid w:val="00B514E8"/>
    <w:rsid w:val="00B849D8"/>
    <w:rsid w:val="00BA22BB"/>
    <w:rsid w:val="00C160BD"/>
    <w:rsid w:val="00C20434"/>
    <w:rsid w:val="00C34CA0"/>
    <w:rsid w:val="00C55D4B"/>
    <w:rsid w:val="00CC1BC0"/>
    <w:rsid w:val="00CC74FD"/>
    <w:rsid w:val="00D2060F"/>
    <w:rsid w:val="00D338FD"/>
    <w:rsid w:val="00DD28B6"/>
    <w:rsid w:val="00DE02BD"/>
    <w:rsid w:val="00E052A7"/>
    <w:rsid w:val="00E21A28"/>
    <w:rsid w:val="00E36ED1"/>
    <w:rsid w:val="00E567A5"/>
    <w:rsid w:val="00E70951"/>
    <w:rsid w:val="00EE2F0B"/>
    <w:rsid w:val="00F04B48"/>
    <w:rsid w:val="00F222A8"/>
    <w:rsid w:val="00F2625D"/>
    <w:rsid w:val="00F73346"/>
    <w:rsid w:val="00F8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7A262C"/>
    <w:pPr>
      <w:outlineLvl w:val="0"/>
    </w:pPr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character" w:customStyle="1" w:styleId="enumlev1Char">
    <w:name w:val="enumlev1 Char"/>
    <w:basedOn w:val="DefaultParagraphFont"/>
    <w:link w:val="enumlev1"/>
    <w:rsid w:val="00F87050"/>
    <w:rPr>
      <w:sz w:val="24"/>
      <w:lang w:val="en-GB" w:eastAsia="en-US"/>
    </w:rPr>
  </w:style>
  <w:style w:type="character" w:customStyle="1" w:styleId="NoteChar">
    <w:name w:val="Note Char"/>
    <w:link w:val="Note"/>
    <w:rsid w:val="00F87050"/>
    <w:rPr>
      <w:lang w:val="en-GB" w:eastAsia="en-US"/>
    </w:rPr>
  </w:style>
  <w:style w:type="paragraph" w:customStyle="1" w:styleId="StyleResBefore18pt">
    <w:name w:val="Style Res_# + Before:  18 pt"/>
    <w:basedOn w:val="Res"/>
    <w:rsid w:val="007A262C"/>
    <w:pPr>
      <w:spacing w:before="36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54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2024</vt:lpstr>
    </vt:vector>
  </TitlesOfParts>
  <Manager>CP--107223/DD</Manager>
  <Company>ITU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2024</dc:title>
  <dc:subject/>
  <dc:creator>Composition des Publications</dc:creator>
  <cp:keywords/>
  <dc:description/>
  <cp:lastModifiedBy>Saez Grau, Ricardo</cp:lastModifiedBy>
  <cp:revision>55</cp:revision>
  <cp:lastPrinted>2026-01-29T14:42:00Z</cp:lastPrinted>
  <dcterms:created xsi:type="dcterms:W3CDTF">2012-08-08T06:51:00Z</dcterms:created>
  <dcterms:modified xsi:type="dcterms:W3CDTF">2026-01-29T14:42:00Z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