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2D0DB" w14:textId="3382D8BD" w:rsidR="00E052A7" w:rsidRDefault="00592434" w:rsidP="0089365D">
      <w:pPr>
        <w:pStyle w:val="Heading1"/>
        <w:spacing w:before="300"/>
        <w:ind w:left="0" w:firstLine="0"/>
        <w:jc w:val="center"/>
        <w:rPr>
          <w:lang w:val="es-ES"/>
        </w:rPr>
      </w:pPr>
      <w:r w:rsidRPr="00592434">
        <w:rPr>
          <w:lang w:val="es-ES"/>
        </w:rPr>
        <w:t>Reglas relativas a la</w:t>
      </w:r>
    </w:p>
    <w:p w14:paraId="6D735A6A" w14:textId="6E844F9D" w:rsidR="00E052A7" w:rsidRPr="00592434" w:rsidRDefault="00E052A7">
      <w:pPr>
        <w:pStyle w:val="Heading2"/>
        <w:ind w:left="0" w:firstLine="0"/>
        <w:jc w:val="center"/>
        <w:rPr>
          <w:lang w:val="es-ES"/>
        </w:rPr>
      </w:pPr>
      <w:r w:rsidRPr="00A0467E">
        <w:rPr>
          <w:lang w:val="es-ES"/>
        </w:rPr>
        <w:t>RESOLU</w:t>
      </w:r>
      <w:r w:rsidR="00082866" w:rsidRPr="00A0467E">
        <w:rPr>
          <w:lang w:val="es-ES"/>
        </w:rPr>
        <w:t>CIÓ</w:t>
      </w:r>
      <w:r w:rsidRPr="00A0467E">
        <w:rPr>
          <w:lang w:val="es-ES"/>
        </w:rPr>
        <w:t xml:space="preserve">N  </w:t>
      </w:r>
      <w:r w:rsidR="00395F3E" w:rsidRPr="00A0467E">
        <w:rPr>
          <w:rStyle w:val="href2"/>
          <w:lang w:val="es-ES"/>
        </w:rPr>
        <w:t>32</w:t>
      </w:r>
      <w:r w:rsidRPr="00A0467E">
        <w:rPr>
          <w:lang w:val="es-ES"/>
        </w:rPr>
        <w:t xml:space="preserve"> (</w:t>
      </w:r>
      <w:r w:rsidR="00A2088F">
        <w:rPr>
          <w:lang w:val="es-ES"/>
        </w:rPr>
        <w:t>Rev.</w:t>
      </w:r>
      <w:r w:rsidR="00082866" w:rsidRPr="00A0467E">
        <w:rPr>
          <w:lang w:val="es-ES"/>
        </w:rPr>
        <w:t>CMR</w:t>
      </w:r>
      <w:r w:rsidRPr="00A0467E">
        <w:rPr>
          <w:lang w:val="es-ES"/>
        </w:rPr>
        <w:t>-</w:t>
      </w:r>
      <w:r w:rsidR="00A2088F">
        <w:rPr>
          <w:lang w:val="es-ES"/>
        </w:rPr>
        <w:t>23</w:t>
      </w:r>
      <w:r w:rsidRPr="00A0467E">
        <w:rPr>
          <w:lang w:val="es-ES"/>
        </w:rPr>
        <w:t>)</w:t>
      </w:r>
    </w:p>
    <w:p w14:paraId="7D60942F" w14:textId="3042B389" w:rsidR="00E052A7" w:rsidRPr="00A0467E" w:rsidRDefault="00A0467E" w:rsidP="003F79CF">
      <w:pPr>
        <w:pStyle w:val="Heading1"/>
        <w:ind w:left="0" w:firstLine="0"/>
        <w:jc w:val="center"/>
        <w:rPr>
          <w:lang w:val="es-ES"/>
        </w:rPr>
      </w:pPr>
      <w:r w:rsidRPr="00A0467E">
        <w:rPr>
          <w:lang w:val="es-ES"/>
        </w:rPr>
        <w:t>Procedimientos reglamentarios para las asignaciones de frecuencias a sistemas y redes de satélites no geoestacionarios identificados como</w:t>
      </w:r>
      <w:r w:rsidR="00A2088F">
        <w:rPr>
          <w:lang w:val="es-ES"/>
        </w:rPr>
        <w:t xml:space="preserve"> </w:t>
      </w:r>
      <w:r w:rsidRPr="00A0467E">
        <w:rPr>
          <w:lang w:val="es-ES"/>
        </w:rPr>
        <w:t xml:space="preserve">misiones de corta duración no sujetos a la aplicación </w:t>
      </w:r>
      <w:r w:rsidR="00A2088F">
        <w:rPr>
          <w:lang w:val="es-ES"/>
        </w:rPr>
        <w:br/>
      </w:r>
      <w:r w:rsidRPr="00A0467E">
        <w:rPr>
          <w:lang w:val="es-ES"/>
        </w:rPr>
        <w:t>de la Sección II del Artículo 9</w:t>
      </w:r>
    </w:p>
    <w:p w14:paraId="3A13749B" w14:textId="773BCB33" w:rsidR="00082866" w:rsidRPr="00082866" w:rsidRDefault="00082866" w:rsidP="00082866">
      <w:pPr>
        <w:tabs>
          <w:tab w:val="left" w:pos="3402"/>
        </w:tabs>
        <w:spacing w:line="280" w:lineRule="exact"/>
        <w:rPr>
          <w:szCs w:val="28"/>
          <w:lang w:val="es-ES"/>
        </w:rPr>
      </w:pPr>
      <w:r w:rsidRPr="00082866">
        <w:rPr>
          <w:szCs w:val="28"/>
          <w:lang w:val="es-ES"/>
        </w:rPr>
        <w:t xml:space="preserve">El § 4 del Anexo a la Resolución </w:t>
      </w:r>
      <w:r w:rsidRPr="00082866">
        <w:rPr>
          <w:b/>
          <w:bCs/>
          <w:szCs w:val="28"/>
          <w:lang w:val="es-ES"/>
        </w:rPr>
        <w:t>32 (</w:t>
      </w:r>
      <w:r w:rsidR="00A2088F" w:rsidRPr="00A2088F">
        <w:rPr>
          <w:b/>
          <w:bCs/>
          <w:szCs w:val="28"/>
          <w:lang w:val="es-ES"/>
        </w:rPr>
        <w:t>Rev.CMR-23</w:t>
      </w:r>
      <w:r w:rsidRPr="00082866">
        <w:rPr>
          <w:b/>
          <w:bCs/>
          <w:szCs w:val="28"/>
          <w:lang w:val="es-ES"/>
        </w:rPr>
        <w:t>)</w:t>
      </w:r>
      <w:r w:rsidRPr="00082866">
        <w:rPr>
          <w:szCs w:val="28"/>
          <w:lang w:val="es-ES"/>
        </w:rPr>
        <w:t xml:space="preserve"> indica que la información de notificación relativa a las redes o los sistemas no OSG identificados como misiones de corta duración se comunicarán a la Oficina de Radiocomunicaciones únicamente después del lanzamiento de un satélite en el caso de una red de satélites, o del primer satélite en el caso de un sistema que prevea múltiples lanzamientos, y a más tardar dos meses después de la fecha de puesta en servicio. Esta disposición se aplica en lugar del número </w:t>
      </w:r>
      <w:r w:rsidRPr="00082866">
        <w:rPr>
          <w:b/>
          <w:bCs/>
          <w:szCs w:val="28"/>
          <w:lang w:val="es-ES"/>
        </w:rPr>
        <w:t>11.25</w:t>
      </w:r>
      <w:r w:rsidRPr="00082866">
        <w:rPr>
          <w:szCs w:val="28"/>
          <w:lang w:val="es-ES"/>
        </w:rPr>
        <w:t xml:space="preserve"> para las asignaciones de frecuencias a los sistemas o redes no OSG en misiones de corta duración.</w:t>
      </w:r>
    </w:p>
    <w:p w14:paraId="176D2498" w14:textId="77777777" w:rsidR="00082866" w:rsidRPr="00082866" w:rsidRDefault="00082866" w:rsidP="00082866">
      <w:pPr>
        <w:tabs>
          <w:tab w:val="left" w:pos="3402"/>
        </w:tabs>
        <w:spacing w:line="280" w:lineRule="exact"/>
        <w:rPr>
          <w:szCs w:val="28"/>
          <w:lang w:val="es-ES"/>
        </w:rPr>
      </w:pPr>
      <w:r w:rsidRPr="00082866">
        <w:rPr>
          <w:szCs w:val="28"/>
          <w:lang w:val="es-ES"/>
        </w:rPr>
        <w:t xml:space="preserve">Sin embargo, en el número </w:t>
      </w:r>
      <w:r w:rsidRPr="00082866">
        <w:rPr>
          <w:b/>
          <w:bCs/>
          <w:szCs w:val="28"/>
          <w:lang w:val="es-ES"/>
        </w:rPr>
        <w:t>9.1</w:t>
      </w:r>
      <w:r w:rsidRPr="00082866">
        <w:rPr>
          <w:szCs w:val="28"/>
          <w:lang w:val="es-ES"/>
        </w:rPr>
        <w:t xml:space="preserve"> se exige que la fecha de recepción de la notificación no sea anterior a cuatro meses después de la publicación de la sección especial API.</w:t>
      </w:r>
    </w:p>
    <w:p w14:paraId="51219D3B" w14:textId="77777777" w:rsidR="00082866" w:rsidRPr="00082866" w:rsidRDefault="00082866" w:rsidP="00082866">
      <w:pPr>
        <w:tabs>
          <w:tab w:val="left" w:pos="3402"/>
        </w:tabs>
        <w:spacing w:line="280" w:lineRule="exact"/>
        <w:rPr>
          <w:szCs w:val="28"/>
          <w:lang w:val="es-ES"/>
        </w:rPr>
      </w:pPr>
      <w:r w:rsidRPr="00082866">
        <w:rPr>
          <w:szCs w:val="28"/>
          <w:lang w:val="es-ES"/>
        </w:rPr>
        <w:t>Puede, por tanto, suceder que la información de notificación relativa a las redes o los sistemas no OSG identificados como misiones de corta duración se comuniquen a la Oficina antes de que transcurran dos meses de la puesta en servicio pero antes de que transcurran cuatro meses de la publicación de la sección especial API.</w:t>
      </w:r>
    </w:p>
    <w:p w14:paraId="26B8C38F" w14:textId="0D33563A" w:rsidR="00E36ED1" w:rsidRPr="00A2088F" w:rsidRDefault="00082866" w:rsidP="00082866">
      <w:pPr>
        <w:tabs>
          <w:tab w:val="left" w:pos="3402"/>
        </w:tabs>
        <w:spacing w:line="280" w:lineRule="exact"/>
        <w:rPr>
          <w:szCs w:val="28"/>
          <w:lang w:val="es-ES"/>
        </w:rPr>
      </w:pPr>
      <w:r w:rsidRPr="00082866">
        <w:rPr>
          <w:szCs w:val="28"/>
          <w:lang w:val="es-ES"/>
        </w:rPr>
        <w:t xml:space="preserve">Habida cuenta de que el § 4 del Anexo a la Resolución </w:t>
      </w:r>
      <w:r w:rsidRPr="00082866">
        <w:rPr>
          <w:b/>
          <w:bCs/>
          <w:szCs w:val="28"/>
          <w:lang w:val="es-ES"/>
        </w:rPr>
        <w:t>32 (</w:t>
      </w:r>
      <w:r w:rsidR="00A2088F" w:rsidRPr="00A2088F">
        <w:rPr>
          <w:b/>
          <w:bCs/>
          <w:szCs w:val="28"/>
          <w:lang w:val="es-ES"/>
        </w:rPr>
        <w:t>Rev.CMR-23</w:t>
      </w:r>
      <w:r w:rsidRPr="00082866">
        <w:rPr>
          <w:b/>
          <w:bCs/>
          <w:szCs w:val="28"/>
          <w:lang w:val="es-ES"/>
        </w:rPr>
        <w:t>)</w:t>
      </w:r>
      <w:r w:rsidRPr="00082866">
        <w:rPr>
          <w:szCs w:val="28"/>
          <w:lang w:val="es-ES"/>
        </w:rPr>
        <w:t xml:space="preserve"> atañe al momento en que se ha de comunicar la información de notificación a la Oficina, mientras que el número</w:t>
      </w:r>
      <w:r>
        <w:rPr>
          <w:szCs w:val="28"/>
          <w:lang w:val="es-ES"/>
        </w:rPr>
        <w:t> </w:t>
      </w:r>
      <w:r w:rsidRPr="00082866">
        <w:rPr>
          <w:b/>
          <w:bCs/>
          <w:szCs w:val="28"/>
          <w:lang w:val="es-ES"/>
        </w:rPr>
        <w:t>9.1</w:t>
      </w:r>
      <w:r w:rsidRPr="00082866">
        <w:rPr>
          <w:szCs w:val="28"/>
          <w:lang w:val="es-ES"/>
        </w:rPr>
        <w:t xml:space="preserve"> se refiere al establecimiento de la fecha de recepción formal, la Junta decidió que la Oficina publique estos avisos de notificación con una fecha de recepción de conformidad con el número </w:t>
      </w:r>
      <w:r w:rsidRPr="00082866">
        <w:rPr>
          <w:b/>
          <w:bCs/>
          <w:szCs w:val="28"/>
          <w:lang w:val="es-ES"/>
        </w:rPr>
        <w:t>9.1</w:t>
      </w:r>
      <w:r w:rsidRPr="00082866">
        <w:rPr>
          <w:szCs w:val="28"/>
          <w:lang w:val="es-ES"/>
        </w:rPr>
        <w:t xml:space="preserve">, junto con una nota que indique la fecha en la que esta información se comunicó a la Oficina de Radiocomunicaciones, con objeto de que las Administraciones puedan quedar informadas de la conformidad de dichos avisos con el § 4 del Anexo a la Resolución </w:t>
      </w:r>
      <w:r w:rsidRPr="00082866">
        <w:rPr>
          <w:b/>
          <w:bCs/>
          <w:szCs w:val="28"/>
          <w:lang w:val="es-ES"/>
        </w:rPr>
        <w:t>32 (</w:t>
      </w:r>
      <w:r w:rsidR="00A2088F" w:rsidRPr="00A2088F">
        <w:rPr>
          <w:b/>
          <w:bCs/>
          <w:szCs w:val="28"/>
          <w:lang w:val="es-ES"/>
        </w:rPr>
        <w:t>Rev.CMR-23</w:t>
      </w:r>
      <w:r w:rsidRPr="00082866">
        <w:rPr>
          <w:b/>
          <w:bCs/>
          <w:szCs w:val="28"/>
          <w:lang w:val="es-ES"/>
        </w:rPr>
        <w:t>)</w:t>
      </w:r>
      <w:r w:rsidRPr="00082866">
        <w:rPr>
          <w:szCs w:val="28"/>
          <w:lang w:val="es-ES"/>
        </w:rPr>
        <w:t>.</w:t>
      </w:r>
    </w:p>
    <w:p w14:paraId="3B749283" w14:textId="77777777" w:rsidR="00E052A7" w:rsidRPr="00082866" w:rsidRDefault="00E052A7" w:rsidP="0089365D">
      <w:pPr>
        <w:rPr>
          <w:lang w:val="es-ES"/>
        </w:rPr>
      </w:pPr>
    </w:p>
    <w:p w14:paraId="02257F70" w14:textId="77777777" w:rsidR="00E052A7" w:rsidRDefault="00E052A7">
      <w:pPr>
        <w:jc w:val="center"/>
        <w:rPr>
          <w:color w:val="000000"/>
        </w:rPr>
      </w:pPr>
      <w:r>
        <w:rPr>
          <w:color w:val="000000"/>
        </w:rPr>
        <w:t>____________________</w:t>
      </w:r>
    </w:p>
    <w:p w14:paraId="7396A8FA" w14:textId="77777777" w:rsidR="00E052A7" w:rsidRDefault="00E052A7" w:rsidP="0089365D"/>
    <w:p w14:paraId="445AFBC5" w14:textId="77777777" w:rsidR="00E052A7" w:rsidRDefault="00E052A7" w:rsidP="00E36ED1">
      <w:pPr>
        <w:rPr>
          <w:lang w:val="en-US"/>
        </w:rPr>
      </w:pPr>
    </w:p>
    <w:sectPr w:rsidR="00E052A7" w:rsidSect="0089365D">
      <w:headerReference w:type="first" r:id="rId6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0BCB7" w14:textId="77777777" w:rsidR="000B6CC5" w:rsidRDefault="000B6CC5">
      <w:r>
        <w:separator/>
      </w:r>
    </w:p>
  </w:endnote>
  <w:endnote w:type="continuationSeparator" w:id="0">
    <w:p w14:paraId="49F949AC" w14:textId="77777777" w:rsidR="000B6CC5" w:rsidRDefault="000B6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C3534" w14:textId="77777777" w:rsidR="000B6CC5" w:rsidRDefault="000B6CC5">
      <w:r>
        <w:rPr>
          <w:b/>
        </w:rPr>
        <w:t>_______________</w:t>
      </w:r>
    </w:p>
  </w:footnote>
  <w:footnote w:type="continuationSeparator" w:id="0">
    <w:p w14:paraId="67D6BDE3" w14:textId="77777777" w:rsidR="000B6CC5" w:rsidRDefault="000B6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B00715" w14:paraId="6EA4E789" w14:textId="77777777" w:rsidTr="00E766BD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2BD916C" w14:textId="4A5AD8D3" w:rsidR="00B00715" w:rsidRDefault="00B00715" w:rsidP="00B00715">
          <w:pPr>
            <w:pStyle w:val="HeaderRegProc"/>
          </w:pPr>
          <w:r>
            <w:t>Part</w:t>
          </w:r>
          <w:r w:rsidR="00592434">
            <w:t>e</w:t>
          </w:r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D8094A7" w14:textId="3A0904F4" w:rsidR="00B00715" w:rsidRDefault="00B00715" w:rsidP="00B00715">
          <w:pPr>
            <w:pStyle w:val="HeaderRegProc"/>
            <w:rPr>
              <w:lang w:val="fr-FR"/>
            </w:rPr>
          </w:pPr>
          <w:r>
            <w:t>RES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1870A7">
            <w:rPr>
              <w:noProof/>
            </w:rPr>
            <w:t>32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8D3C241" w14:textId="69508544" w:rsidR="00B00715" w:rsidRDefault="00B00715" w:rsidP="00B00715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</w:t>
          </w:r>
          <w:r w:rsidR="00592434">
            <w:rPr>
              <w:lang w:val="fr-FR"/>
            </w:rPr>
            <w:t>á</w:t>
          </w:r>
          <w:r>
            <w:rPr>
              <w:lang w:val="fr-FR"/>
            </w:rPr>
            <w:t>g</w:t>
          </w:r>
          <w:r w:rsidR="00592434">
            <w:rPr>
              <w:lang w:val="fr-FR"/>
            </w:rPr>
            <w:t>ina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ED00D8E" w14:textId="0CDDCEB9" w:rsidR="00B00715" w:rsidRDefault="00B00715" w:rsidP="00B00715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 xml:space="preserve">. </w:t>
          </w:r>
          <w:r w:rsidR="00A2088F">
            <w:t>-</w:t>
          </w:r>
        </w:p>
      </w:tc>
    </w:tr>
  </w:tbl>
  <w:p w14:paraId="3CE4A68B" w14:textId="77777777" w:rsidR="00E052A7" w:rsidRDefault="00E052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52A7"/>
    <w:rsid w:val="00082866"/>
    <w:rsid w:val="000B1472"/>
    <w:rsid w:val="000B6CC5"/>
    <w:rsid w:val="001870A7"/>
    <w:rsid w:val="001C7192"/>
    <w:rsid w:val="00204C1C"/>
    <w:rsid w:val="00395F3E"/>
    <w:rsid w:val="003F79CF"/>
    <w:rsid w:val="00592434"/>
    <w:rsid w:val="006F26AF"/>
    <w:rsid w:val="00824378"/>
    <w:rsid w:val="0089365D"/>
    <w:rsid w:val="00A0467E"/>
    <w:rsid w:val="00A2088F"/>
    <w:rsid w:val="00B00715"/>
    <w:rsid w:val="00B22AD5"/>
    <w:rsid w:val="00B2732B"/>
    <w:rsid w:val="00B472F8"/>
    <w:rsid w:val="00CC1BC0"/>
    <w:rsid w:val="00E052A7"/>
    <w:rsid w:val="00E36ED1"/>
    <w:rsid w:val="00EB0E47"/>
    <w:rsid w:val="00EB5754"/>
    <w:rsid w:val="00F73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B6DC919"/>
  <w15:docId w15:val="{8CDC531D-625F-434C-8810-B845F92B1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aliases w:val="h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UNDERRUBRIK 1-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32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RES1 du RR</dc:subject>
  <dc:creator>Composition des Publications</dc:creator>
  <cp:keywords>FOLIOS:  1  -  2</cp:keywords>
  <dc:description>Edition 2009: 10.02.09/SdN_x000d_
Corr.:  24.02.2009/DD  (dict. ok)</dc:description>
  <cp:lastModifiedBy>Saez Grau, Ricardo</cp:lastModifiedBy>
  <cp:revision>20</cp:revision>
  <cp:lastPrinted>2025-11-28T16:06:00Z</cp:lastPrinted>
  <dcterms:created xsi:type="dcterms:W3CDTF">2012-08-08T06:51:00Z</dcterms:created>
  <dcterms:modified xsi:type="dcterms:W3CDTF">2025-11-28T16:06:00Z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