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4EB9D0" w14:textId="022DDA4B" w:rsidR="00E45E6B" w:rsidRPr="009F429A" w:rsidRDefault="007F5374" w:rsidP="009F429A">
      <w:pPr>
        <w:pStyle w:val="Heading1"/>
        <w:spacing w:before="300"/>
        <w:ind w:left="0" w:firstLine="0"/>
        <w:jc w:val="center"/>
        <w:rPr>
          <w:lang w:val="es-ES"/>
        </w:rPr>
      </w:pPr>
      <w:r w:rsidRPr="009F429A">
        <w:rPr>
          <w:lang w:val="es-ES"/>
        </w:rPr>
        <w:t>Reglas relativas a la</w:t>
      </w:r>
    </w:p>
    <w:p w14:paraId="6D735A6A" w14:textId="121C464E" w:rsidR="00E052A7" w:rsidRPr="00AB39B1" w:rsidRDefault="00E052A7" w:rsidP="00742CCD">
      <w:pPr>
        <w:pStyle w:val="Heading2"/>
        <w:jc w:val="center"/>
        <w:rPr>
          <w:lang w:val="es-ES"/>
        </w:rPr>
      </w:pPr>
      <w:r w:rsidRPr="00AB39B1">
        <w:rPr>
          <w:lang w:val="es-ES"/>
        </w:rPr>
        <w:t>RESOLU</w:t>
      </w:r>
      <w:r w:rsidR="00AB39B1" w:rsidRPr="00AB39B1">
        <w:rPr>
          <w:lang w:val="es-ES"/>
        </w:rPr>
        <w:t>CIÓN</w:t>
      </w:r>
      <w:r w:rsidRPr="00AB39B1">
        <w:rPr>
          <w:lang w:val="es-ES"/>
        </w:rPr>
        <w:t xml:space="preserve">  </w:t>
      </w:r>
      <w:r w:rsidR="004763F7" w:rsidRPr="00AB39B1">
        <w:rPr>
          <w:rStyle w:val="href2"/>
          <w:lang w:val="es-ES"/>
        </w:rPr>
        <w:t>8</w:t>
      </w:r>
      <w:r w:rsidRPr="00AB39B1">
        <w:rPr>
          <w:lang w:val="es-ES"/>
        </w:rPr>
        <w:t xml:space="preserve"> (C</w:t>
      </w:r>
      <w:r w:rsidR="00AB39B1" w:rsidRPr="00AB39B1">
        <w:rPr>
          <w:lang w:val="es-ES"/>
        </w:rPr>
        <w:t>MR</w:t>
      </w:r>
      <w:r w:rsidRPr="00AB39B1">
        <w:rPr>
          <w:lang w:val="es-ES"/>
        </w:rPr>
        <w:t>-</w:t>
      </w:r>
      <w:r w:rsidR="004763F7" w:rsidRPr="00AB39B1">
        <w:rPr>
          <w:lang w:val="es-ES"/>
        </w:rPr>
        <w:t>23</w:t>
      </w:r>
      <w:r w:rsidRPr="00AB39B1">
        <w:rPr>
          <w:lang w:val="es-ES"/>
        </w:rPr>
        <w:t>)</w:t>
      </w:r>
    </w:p>
    <w:p w14:paraId="7D60942F" w14:textId="4BB0C739" w:rsidR="00E052A7" w:rsidRPr="009F429A" w:rsidRDefault="00AB39B1" w:rsidP="00D103CA">
      <w:pPr>
        <w:pStyle w:val="Restitle"/>
        <w:rPr>
          <w:lang w:val="es-ES"/>
        </w:rPr>
      </w:pPr>
      <w:r w:rsidRPr="009F429A">
        <w:rPr>
          <w:lang w:val="es-ES"/>
        </w:rPr>
        <w:t xml:space="preserve">Tolerancias de determinadas características orbitales de estaciones espaciales desplegadas como parte de un sistema en la órbita de los </w:t>
      </w:r>
      <w:r w:rsidR="00742CCD">
        <w:rPr>
          <w:lang w:val="es-ES"/>
        </w:rPr>
        <w:br/>
      </w:r>
      <w:r w:rsidRPr="009F429A">
        <w:rPr>
          <w:lang w:val="es-ES"/>
        </w:rPr>
        <w:t xml:space="preserve">satélites no geoestacionarios de los servicios fijo por satélite, </w:t>
      </w:r>
      <w:r w:rsidR="00742CCD">
        <w:rPr>
          <w:lang w:val="es-ES"/>
        </w:rPr>
        <w:br/>
      </w:r>
      <w:r w:rsidRPr="009F429A">
        <w:rPr>
          <w:lang w:val="es-ES"/>
        </w:rPr>
        <w:t>radiodifusión por satélite y móvil por satélite</w:t>
      </w:r>
    </w:p>
    <w:p w14:paraId="391ED816" w14:textId="04103E19" w:rsidR="00D307D3" w:rsidRPr="00A805B4" w:rsidRDefault="00D307D3" w:rsidP="00D103CA">
      <w:pPr>
        <w:pStyle w:val="Normalaftertitle0"/>
        <w:jc w:val="both"/>
      </w:pPr>
      <w:r w:rsidRPr="00A805B4">
        <w:t>1</w:t>
      </w:r>
      <w:r w:rsidRPr="00A805B4">
        <w:tab/>
        <w:t>Cuando la modificación de una asignación de frecuencias sujeta a la Sección II del Artículo </w:t>
      </w:r>
      <w:r w:rsidRPr="00864AF4">
        <w:rPr>
          <w:b/>
          <w:bCs/>
        </w:rPr>
        <w:t>9</w:t>
      </w:r>
      <w:r w:rsidRPr="00A805B4">
        <w:t xml:space="preserve"> se presenta en aplicación del </w:t>
      </w:r>
      <w:r>
        <w:rPr>
          <w:i/>
          <w:iCs/>
        </w:rPr>
        <w:t>resuelve </w:t>
      </w:r>
      <w:r w:rsidRPr="00A805B4">
        <w:t xml:space="preserve">9 de la </w:t>
      </w:r>
      <w:r>
        <w:t>Resolución </w:t>
      </w:r>
      <w:r w:rsidRPr="00A805B4">
        <w:rPr>
          <w:b/>
          <w:bCs/>
        </w:rPr>
        <w:t>8 (</w:t>
      </w:r>
      <w:r>
        <w:rPr>
          <w:b/>
          <w:bCs/>
        </w:rPr>
        <w:t>CMR</w:t>
      </w:r>
      <w:r>
        <w:rPr>
          <w:b/>
          <w:bCs/>
        </w:rPr>
        <w:noBreakHyphen/>
      </w:r>
      <w:r w:rsidRPr="00A805B4">
        <w:rPr>
          <w:b/>
          <w:bCs/>
        </w:rPr>
        <w:t>23)</w:t>
      </w:r>
      <w:r w:rsidRPr="00A805B4">
        <w:t>, se examinará con arreglo al número </w:t>
      </w:r>
      <w:r w:rsidRPr="00A805B4">
        <w:rPr>
          <w:b/>
          <w:bCs/>
        </w:rPr>
        <w:t>11.43A</w:t>
      </w:r>
      <w:r w:rsidRPr="00A805B4">
        <w:t xml:space="preserve"> para determinar si los requisitos de coordinación permanecieron inalterados siguiendo el procedimiento indicado en el </w:t>
      </w:r>
      <w:r>
        <w:t>§ </w:t>
      </w:r>
      <w:r w:rsidRPr="00A805B4">
        <w:t>2 de la Regla de Procedimiento relativa al número </w:t>
      </w:r>
      <w:r w:rsidRPr="00A805B4">
        <w:rPr>
          <w:b/>
          <w:bCs/>
        </w:rPr>
        <w:t>11.43A</w:t>
      </w:r>
      <w:r w:rsidRPr="00A805B4">
        <w:t xml:space="preserve">. Si debido a las modificaciones se identifican nuevos requisitos de coordinación para las asignaciones de frecuencia sujetas a la </w:t>
      </w:r>
      <w:r>
        <w:t>Resolución </w:t>
      </w:r>
      <w:r w:rsidRPr="00A805B4">
        <w:rPr>
          <w:b/>
          <w:bCs/>
        </w:rPr>
        <w:t>35 (Rev.</w:t>
      </w:r>
      <w:r>
        <w:rPr>
          <w:b/>
          <w:bCs/>
        </w:rPr>
        <w:t>CMR</w:t>
      </w:r>
      <w:r>
        <w:rPr>
          <w:b/>
          <w:bCs/>
        </w:rPr>
        <w:noBreakHyphen/>
      </w:r>
      <w:r w:rsidRPr="00A805B4">
        <w:rPr>
          <w:b/>
          <w:bCs/>
        </w:rPr>
        <w:t xml:space="preserve">23) </w:t>
      </w:r>
      <w:r w:rsidRPr="00A805B4">
        <w:t xml:space="preserve">y la </w:t>
      </w:r>
      <w:r>
        <w:t>Resolución </w:t>
      </w:r>
      <w:r w:rsidRPr="00A805B4">
        <w:rPr>
          <w:b/>
          <w:bCs/>
        </w:rPr>
        <w:t>8 (</w:t>
      </w:r>
      <w:r>
        <w:rPr>
          <w:b/>
          <w:bCs/>
        </w:rPr>
        <w:t>CMR</w:t>
      </w:r>
      <w:r>
        <w:rPr>
          <w:b/>
          <w:bCs/>
        </w:rPr>
        <w:noBreakHyphen/>
      </w:r>
      <w:r w:rsidRPr="00A805B4">
        <w:rPr>
          <w:b/>
          <w:bCs/>
        </w:rPr>
        <w:t>23)</w:t>
      </w:r>
      <w:r w:rsidR="002E6AD6">
        <w:rPr>
          <w:rStyle w:val="FootnoteReference"/>
        </w:rPr>
        <w:footnoteReference w:customMarkFollows="1" w:id="1"/>
        <w:t>1</w:t>
      </w:r>
      <w:r w:rsidRPr="00A805B4">
        <w:t xml:space="preserve"> y que tienen estaciones espaciales cuyas desviaciones de altitud o inclinación fueron el motivo de las modificaciones, la Junta concluyó que dichas asignaciones de frecuencia recibirán una conclusión desfavorable y se devolverán a la administración notificante.</w:t>
      </w:r>
    </w:p>
    <w:p w14:paraId="4B3E0FD8" w14:textId="6F548567" w:rsidR="007A69D4" w:rsidRPr="00D103CA" w:rsidRDefault="00D307D3" w:rsidP="00D307D3">
      <w:pPr>
        <w:spacing w:before="160" w:line="280" w:lineRule="exact"/>
        <w:rPr>
          <w:rFonts w:asciiTheme="majorBidi" w:hAnsiTheme="majorBidi" w:cstheme="majorBidi"/>
          <w:spacing w:val="-6"/>
          <w:szCs w:val="22"/>
          <w:lang w:val="es-ES"/>
        </w:rPr>
      </w:pPr>
      <w:r w:rsidRPr="00D103CA">
        <w:rPr>
          <w:spacing w:val="-6"/>
          <w:lang w:val="es-ES"/>
        </w:rPr>
        <w:t>2</w:t>
      </w:r>
      <w:r w:rsidRPr="00D103CA">
        <w:rPr>
          <w:spacing w:val="-6"/>
          <w:lang w:val="es-ES"/>
        </w:rPr>
        <w:tab/>
        <w:t xml:space="preserve">Al aplicar el </w:t>
      </w:r>
      <w:r w:rsidRPr="00D103CA">
        <w:rPr>
          <w:i/>
          <w:iCs/>
          <w:spacing w:val="-6"/>
          <w:lang w:val="es-ES"/>
        </w:rPr>
        <w:t>resuelve </w:t>
      </w:r>
      <w:r w:rsidRPr="00D103CA">
        <w:rPr>
          <w:spacing w:val="-6"/>
          <w:lang w:val="es-ES"/>
        </w:rPr>
        <w:t>9 y con el fin de justificar que no se produce un aumento de las interferencias ni el consiguiente incremento de los requisitos de coordinación siguiendo el método previsto en el § 2 de la Regla de Procedimiento relativa al número </w:t>
      </w:r>
      <w:r w:rsidRPr="00D103CA">
        <w:rPr>
          <w:b/>
          <w:bCs/>
          <w:spacing w:val="-6"/>
          <w:lang w:val="es-ES"/>
        </w:rPr>
        <w:t>11.43A</w:t>
      </w:r>
      <w:r w:rsidRPr="00D103CA">
        <w:rPr>
          <w:spacing w:val="-6"/>
          <w:lang w:val="es-ES"/>
        </w:rPr>
        <w:t xml:space="preserve"> y a falta de criterios o métodos de cálculo adecuados, la Junta decidió que la administración notificante podrá presentar justificaciones técnicas basadas en evaluaciones dinámicas de la interferencia en la forma de una función de distribución acumulativa del nivel de interferencia, expresada como relación interferencia/ruido (</w:t>
      </w:r>
      <w:r w:rsidRPr="00D103CA">
        <w:rPr>
          <w:i/>
          <w:iCs/>
          <w:spacing w:val="-6"/>
          <w:lang w:val="es-ES"/>
        </w:rPr>
        <w:t>I/N</w:t>
      </w:r>
      <w:r w:rsidRPr="00D103CA">
        <w:rPr>
          <w:spacing w:val="-6"/>
          <w:lang w:val="es-ES"/>
        </w:rPr>
        <w:t>), para distintas ubicaciones y porcentajes de tiempo diversos, creada en los sistemas en la órbita de satélites no geoestacionarios (no OSG) o redes en la órbita de satélites geoestacionarios (OSG) que se hayan presentado ulteriormente por los sistemas no OSG existentes sobre la base de sus características iniciales y modificadas, respectivamente. La Oficina estudiará minuciosamente las justificaciones técnicas proporcionadas por la administración notificante para formular sus conclusiones con arreglo al número </w:t>
      </w:r>
      <w:r w:rsidRPr="00D103CA">
        <w:rPr>
          <w:b/>
          <w:bCs/>
          <w:spacing w:val="-6"/>
          <w:lang w:val="es-ES"/>
        </w:rPr>
        <w:t>11.43B</w:t>
      </w:r>
      <w:r w:rsidRPr="00D103CA">
        <w:rPr>
          <w:spacing w:val="-6"/>
          <w:lang w:val="es-ES"/>
        </w:rPr>
        <w:t>.</w:t>
      </w:r>
    </w:p>
    <w:p w14:paraId="26F2B666" w14:textId="00CA735A" w:rsidR="007A69D4" w:rsidRPr="00D103CA" w:rsidRDefault="00D103CA" w:rsidP="007A69D4">
      <w:pPr>
        <w:spacing w:before="160" w:line="280" w:lineRule="exact"/>
        <w:rPr>
          <w:rFonts w:asciiTheme="majorBidi" w:hAnsiTheme="majorBidi" w:cstheme="majorBidi"/>
          <w:szCs w:val="22"/>
          <w:lang w:val="es-ES" w:eastAsia="ar-SA"/>
        </w:rPr>
      </w:pPr>
      <w:r w:rsidRPr="00D103CA">
        <w:rPr>
          <w:lang w:val="es-ES"/>
        </w:rPr>
        <w:t>3</w:t>
      </w:r>
      <w:r w:rsidRPr="00D103CA">
        <w:rPr>
          <w:lang w:val="es-ES"/>
        </w:rPr>
        <w:tab/>
        <w:t xml:space="preserve">La Junta observó que el </w:t>
      </w:r>
      <w:r w:rsidRPr="00D103CA">
        <w:rPr>
          <w:i/>
          <w:iCs/>
          <w:lang w:val="es-ES"/>
        </w:rPr>
        <w:t>resuelve </w:t>
      </w:r>
      <w:r w:rsidRPr="00D103CA">
        <w:rPr>
          <w:lang w:val="es-ES"/>
        </w:rPr>
        <w:t>16 de la Resolución </w:t>
      </w:r>
      <w:r w:rsidRPr="00D103CA">
        <w:rPr>
          <w:b/>
          <w:bCs/>
          <w:lang w:val="es-ES"/>
        </w:rPr>
        <w:t>8 (CMR</w:t>
      </w:r>
      <w:r w:rsidRPr="00D103CA">
        <w:rPr>
          <w:b/>
          <w:bCs/>
          <w:lang w:val="es-ES"/>
        </w:rPr>
        <w:noBreakHyphen/>
        <w:t>23)</w:t>
      </w:r>
      <w:r w:rsidRPr="00D103CA">
        <w:rPr>
          <w:lang w:val="es-ES"/>
        </w:rPr>
        <w:t xml:space="preserve"> limita las modificaciones que deben presentarse en virtud de dicho </w:t>
      </w:r>
      <w:r w:rsidRPr="00D103CA">
        <w:rPr>
          <w:i/>
          <w:iCs/>
          <w:lang w:val="es-ES"/>
        </w:rPr>
        <w:t>resuelve</w:t>
      </w:r>
      <w:r w:rsidRPr="00D103CA">
        <w:rPr>
          <w:lang w:val="es-ES"/>
        </w:rPr>
        <w:t xml:space="preserve"> a cualquier subapartado del punto A.4.b.4 del Apéndice </w:t>
      </w:r>
      <w:r w:rsidRPr="00D103CA">
        <w:rPr>
          <w:b/>
          <w:bCs/>
          <w:lang w:val="es-ES"/>
        </w:rPr>
        <w:t>4</w:t>
      </w:r>
      <w:r w:rsidRPr="00D103CA">
        <w:rPr>
          <w:lang w:val="es-ES"/>
        </w:rPr>
        <w:t>, a excepción del punto A.4.b.4.b (es decir, el número de satélites en el plano orbital), y de los puntos A.14, A.4.b.6.a y A.4.b.7. Las modificaciones que impliquen el cambio del punto A.4.b.4.b del Apéndice </w:t>
      </w:r>
      <w:r w:rsidRPr="00D103CA">
        <w:rPr>
          <w:b/>
          <w:bCs/>
          <w:lang w:val="es-ES"/>
        </w:rPr>
        <w:t>4</w:t>
      </w:r>
      <w:r w:rsidRPr="00D103CA">
        <w:rPr>
          <w:lang w:val="es-ES"/>
        </w:rPr>
        <w:t xml:space="preserve"> (es decir, una disminución del número de satélites en el plano orbital) se presentarán con arreglo al </w:t>
      </w:r>
      <w:r w:rsidRPr="00D103CA">
        <w:rPr>
          <w:i/>
          <w:iCs/>
          <w:lang w:val="es-ES"/>
        </w:rPr>
        <w:t>resuelve </w:t>
      </w:r>
      <w:r w:rsidRPr="00D103CA">
        <w:rPr>
          <w:lang w:val="es-ES"/>
        </w:rPr>
        <w:t>11 </w:t>
      </w:r>
      <w:r w:rsidRPr="00D103CA">
        <w:rPr>
          <w:i/>
          <w:iCs/>
          <w:lang w:val="es-ES"/>
        </w:rPr>
        <w:t>c)</w:t>
      </w:r>
      <w:r w:rsidRPr="00D103CA">
        <w:rPr>
          <w:lang w:val="es-ES"/>
        </w:rPr>
        <w:t xml:space="preserve"> de la Resolución </w:t>
      </w:r>
      <w:r w:rsidRPr="00D103CA">
        <w:rPr>
          <w:b/>
          <w:bCs/>
          <w:lang w:val="es-ES"/>
        </w:rPr>
        <w:t>35 (Rev.CMR</w:t>
      </w:r>
      <w:r w:rsidRPr="00D103CA">
        <w:rPr>
          <w:b/>
          <w:bCs/>
          <w:lang w:val="es-ES"/>
        </w:rPr>
        <w:noBreakHyphen/>
        <w:t>23)</w:t>
      </w:r>
      <w:r w:rsidRPr="00D103CA">
        <w:rPr>
          <w:lang w:val="es-ES"/>
        </w:rPr>
        <w:t>.</w:t>
      </w:r>
      <w:r w:rsidR="007A69D4" w:rsidRPr="00D103CA">
        <w:rPr>
          <w:rFonts w:asciiTheme="majorBidi" w:hAnsiTheme="majorBidi" w:cstheme="majorBidi"/>
          <w:szCs w:val="22"/>
          <w:lang w:val="es-ES" w:eastAsia="ar-SA"/>
        </w:rPr>
        <w:t xml:space="preserve"> </w:t>
      </w:r>
    </w:p>
    <w:p w14:paraId="699790FB" w14:textId="77777777" w:rsidR="00B73C1B" w:rsidRPr="00D103CA" w:rsidRDefault="00B73C1B">
      <w:pPr>
        <w:tabs>
          <w:tab w:val="clear" w:pos="1134"/>
          <w:tab w:val="clear" w:pos="1871"/>
          <w:tab w:val="clear" w:pos="2268"/>
        </w:tabs>
        <w:overflowPunct/>
        <w:autoSpaceDE/>
        <w:autoSpaceDN/>
        <w:adjustRightInd/>
        <w:spacing w:before="0"/>
        <w:jc w:val="left"/>
        <w:textAlignment w:val="auto"/>
        <w:rPr>
          <w:rFonts w:asciiTheme="majorBidi" w:hAnsiTheme="majorBidi" w:cstheme="majorBidi"/>
          <w:szCs w:val="22"/>
          <w:lang w:val="es-ES" w:eastAsia="ar-SA"/>
        </w:rPr>
      </w:pPr>
      <w:r w:rsidRPr="00D103CA">
        <w:rPr>
          <w:rFonts w:asciiTheme="majorBidi" w:hAnsiTheme="majorBidi" w:cstheme="majorBidi"/>
          <w:szCs w:val="22"/>
          <w:lang w:val="es-ES" w:eastAsia="ar-SA"/>
        </w:rPr>
        <w:br w:type="page"/>
      </w:r>
    </w:p>
    <w:p w14:paraId="3E4B40A2" w14:textId="41D71D96" w:rsidR="00D103CA" w:rsidRPr="00D103CA" w:rsidRDefault="00D103CA" w:rsidP="00D103CA">
      <w:pPr>
        <w:rPr>
          <w:lang w:val="es-ES"/>
        </w:rPr>
      </w:pPr>
      <w:r w:rsidRPr="00D103CA">
        <w:rPr>
          <w:lang w:val="es-ES"/>
        </w:rPr>
        <w:lastRenderedPageBreak/>
        <w:t xml:space="preserve">Ahora bien, habida cuenta de la condición para obtener una conclusión favorable en virtud del número 11.43B descrita en el </w:t>
      </w:r>
      <w:r w:rsidRPr="00D103CA">
        <w:rPr>
          <w:i/>
          <w:iCs/>
          <w:lang w:val="es-ES"/>
        </w:rPr>
        <w:t>resuelve </w:t>
      </w:r>
      <w:r w:rsidRPr="00D103CA">
        <w:rPr>
          <w:lang w:val="es-ES"/>
        </w:rPr>
        <w:t>14</w:t>
      </w:r>
      <w:r w:rsidRPr="00D103CA">
        <w:rPr>
          <w:i/>
          <w:iCs/>
          <w:lang w:val="es-ES"/>
        </w:rPr>
        <w:t xml:space="preserve"> c) ii)</w:t>
      </w:r>
      <w:r w:rsidRPr="00D103CA">
        <w:rPr>
          <w:lang w:val="es-ES"/>
        </w:rPr>
        <w:t xml:space="preserve"> de la Resolución </w:t>
      </w:r>
      <w:r w:rsidRPr="00D103CA">
        <w:rPr>
          <w:b/>
          <w:bCs/>
          <w:lang w:val="es-ES"/>
        </w:rPr>
        <w:t>35 (Rev.CMR</w:t>
      </w:r>
      <w:r w:rsidRPr="00D103CA">
        <w:rPr>
          <w:b/>
          <w:bCs/>
          <w:lang w:val="es-ES"/>
        </w:rPr>
        <w:noBreakHyphen/>
        <w:t>23)</w:t>
      </w:r>
      <w:r w:rsidR="00742CCD">
        <w:rPr>
          <w:rStyle w:val="FootnoteReference"/>
          <w:lang w:val="es-ES"/>
        </w:rPr>
        <w:footnoteReference w:customMarkFollows="1" w:id="2"/>
        <w:t>2</w:t>
      </w:r>
      <w:r w:rsidRPr="00D103CA">
        <w:rPr>
          <w:lang w:val="es-ES"/>
        </w:rPr>
        <w:t xml:space="preserve">, la Junta decidió que toda modificación presentada en virtud del </w:t>
      </w:r>
      <w:r w:rsidRPr="00D103CA">
        <w:rPr>
          <w:i/>
          <w:iCs/>
          <w:lang w:val="es-ES"/>
        </w:rPr>
        <w:t>resuelve </w:t>
      </w:r>
      <w:r w:rsidRPr="00D103CA">
        <w:rPr>
          <w:lang w:val="es-ES"/>
        </w:rPr>
        <w:t>10 de la Resolución </w:t>
      </w:r>
      <w:r w:rsidRPr="00D103CA">
        <w:rPr>
          <w:b/>
          <w:bCs/>
          <w:lang w:val="es-ES"/>
        </w:rPr>
        <w:t>8 (CMR</w:t>
      </w:r>
      <w:r w:rsidRPr="00D103CA">
        <w:rPr>
          <w:b/>
          <w:bCs/>
          <w:lang w:val="es-ES"/>
        </w:rPr>
        <w:noBreakHyphen/>
        <w:t>23)</w:t>
      </w:r>
      <w:r w:rsidRPr="00D103CA">
        <w:rPr>
          <w:lang w:val="es-ES"/>
        </w:rPr>
        <w:t xml:space="preserve"> que implique un cambio en el punto A.4.b.4.b se considerará que cumple la condición del </w:t>
      </w:r>
      <w:r w:rsidRPr="00D103CA">
        <w:rPr>
          <w:i/>
          <w:iCs/>
          <w:lang w:val="es-ES"/>
        </w:rPr>
        <w:t>resuelve </w:t>
      </w:r>
      <w:r w:rsidRPr="00D103CA">
        <w:rPr>
          <w:lang w:val="es-ES"/>
        </w:rPr>
        <w:t>16 </w:t>
      </w:r>
      <w:r w:rsidRPr="00D103CA">
        <w:rPr>
          <w:i/>
          <w:iCs/>
          <w:lang w:val="es-ES"/>
        </w:rPr>
        <w:t>c) ii)</w:t>
      </w:r>
      <w:r w:rsidRPr="00D103CA">
        <w:rPr>
          <w:lang w:val="es-ES"/>
        </w:rPr>
        <w:t xml:space="preserve">, siempre y cuando la administración notificante indique que la modificación se presenta en aplicación simultánea del </w:t>
      </w:r>
      <w:r w:rsidRPr="00D103CA">
        <w:rPr>
          <w:i/>
          <w:iCs/>
          <w:lang w:val="es-ES"/>
        </w:rPr>
        <w:t>resuelve </w:t>
      </w:r>
      <w:r w:rsidRPr="00D103CA">
        <w:rPr>
          <w:lang w:val="es-ES"/>
        </w:rPr>
        <w:t>11 de la Resolución </w:t>
      </w:r>
      <w:r w:rsidRPr="00D103CA">
        <w:rPr>
          <w:b/>
          <w:bCs/>
          <w:lang w:val="es-ES"/>
        </w:rPr>
        <w:t>35 (Rev.CMR</w:t>
      </w:r>
      <w:r w:rsidRPr="00D103CA">
        <w:rPr>
          <w:b/>
          <w:bCs/>
          <w:lang w:val="es-ES"/>
        </w:rPr>
        <w:noBreakHyphen/>
        <w:t>23)</w:t>
      </w:r>
      <w:r w:rsidRPr="00D103CA">
        <w:rPr>
          <w:lang w:val="es-ES"/>
        </w:rPr>
        <w:t xml:space="preserve"> y del </w:t>
      </w:r>
      <w:r w:rsidRPr="00D103CA">
        <w:rPr>
          <w:i/>
          <w:iCs/>
          <w:lang w:val="es-ES"/>
        </w:rPr>
        <w:t>resuelve</w:t>
      </w:r>
      <w:r w:rsidRPr="00D103CA">
        <w:rPr>
          <w:lang w:val="es-ES"/>
        </w:rPr>
        <w:t xml:space="preserve"> 10 de la </w:t>
      </w:r>
      <w:r w:rsidRPr="00D103CA">
        <w:rPr>
          <w:b/>
          <w:bCs/>
          <w:lang w:val="es-ES"/>
        </w:rPr>
        <w:t>Resolución 8 (CMR</w:t>
      </w:r>
      <w:r w:rsidRPr="00D103CA">
        <w:rPr>
          <w:b/>
          <w:bCs/>
          <w:lang w:val="es-ES"/>
        </w:rPr>
        <w:noBreakHyphen/>
        <w:t>23)</w:t>
      </w:r>
      <w:r w:rsidRPr="00D103CA">
        <w:rPr>
          <w:lang w:val="es-ES"/>
        </w:rPr>
        <w:t xml:space="preserve">. Asimismo, se podrá considerar que dicha modificación cumple la condición del </w:t>
      </w:r>
      <w:r w:rsidRPr="00D103CA">
        <w:rPr>
          <w:i/>
          <w:iCs/>
          <w:lang w:val="es-ES"/>
        </w:rPr>
        <w:t>resuelve </w:t>
      </w:r>
      <w:r w:rsidRPr="00D103CA">
        <w:rPr>
          <w:lang w:val="es-ES"/>
        </w:rPr>
        <w:t>14 c) ii) de la Resolución </w:t>
      </w:r>
      <w:r w:rsidRPr="00D103CA">
        <w:rPr>
          <w:b/>
          <w:bCs/>
          <w:lang w:val="es-ES"/>
        </w:rPr>
        <w:t>35 (Rev.CMR</w:t>
      </w:r>
      <w:r w:rsidRPr="00D103CA">
        <w:rPr>
          <w:b/>
          <w:bCs/>
          <w:lang w:val="es-ES"/>
        </w:rPr>
        <w:noBreakHyphen/>
        <w:t>23)</w:t>
      </w:r>
      <w:r w:rsidRPr="00D103CA">
        <w:rPr>
          <w:lang w:val="es-ES"/>
        </w:rPr>
        <w:t xml:space="preserve"> si implica cambios en cualquier subapartado del punto de datos A.4.b que no figure en el </w:t>
      </w:r>
      <w:r w:rsidRPr="00D103CA">
        <w:rPr>
          <w:i/>
          <w:iCs/>
          <w:lang w:val="es-ES"/>
        </w:rPr>
        <w:t>resuelve </w:t>
      </w:r>
      <w:r w:rsidRPr="00D103CA">
        <w:rPr>
          <w:lang w:val="es-ES"/>
        </w:rPr>
        <w:t>14 c) ii) de la Resolución </w:t>
      </w:r>
      <w:r w:rsidRPr="00D103CA">
        <w:rPr>
          <w:b/>
          <w:bCs/>
          <w:lang w:val="es-ES"/>
        </w:rPr>
        <w:t>35 (Rev.CMR</w:t>
      </w:r>
      <w:r w:rsidRPr="00D103CA">
        <w:rPr>
          <w:b/>
          <w:bCs/>
          <w:lang w:val="es-ES"/>
        </w:rPr>
        <w:noBreakHyphen/>
        <w:t>23)</w:t>
      </w:r>
      <w:r w:rsidRPr="00D103CA">
        <w:rPr>
          <w:lang w:val="es-ES"/>
        </w:rPr>
        <w:t xml:space="preserve"> cuando dicha modificación está relacionada con la aplicación del </w:t>
      </w:r>
      <w:r w:rsidRPr="00D103CA">
        <w:rPr>
          <w:i/>
          <w:iCs/>
          <w:lang w:val="es-ES"/>
        </w:rPr>
        <w:t>resuelve</w:t>
      </w:r>
      <w:r w:rsidRPr="00D103CA">
        <w:rPr>
          <w:lang w:val="es-ES"/>
        </w:rPr>
        <w:t> 10 de la Resolución </w:t>
      </w:r>
      <w:r w:rsidRPr="00D103CA">
        <w:rPr>
          <w:b/>
          <w:bCs/>
          <w:lang w:val="es-ES"/>
        </w:rPr>
        <w:t>8 (CMR</w:t>
      </w:r>
      <w:r w:rsidRPr="00D103CA">
        <w:rPr>
          <w:b/>
          <w:bCs/>
          <w:lang w:val="es-ES"/>
        </w:rPr>
        <w:noBreakHyphen/>
        <w:t>23)</w:t>
      </w:r>
      <w:r w:rsidRPr="00D103CA">
        <w:rPr>
          <w:lang w:val="es-ES"/>
        </w:rPr>
        <w:t>.</w:t>
      </w:r>
    </w:p>
    <w:p w14:paraId="67FB6ABB" w14:textId="77777777" w:rsidR="00D103CA" w:rsidRPr="00D103CA" w:rsidRDefault="00D103CA" w:rsidP="00D103CA">
      <w:pPr>
        <w:rPr>
          <w:lang w:val="es-ES"/>
        </w:rPr>
      </w:pPr>
      <w:r w:rsidRPr="00D103CA">
        <w:rPr>
          <w:lang w:val="es-ES"/>
        </w:rPr>
        <w:t xml:space="preserve">Si debido a modificaciones no se cumple alguna de las condiciones contenidas en los </w:t>
      </w:r>
      <w:r w:rsidRPr="00D103CA">
        <w:rPr>
          <w:i/>
          <w:iCs/>
          <w:lang w:val="es-ES"/>
        </w:rPr>
        <w:t>resuelve </w:t>
      </w:r>
      <w:r w:rsidRPr="00D103CA">
        <w:rPr>
          <w:lang w:val="es-ES"/>
        </w:rPr>
        <w:t>16 </w:t>
      </w:r>
      <w:r w:rsidRPr="00D103CA">
        <w:rPr>
          <w:i/>
          <w:iCs/>
          <w:lang w:val="es-ES"/>
        </w:rPr>
        <w:t>c) i)</w:t>
      </w:r>
      <w:r w:rsidRPr="00D103CA">
        <w:rPr>
          <w:lang w:val="es-ES"/>
        </w:rPr>
        <w:t xml:space="preserve">, 16 </w:t>
      </w:r>
      <w:r w:rsidRPr="00D103CA">
        <w:rPr>
          <w:i/>
          <w:iCs/>
          <w:lang w:val="es-ES"/>
        </w:rPr>
        <w:t>c) ii)</w:t>
      </w:r>
      <w:r w:rsidRPr="00D103CA">
        <w:rPr>
          <w:lang w:val="es-ES"/>
        </w:rPr>
        <w:t xml:space="preserve"> o 16 </w:t>
      </w:r>
      <w:r w:rsidRPr="00D103CA">
        <w:rPr>
          <w:i/>
          <w:iCs/>
          <w:lang w:val="es-ES"/>
        </w:rPr>
        <w:t>c) iii)</w:t>
      </w:r>
      <w:r w:rsidRPr="00D103CA">
        <w:rPr>
          <w:lang w:val="es-ES"/>
        </w:rPr>
        <w:t xml:space="preserve">, salvo cuando la condición del </w:t>
      </w:r>
      <w:r w:rsidRPr="00D103CA">
        <w:rPr>
          <w:i/>
          <w:iCs/>
          <w:lang w:val="es-ES"/>
        </w:rPr>
        <w:t>resuelve </w:t>
      </w:r>
      <w:r w:rsidRPr="00D103CA">
        <w:rPr>
          <w:lang w:val="es-ES"/>
        </w:rPr>
        <w:t xml:space="preserve">16 </w:t>
      </w:r>
      <w:r w:rsidRPr="00D103CA">
        <w:rPr>
          <w:i/>
          <w:iCs/>
          <w:lang w:val="es-ES"/>
        </w:rPr>
        <w:t>c) ii)</w:t>
      </w:r>
      <w:r w:rsidRPr="00D103CA">
        <w:rPr>
          <w:lang w:val="es-ES"/>
        </w:rPr>
        <w:t xml:space="preserve"> no se cumpla debido a que se ha reducido el número de satélites del punto de datos A.4.b.4.b en aplicación simultánea del </w:t>
      </w:r>
      <w:r w:rsidRPr="00D103CA">
        <w:rPr>
          <w:i/>
          <w:iCs/>
          <w:lang w:val="es-ES"/>
        </w:rPr>
        <w:t>resuelve </w:t>
      </w:r>
      <w:r w:rsidRPr="00D103CA">
        <w:rPr>
          <w:lang w:val="es-ES"/>
        </w:rPr>
        <w:t>11 de la Resolución </w:t>
      </w:r>
      <w:r w:rsidRPr="00D103CA">
        <w:rPr>
          <w:b/>
          <w:bCs/>
          <w:lang w:val="es-ES"/>
        </w:rPr>
        <w:t>35 (Rev.CMR</w:t>
      </w:r>
      <w:r w:rsidRPr="00D103CA">
        <w:rPr>
          <w:b/>
          <w:bCs/>
          <w:lang w:val="es-ES"/>
        </w:rPr>
        <w:noBreakHyphen/>
        <w:t>23)</w:t>
      </w:r>
      <w:r w:rsidRPr="00D103CA">
        <w:rPr>
          <w:lang w:val="es-ES"/>
        </w:rPr>
        <w:t xml:space="preserve"> y del </w:t>
      </w:r>
      <w:r w:rsidRPr="00D103CA">
        <w:rPr>
          <w:i/>
          <w:iCs/>
          <w:lang w:val="es-ES"/>
        </w:rPr>
        <w:t>resuelve </w:t>
      </w:r>
      <w:r w:rsidRPr="00D103CA">
        <w:rPr>
          <w:lang w:val="es-ES"/>
        </w:rPr>
        <w:t>10 de la Resolución </w:t>
      </w:r>
      <w:r w:rsidRPr="00D103CA">
        <w:rPr>
          <w:b/>
          <w:bCs/>
          <w:lang w:val="es-ES"/>
        </w:rPr>
        <w:t>8 (CMR</w:t>
      </w:r>
      <w:r w:rsidRPr="00D103CA">
        <w:rPr>
          <w:b/>
          <w:bCs/>
          <w:lang w:val="es-ES"/>
        </w:rPr>
        <w:noBreakHyphen/>
        <w:t>23)</w:t>
      </w:r>
      <w:r w:rsidRPr="00D103CA">
        <w:rPr>
          <w:lang w:val="es-ES"/>
        </w:rPr>
        <w:t>, la Junta decidió además que todas las asignaciones de frecuencia sujetas a la Resolución </w:t>
      </w:r>
      <w:r w:rsidRPr="00D103CA">
        <w:rPr>
          <w:b/>
          <w:bCs/>
          <w:lang w:val="es-ES"/>
        </w:rPr>
        <w:t>35 (Rev.CMR</w:t>
      </w:r>
      <w:r w:rsidRPr="00D103CA">
        <w:rPr>
          <w:b/>
          <w:bCs/>
          <w:lang w:val="es-ES"/>
        </w:rPr>
        <w:noBreakHyphen/>
        <w:t>23)</w:t>
      </w:r>
      <w:r w:rsidRPr="00D103CA">
        <w:rPr>
          <w:lang w:val="es-ES"/>
        </w:rPr>
        <w:t xml:space="preserve"> recibirán una conclusión desfavorable y se devolverán a la administración notificante.</w:t>
      </w:r>
    </w:p>
    <w:p w14:paraId="7CFBAA26" w14:textId="333A66A5" w:rsidR="007A69D4" w:rsidRPr="00D103CA" w:rsidRDefault="00D103CA" w:rsidP="002E6AD6">
      <w:pPr>
        <w:rPr>
          <w:rFonts w:asciiTheme="majorBidi" w:hAnsiTheme="majorBidi" w:cstheme="majorBidi"/>
          <w:color w:val="000000"/>
          <w:szCs w:val="24"/>
          <w:lang w:val="es-ES"/>
        </w:rPr>
      </w:pPr>
      <w:r w:rsidRPr="00D103CA">
        <w:rPr>
          <w:lang w:val="es-ES"/>
        </w:rPr>
        <w:t>4</w:t>
      </w:r>
      <w:r w:rsidRPr="00D103CA">
        <w:rPr>
          <w:lang w:val="es-ES"/>
        </w:rPr>
        <w:tab/>
        <w:t>Se invitará a la administración notificante a aplicar la Sección II del Artículo </w:t>
      </w:r>
      <w:r w:rsidRPr="003B20E3">
        <w:rPr>
          <w:b/>
          <w:bCs/>
          <w:lang w:val="es-ES"/>
        </w:rPr>
        <w:t>9</w:t>
      </w:r>
      <w:r w:rsidRPr="00D103CA">
        <w:rPr>
          <w:lang w:val="es-ES"/>
        </w:rPr>
        <w:t xml:space="preserve"> a todas las asignaciones de frecuencias que reciban conclusiones desfavorables con arreglo a los § 1 y 3 anteriores.</w:t>
      </w:r>
    </w:p>
    <w:p w14:paraId="65C13D44" w14:textId="03CE8385" w:rsidR="00E052A7" w:rsidRPr="00D307D3" w:rsidRDefault="00E052A7" w:rsidP="00555E8E">
      <w:pPr>
        <w:rPr>
          <w:lang w:val="es-ES"/>
        </w:rPr>
      </w:pPr>
    </w:p>
    <w:p w14:paraId="02257F70" w14:textId="77777777" w:rsidR="00E052A7" w:rsidRDefault="00E052A7">
      <w:pPr>
        <w:jc w:val="center"/>
        <w:rPr>
          <w:color w:val="000000"/>
        </w:rPr>
      </w:pPr>
      <w:r>
        <w:rPr>
          <w:color w:val="000000"/>
        </w:rPr>
        <w:t>____________________</w:t>
      </w:r>
    </w:p>
    <w:p w14:paraId="7396A8FA" w14:textId="77777777" w:rsidR="00E052A7" w:rsidRDefault="00E052A7" w:rsidP="0089365D"/>
    <w:p w14:paraId="75DD6EFD" w14:textId="77777777" w:rsidR="00E052A7" w:rsidRDefault="00E052A7" w:rsidP="0089365D">
      <w:pPr>
        <w:rPr>
          <w:lang w:val="en-US"/>
        </w:rPr>
      </w:pPr>
    </w:p>
    <w:p w14:paraId="589F2F9B" w14:textId="77777777" w:rsidR="00742CCD" w:rsidRDefault="00742CCD" w:rsidP="0089365D">
      <w:pPr>
        <w:rPr>
          <w:lang w:val="en-US"/>
        </w:rPr>
      </w:pPr>
    </w:p>
    <w:p w14:paraId="7DA6B08B" w14:textId="77777777" w:rsidR="00742CCD" w:rsidRDefault="00742CCD" w:rsidP="0089365D">
      <w:pPr>
        <w:rPr>
          <w:lang w:val="en-US"/>
        </w:rPr>
      </w:pPr>
    </w:p>
    <w:p w14:paraId="02106BEB" w14:textId="77777777" w:rsidR="00742CCD" w:rsidRDefault="00742CCD" w:rsidP="0089365D">
      <w:pPr>
        <w:rPr>
          <w:lang w:val="en-US"/>
        </w:rPr>
      </w:pPr>
    </w:p>
    <w:p w14:paraId="2B9BD6DA" w14:textId="77777777" w:rsidR="00742CCD" w:rsidRDefault="00742CCD" w:rsidP="0089365D">
      <w:pPr>
        <w:rPr>
          <w:lang w:val="en-US"/>
        </w:rPr>
      </w:pPr>
    </w:p>
    <w:p w14:paraId="4AF7CD88" w14:textId="77777777" w:rsidR="00E052A7" w:rsidRDefault="00E052A7" w:rsidP="0089365D">
      <w:pPr>
        <w:rPr>
          <w:lang w:val="en-US"/>
        </w:rPr>
      </w:pPr>
    </w:p>
    <w:p w14:paraId="1F94AA5B" w14:textId="77777777" w:rsidR="00E052A7" w:rsidRDefault="00E052A7" w:rsidP="0089365D">
      <w:pPr>
        <w:rPr>
          <w:lang w:val="en-US"/>
        </w:rPr>
      </w:pPr>
    </w:p>
    <w:p w14:paraId="255837A2" w14:textId="77777777" w:rsidR="00E052A7" w:rsidRDefault="00E052A7" w:rsidP="0089365D">
      <w:pPr>
        <w:rPr>
          <w:lang w:val="en-US"/>
        </w:rPr>
        <w:sectPr w:rsidR="00E052A7">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14:paraId="445AFBC5" w14:textId="77777777" w:rsidR="00E052A7" w:rsidRDefault="00E052A7" w:rsidP="0089365D">
      <w:pPr>
        <w:rPr>
          <w:lang w:val="en-US"/>
        </w:rPr>
      </w:pPr>
    </w:p>
    <w:sectPr w:rsidR="00E052A7" w:rsidSect="0089365D">
      <w:headerReference w:type="first" r:id="rId9"/>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5A3ACC" w14:textId="77777777" w:rsidR="00F846F1" w:rsidRDefault="00F846F1">
      <w:r>
        <w:separator/>
      </w:r>
    </w:p>
  </w:endnote>
  <w:endnote w:type="continuationSeparator" w:id="0">
    <w:p w14:paraId="42327F97" w14:textId="77777777" w:rsidR="00F846F1" w:rsidRDefault="00F84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676F4" w14:textId="77777777" w:rsidR="00F846F1" w:rsidRDefault="00F846F1">
      <w:r>
        <w:rPr>
          <w:b/>
        </w:rPr>
        <w:t>_______________</w:t>
      </w:r>
    </w:p>
  </w:footnote>
  <w:footnote w:type="continuationSeparator" w:id="0">
    <w:p w14:paraId="16A795FE" w14:textId="77777777" w:rsidR="00F846F1" w:rsidRDefault="00F846F1">
      <w:r>
        <w:continuationSeparator/>
      </w:r>
    </w:p>
  </w:footnote>
  <w:footnote w:id="1">
    <w:p w14:paraId="00742DDE" w14:textId="2177B96B" w:rsidR="002E6AD6" w:rsidRPr="00864AF4" w:rsidRDefault="002E6AD6" w:rsidP="00D307D3">
      <w:pPr>
        <w:pStyle w:val="FootnoteText"/>
        <w:rPr>
          <w:lang w:val="es-ES"/>
        </w:rPr>
      </w:pPr>
      <w:r w:rsidRPr="002E6AD6">
        <w:rPr>
          <w:rStyle w:val="FootnoteReference"/>
          <w:lang w:val="es-ES"/>
        </w:rPr>
        <w:t>1</w:t>
      </w:r>
      <w:r w:rsidRPr="00D307D3">
        <w:rPr>
          <w:lang w:val="es-ES"/>
        </w:rPr>
        <w:tab/>
      </w:r>
      <w:r w:rsidRPr="00742CCD">
        <w:rPr>
          <w:sz w:val="22"/>
          <w:szCs w:val="22"/>
          <w:lang w:val="es-ES"/>
        </w:rPr>
        <w:t xml:space="preserve">Las asignaciones de frecuencias sujetas a la Resolución </w:t>
      </w:r>
      <w:r w:rsidRPr="00742CCD">
        <w:rPr>
          <w:b/>
          <w:bCs/>
          <w:sz w:val="22"/>
          <w:szCs w:val="22"/>
          <w:lang w:val="es-ES"/>
        </w:rPr>
        <w:t>35 (Rev.CMR</w:t>
      </w:r>
      <w:r w:rsidRPr="00742CCD">
        <w:rPr>
          <w:b/>
          <w:bCs/>
          <w:sz w:val="22"/>
          <w:szCs w:val="22"/>
          <w:lang w:val="es-ES"/>
        </w:rPr>
        <w:noBreakHyphen/>
        <w:t>23)</w:t>
      </w:r>
      <w:r w:rsidRPr="00742CCD">
        <w:rPr>
          <w:sz w:val="22"/>
          <w:szCs w:val="22"/>
          <w:lang w:val="es-ES"/>
        </w:rPr>
        <w:t xml:space="preserve"> son las asignaciones de frecuencias de los sistemas no OSG en las bandas de frecuencias y en los servicios enumerados en el cuadro que figura en el </w:t>
      </w:r>
      <w:r w:rsidRPr="00742CCD">
        <w:rPr>
          <w:i/>
          <w:iCs/>
          <w:sz w:val="22"/>
          <w:szCs w:val="22"/>
          <w:lang w:val="es-ES"/>
        </w:rPr>
        <w:t>resuelve</w:t>
      </w:r>
      <w:r w:rsidRPr="00742CCD">
        <w:rPr>
          <w:sz w:val="22"/>
          <w:szCs w:val="22"/>
          <w:lang w:val="es-ES"/>
        </w:rPr>
        <w:t xml:space="preserve"> 1 de la Resolución </w:t>
      </w:r>
      <w:r w:rsidRPr="00742CCD">
        <w:rPr>
          <w:b/>
          <w:bCs/>
          <w:sz w:val="22"/>
          <w:szCs w:val="22"/>
          <w:lang w:val="es-ES"/>
        </w:rPr>
        <w:t>35 (Rev.CMR</w:t>
      </w:r>
      <w:r w:rsidRPr="00742CCD">
        <w:rPr>
          <w:b/>
          <w:bCs/>
          <w:sz w:val="22"/>
          <w:szCs w:val="22"/>
          <w:lang w:val="es-ES"/>
        </w:rPr>
        <w:noBreakHyphen/>
        <w:t>23)</w:t>
      </w:r>
      <w:r w:rsidRPr="00742CCD">
        <w:rPr>
          <w:sz w:val="22"/>
          <w:szCs w:val="22"/>
          <w:lang w:val="es-ES"/>
        </w:rPr>
        <w:t>.</w:t>
      </w:r>
    </w:p>
  </w:footnote>
  <w:footnote w:id="2">
    <w:p w14:paraId="2CFB05FB" w14:textId="7D264FFA" w:rsidR="00742CCD" w:rsidRPr="00742CCD" w:rsidRDefault="00742CCD">
      <w:pPr>
        <w:pStyle w:val="FootnoteText"/>
        <w:rPr>
          <w:lang w:val="es-ES"/>
        </w:rPr>
      </w:pPr>
      <w:r>
        <w:rPr>
          <w:rStyle w:val="FootnoteReference"/>
        </w:rPr>
        <w:t>2</w:t>
      </w:r>
      <w:r>
        <w:tab/>
      </w:r>
      <w:r w:rsidRPr="00742CCD">
        <w:rPr>
          <w:sz w:val="22"/>
          <w:szCs w:val="22"/>
          <w:lang w:val="es-ES"/>
        </w:rPr>
        <w:t>Las modificaciones se limitan a la reducción del número de planos orbitales (punto A.4.b.2 del Apéndice </w:t>
      </w:r>
      <w:r w:rsidRPr="00742CCD">
        <w:rPr>
          <w:b/>
          <w:bCs/>
          <w:sz w:val="22"/>
          <w:szCs w:val="22"/>
          <w:lang w:val="es-ES"/>
        </w:rPr>
        <w:t>4</w:t>
      </w:r>
      <w:r w:rsidRPr="00742CCD">
        <w:rPr>
          <w:sz w:val="22"/>
          <w:szCs w:val="22"/>
          <w:lang w:val="es-ES"/>
        </w:rPr>
        <w:t>) y la modificación de la longitud del nodo ascendente (punto A.4.b.4.j del Apéndice </w:t>
      </w:r>
      <w:r w:rsidRPr="00742CCD">
        <w:rPr>
          <w:b/>
          <w:bCs/>
          <w:sz w:val="22"/>
          <w:szCs w:val="22"/>
          <w:lang w:val="es-ES"/>
        </w:rPr>
        <w:t>4</w:t>
      </w:r>
      <w:r w:rsidRPr="00742CCD">
        <w:rPr>
          <w:sz w:val="22"/>
          <w:szCs w:val="22"/>
          <w:lang w:val="es-ES"/>
        </w:rPr>
        <w:t>) asociadas con los planos orbitales restantes o la reducción del número de estaciones espaciales por plano (punto A.4.b.4.b del Apéndice </w:t>
      </w:r>
      <w:r w:rsidRPr="00742CCD">
        <w:rPr>
          <w:b/>
          <w:bCs/>
          <w:sz w:val="22"/>
          <w:szCs w:val="22"/>
          <w:lang w:val="es-ES"/>
        </w:rPr>
        <w:t>4</w:t>
      </w:r>
      <w:r w:rsidRPr="00742CCD">
        <w:rPr>
          <w:sz w:val="22"/>
          <w:szCs w:val="22"/>
          <w:lang w:val="es-ES"/>
        </w:rPr>
        <w:t>) y la modificación del ángulo de fase inicial de las estaciones espaciales (punto A.4.b.4.h del Apéndice </w:t>
      </w:r>
      <w:r w:rsidRPr="00742CCD">
        <w:rPr>
          <w:b/>
          <w:bCs/>
          <w:sz w:val="22"/>
          <w:szCs w:val="22"/>
          <w:lang w:val="es-ES"/>
        </w:rPr>
        <w:t>4</w:t>
      </w:r>
      <w:r w:rsidRPr="00742CCD">
        <w:rPr>
          <w:sz w:val="22"/>
          <w:szCs w:val="22"/>
          <w:lang w:val="es-ES"/>
        </w:rPr>
        <w:t>) en los planos.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2E6AD6" w14:paraId="5967F823" w14:textId="77777777" w:rsidTr="002E6AD6">
      <w:trPr>
        <w:cantSplit/>
      </w:trPr>
      <w:tc>
        <w:tcPr>
          <w:tcW w:w="1701" w:type="dxa"/>
          <w:tcBorders>
            <w:top w:val="single" w:sz="6" w:space="0" w:color="auto"/>
            <w:left w:val="single" w:sz="6" w:space="0" w:color="auto"/>
            <w:bottom w:val="single" w:sz="6" w:space="0" w:color="auto"/>
            <w:right w:val="single" w:sz="6" w:space="0" w:color="auto"/>
          </w:tcBorders>
        </w:tcPr>
        <w:p w14:paraId="2AF1B60E" w14:textId="77777777" w:rsidR="002E6AD6" w:rsidRDefault="002E6AD6" w:rsidP="002E6AD6">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15E1F355" w14:textId="77777777" w:rsidR="002E6AD6" w:rsidRDefault="002E6AD6" w:rsidP="002E6AD6">
          <w:pPr>
            <w:pStyle w:val="HeaderRegProc"/>
            <w:rPr>
              <w:lang w:val="fr-FR"/>
            </w:rPr>
          </w:pPr>
          <w:r>
            <w:t>RES8</w:t>
          </w:r>
        </w:p>
      </w:tc>
      <w:tc>
        <w:tcPr>
          <w:tcW w:w="1701" w:type="dxa"/>
          <w:tcBorders>
            <w:top w:val="single" w:sz="6" w:space="0" w:color="auto"/>
            <w:left w:val="single" w:sz="6" w:space="0" w:color="auto"/>
            <w:bottom w:val="single" w:sz="6" w:space="0" w:color="auto"/>
            <w:right w:val="single" w:sz="6" w:space="0" w:color="auto"/>
          </w:tcBorders>
        </w:tcPr>
        <w:p w14:paraId="1840B8DB" w14:textId="77777777" w:rsidR="002E6AD6" w:rsidRDefault="002E6AD6" w:rsidP="002E6AD6">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6006D26" w14:textId="51F3421A" w:rsidR="002E6AD6" w:rsidRPr="0049336B" w:rsidRDefault="002E6AD6" w:rsidP="002E6AD6">
          <w:pPr>
            <w:pStyle w:val="HeaderRegProc"/>
            <w:rPr>
              <w:lang w:val="es-ES_tradnl"/>
            </w:rPr>
          </w:pPr>
          <w:proofErr w:type="gramStart"/>
          <w:r>
            <w:rPr>
              <w:lang w:val="fr-CH"/>
            </w:rPr>
            <w:t>rev</w:t>
          </w:r>
          <w:proofErr w:type="gramEnd"/>
          <w:r>
            <w:rPr>
              <w:lang w:val="fr-CH"/>
            </w:rPr>
            <w:t>.</w:t>
          </w:r>
          <w:r>
            <w:rPr>
              <w:lang w:val="es-ES_tradnl"/>
            </w:rPr>
            <w:t xml:space="preserve"> </w:t>
          </w:r>
          <w:r w:rsidR="00742CCD">
            <w:rPr>
              <w:lang w:val="es-ES_tradnl"/>
            </w:rPr>
            <w:t>-</w:t>
          </w:r>
        </w:p>
      </w:tc>
    </w:tr>
  </w:tbl>
  <w:p w14:paraId="2D8DD41C" w14:textId="77777777" w:rsidR="002E6AD6" w:rsidRDefault="002E6A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103CA" w14:paraId="68CE855A" w14:textId="77777777" w:rsidTr="00E53BF0">
      <w:trPr>
        <w:cantSplit/>
        <w:jc w:val="right"/>
      </w:trPr>
      <w:tc>
        <w:tcPr>
          <w:tcW w:w="1701" w:type="dxa"/>
          <w:tcBorders>
            <w:top w:val="single" w:sz="6" w:space="0" w:color="auto"/>
            <w:left w:val="single" w:sz="6" w:space="0" w:color="auto"/>
            <w:bottom w:val="single" w:sz="6" w:space="0" w:color="auto"/>
            <w:right w:val="single" w:sz="6" w:space="0" w:color="auto"/>
          </w:tcBorders>
        </w:tcPr>
        <w:p w14:paraId="49518432" w14:textId="77777777" w:rsidR="00D103CA" w:rsidRDefault="00D103CA" w:rsidP="00D103CA">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57495FDC" w14:textId="1A84A316" w:rsidR="00D103CA" w:rsidRDefault="00D103CA" w:rsidP="00D103CA">
          <w:pPr>
            <w:pStyle w:val="HeaderRegProc"/>
            <w:rPr>
              <w:lang w:val="fr-FR"/>
            </w:rPr>
          </w:pPr>
          <w:r>
            <w:t>RES8</w:t>
          </w:r>
        </w:p>
      </w:tc>
      <w:tc>
        <w:tcPr>
          <w:tcW w:w="1701" w:type="dxa"/>
          <w:tcBorders>
            <w:top w:val="single" w:sz="6" w:space="0" w:color="auto"/>
            <w:left w:val="single" w:sz="6" w:space="0" w:color="auto"/>
            <w:bottom w:val="single" w:sz="6" w:space="0" w:color="auto"/>
            <w:right w:val="single" w:sz="6" w:space="0" w:color="auto"/>
          </w:tcBorders>
        </w:tcPr>
        <w:p w14:paraId="34EF51C4" w14:textId="77777777" w:rsidR="00D103CA" w:rsidRDefault="00D103CA" w:rsidP="00D103CA">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C2093AF" w14:textId="57D0E05F" w:rsidR="00D103CA" w:rsidRPr="0049336B" w:rsidRDefault="00D103CA" w:rsidP="00D103CA">
          <w:pPr>
            <w:pStyle w:val="HeaderRegProc"/>
            <w:rPr>
              <w:lang w:val="es-ES_tradnl"/>
            </w:rPr>
          </w:pPr>
          <w:proofErr w:type="gramStart"/>
          <w:r>
            <w:rPr>
              <w:lang w:val="fr-CH"/>
            </w:rPr>
            <w:t>rev</w:t>
          </w:r>
          <w:proofErr w:type="gramEnd"/>
          <w:r>
            <w:rPr>
              <w:lang w:val="fr-CH"/>
            </w:rPr>
            <w:t>.</w:t>
          </w:r>
          <w:r>
            <w:rPr>
              <w:lang w:val="es-ES_tradnl"/>
            </w:rPr>
            <w:t xml:space="preserve"> </w:t>
          </w:r>
          <w:r w:rsidR="00742CCD">
            <w:rPr>
              <w:lang w:val="es-ES_tradnl"/>
            </w:rPr>
            <w:t>-</w:t>
          </w:r>
        </w:p>
      </w:tc>
    </w:tr>
  </w:tbl>
  <w:p w14:paraId="5D35D9EF" w14:textId="77777777" w:rsidR="00E052A7" w:rsidRDefault="00E05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4A68B" w14:textId="77777777" w:rsidR="00E052A7" w:rsidRDefault="00E052A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228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2A7"/>
    <w:rsid w:val="00054891"/>
    <w:rsid w:val="00107893"/>
    <w:rsid w:val="00170AA4"/>
    <w:rsid w:val="001F2CF3"/>
    <w:rsid w:val="00204C1C"/>
    <w:rsid w:val="00252673"/>
    <w:rsid w:val="002E6AD6"/>
    <w:rsid w:val="002F6FCF"/>
    <w:rsid w:val="00322F1D"/>
    <w:rsid w:val="0034541C"/>
    <w:rsid w:val="003B20E3"/>
    <w:rsid w:val="003C4187"/>
    <w:rsid w:val="00415796"/>
    <w:rsid w:val="004763F7"/>
    <w:rsid w:val="00483705"/>
    <w:rsid w:val="00555E8E"/>
    <w:rsid w:val="00592678"/>
    <w:rsid w:val="005D7E79"/>
    <w:rsid w:val="00605B8C"/>
    <w:rsid w:val="0064029A"/>
    <w:rsid w:val="006F26AF"/>
    <w:rsid w:val="00742CCD"/>
    <w:rsid w:val="0075015D"/>
    <w:rsid w:val="007A69D4"/>
    <w:rsid w:val="007D1381"/>
    <w:rsid w:val="007F06B5"/>
    <w:rsid w:val="007F5374"/>
    <w:rsid w:val="00824378"/>
    <w:rsid w:val="00842E52"/>
    <w:rsid w:val="00854410"/>
    <w:rsid w:val="0089365D"/>
    <w:rsid w:val="0091274D"/>
    <w:rsid w:val="00916230"/>
    <w:rsid w:val="009660A1"/>
    <w:rsid w:val="009F429A"/>
    <w:rsid w:val="00A21DD6"/>
    <w:rsid w:val="00AB39B1"/>
    <w:rsid w:val="00AE4A05"/>
    <w:rsid w:val="00B60B47"/>
    <w:rsid w:val="00B73C1B"/>
    <w:rsid w:val="00C279F5"/>
    <w:rsid w:val="00C55D4B"/>
    <w:rsid w:val="00CC1BC0"/>
    <w:rsid w:val="00D103CA"/>
    <w:rsid w:val="00D307D3"/>
    <w:rsid w:val="00E052A7"/>
    <w:rsid w:val="00E45E6B"/>
    <w:rsid w:val="00E70951"/>
    <w:rsid w:val="00E729C9"/>
    <w:rsid w:val="00ED66E9"/>
    <w:rsid w:val="00F73346"/>
    <w:rsid w:val="00F846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B6DC919"/>
  <w15:docId w15:val="{8CDC531D-625F-434C-8810-B845F92B1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aliases w:val="h1"/>
    <w:basedOn w:val="Normal"/>
    <w:next w:val="Normal"/>
    <w:qFormat/>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link w:val="HeaderChar"/>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Pr>
      <w:position w:val="6"/>
      <w:sz w:val="16"/>
    </w:rPr>
  </w:style>
  <w:style w:type="paragraph" w:styleId="FootnoteText">
    <w:name w:val="footnote tex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Resref0">
    <w:name w:val="Res#_ref"/>
    <w:basedOn w:val="DefaultParagraphFont"/>
  </w:style>
  <w:style w:type="paragraph" w:customStyle="1" w:styleId="Normalaftertitle0">
    <w:name w:val="Normal_after_title"/>
    <w:basedOn w:val="Normal"/>
    <w:next w:val="Normal"/>
    <w:rsid w:val="00D307D3"/>
    <w:pPr>
      <w:tabs>
        <w:tab w:val="clear" w:pos="1134"/>
        <w:tab w:val="clear" w:pos="1871"/>
        <w:tab w:val="clear" w:pos="2268"/>
        <w:tab w:val="left" w:pos="794"/>
        <w:tab w:val="left" w:pos="1191"/>
        <w:tab w:val="left" w:pos="1588"/>
        <w:tab w:val="left" w:pos="1985"/>
      </w:tabs>
      <w:spacing w:before="360"/>
      <w:jc w:val="left"/>
    </w:pPr>
    <w:rPr>
      <w:lang w:val="es-ES_tradnl"/>
    </w:rPr>
  </w:style>
  <w:style w:type="character" w:customStyle="1" w:styleId="FootnoteTextChar">
    <w:name w:val="Footnote Text Char"/>
    <w:basedOn w:val="DefaultParagraphFont"/>
    <w:link w:val="FootnoteText"/>
    <w:rsid w:val="00D307D3"/>
    <w:rPr>
      <w:lang w:val="en-GB" w:eastAsia="en-US"/>
    </w:rPr>
  </w:style>
  <w:style w:type="character" w:customStyle="1" w:styleId="HeaderChar">
    <w:name w:val="Header Char"/>
    <w:aliases w:val="encabezado Char"/>
    <w:basedOn w:val="DefaultParagraphFont"/>
    <w:link w:val="Header"/>
    <w:rsid w:val="00D103CA"/>
    <w:rPr>
      <w:sz w:val="24"/>
      <w:lang w:val="en-GB" w:eastAsia="en-US"/>
    </w:rPr>
  </w:style>
  <w:style w:type="paragraph" w:customStyle="1" w:styleId="StyleResBefore18pt">
    <w:name w:val="Style Res_# + Before:  18 pt"/>
    <w:basedOn w:val="Res"/>
    <w:rsid w:val="00415796"/>
    <w:pPr>
      <w:spacing w:before="360"/>
      <w:outlineLv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8487FB-F22B-4A04-BEAE-49BDB7B10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72</TotalTime>
  <Pages>3</Pages>
  <Words>717</Words>
  <Characters>3885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Règles de procédures / Edition 2021</vt:lpstr>
    </vt:vector>
  </TitlesOfParts>
  <Manager>CP--107223/DD</Manager>
  <Company>ITU</Company>
  <LinksUpToDate>false</LinksUpToDate>
  <CharactersWithSpaces>4593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2024</dc:title>
  <dc:subject/>
  <dc:creator>Composition des Publications</dc:creator>
  <cp:keywords/>
  <dc:description/>
  <cp:lastModifiedBy>Saez Grau, Ricardo</cp:lastModifiedBy>
  <cp:revision>13</cp:revision>
  <cp:lastPrinted>2024-11-28T14:11:00Z</cp:lastPrinted>
  <dcterms:created xsi:type="dcterms:W3CDTF">2024-12-03T08:44:00Z</dcterms:created>
  <dcterms:modified xsi:type="dcterms:W3CDTF">2026-01-29T14:39:00Z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