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42BD5" w14:textId="77777777" w:rsidR="00F77B71" w:rsidRPr="0019414F" w:rsidRDefault="00F77B71" w:rsidP="0019414F">
      <w:pPr>
        <w:pStyle w:val="Heading1"/>
        <w:spacing w:before="300"/>
        <w:ind w:left="0" w:firstLine="0"/>
        <w:jc w:val="center"/>
        <w:rPr>
          <w:lang w:val="es-ES_tradnl"/>
        </w:rPr>
      </w:pPr>
      <w:r w:rsidRPr="0019414F">
        <w:rPr>
          <w:lang w:val="es-ES_tradnl"/>
        </w:rPr>
        <w:t>Reglas relativas a la</w:t>
      </w:r>
    </w:p>
    <w:p w14:paraId="4CA242F3" w14:textId="77777777" w:rsidR="00F77B71" w:rsidRPr="0019414F" w:rsidRDefault="00F77B71">
      <w:pPr>
        <w:pStyle w:val="Heading2"/>
        <w:ind w:left="0" w:firstLine="0"/>
        <w:jc w:val="center"/>
        <w:rPr>
          <w:lang w:val="es-ES_tradnl"/>
        </w:rPr>
      </w:pPr>
      <w:r w:rsidRPr="0019414F">
        <w:rPr>
          <w:lang w:val="es-ES_tradnl"/>
        </w:rPr>
        <w:t xml:space="preserve">RESOLUCIÓN  </w:t>
      </w:r>
      <w:r w:rsidRPr="0019414F">
        <w:rPr>
          <w:rStyle w:val="href2"/>
          <w:lang w:val="es-ES_tradnl"/>
        </w:rPr>
        <w:t>1</w:t>
      </w:r>
      <w:r w:rsidRPr="0019414F">
        <w:rPr>
          <w:lang w:val="es-ES_tradnl"/>
        </w:rPr>
        <w:t xml:space="preserve"> (Rev.CMR-97)</w:t>
      </w:r>
    </w:p>
    <w:p w14:paraId="07EF4371" w14:textId="77777777" w:rsidR="00F77B71" w:rsidRPr="0019414F" w:rsidRDefault="00F77B71">
      <w:pPr>
        <w:pStyle w:val="Heading1"/>
        <w:ind w:left="0" w:firstLine="0"/>
        <w:jc w:val="center"/>
        <w:rPr>
          <w:lang w:val="es-ES_tradnl"/>
        </w:rPr>
      </w:pPr>
      <w:r w:rsidRPr="0019414F">
        <w:rPr>
          <w:lang w:val="es-ES_tradnl"/>
        </w:rPr>
        <w:t>Notificación de asignaciones de frecuencia</w:t>
      </w:r>
    </w:p>
    <w:p w14:paraId="00FAED64" w14:textId="4276FB1B" w:rsidR="00F77B71" w:rsidRPr="0019414F" w:rsidRDefault="00F77B71">
      <w:pPr>
        <w:pStyle w:val="Heading1"/>
        <w:rPr>
          <w:lang w:val="es-ES_tradnl"/>
        </w:rPr>
      </w:pPr>
      <w:r w:rsidRPr="0019414F">
        <w:rPr>
          <w:rStyle w:val="href"/>
          <w:lang w:val="es-ES_tradnl"/>
        </w:rPr>
        <w:t>1</w:t>
      </w:r>
      <w:r w:rsidRPr="0019414F">
        <w:rPr>
          <w:lang w:val="es-ES_tradnl"/>
        </w:rPr>
        <w:tab/>
        <w:t>Servicios terrenales</w:t>
      </w:r>
    </w:p>
    <w:p w14:paraId="3571D6AB" w14:textId="77777777" w:rsidR="00F77B71" w:rsidRPr="0019414F" w:rsidRDefault="00F77B71">
      <w:pPr>
        <w:rPr>
          <w:lang w:val="es-ES_tradnl"/>
        </w:rPr>
      </w:pPr>
      <w:r w:rsidRPr="0019414F">
        <w:rPr>
          <w:lang w:val="es-ES_tradnl"/>
        </w:rPr>
        <w:t>De conformidad con esta Resolución, en cada caso de notificación o de comunicación de información, la Oficina debe:</w:t>
      </w:r>
    </w:p>
    <w:p w14:paraId="6B452095" w14:textId="77777777" w:rsidR="00F77B71" w:rsidRPr="0019414F" w:rsidRDefault="00F77B71">
      <w:pPr>
        <w:pStyle w:val="enumlev1"/>
        <w:rPr>
          <w:lang w:val="es-ES_tradnl"/>
        </w:rPr>
      </w:pPr>
      <w:r w:rsidRPr="0019414F">
        <w:rPr>
          <w:i/>
          <w:lang w:val="es-ES_tradnl"/>
        </w:rPr>
        <w:t>a)</w:t>
      </w:r>
      <w:r w:rsidRPr="0019414F">
        <w:rPr>
          <w:lang w:val="es-ES_tradnl"/>
        </w:rPr>
        <w:tab/>
        <w:t>comprobar que la estación se halla dentro de un territorio que está bajo la jurisdicción de la administración notificante, y</w:t>
      </w:r>
    </w:p>
    <w:p w14:paraId="55FFDDDA" w14:textId="77777777" w:rsidR="00F77B71" w:rsidRPr="0019414F" w:rsidRDefault="00F77B71">
      <w:pPr>
        <w:pStyle w:val="enumlev1"/>
        <w:rPr>
          <w:lang w:val="es-ES_tradnl"/>
        </w:rPr>
      </w:pPr>
      <w:r w:rsidRPr="0019414F">
        <w:rPr>
          <w:i/>
          <w:lang w:val="es-ES_tradnl"/>
        </w:rPr>
        <w:t>b)</w:t>
      </w:r>
      <w:r w:rsidRPr="0019414F">
        <w:rPr>
          <w:lang w:val="es-ES_tradnl"/>
        </w:rPr>
        <w:tab/>
        <w:t>en caso negativo, verificar si se ha comunicado a la Unión un acuerdo especial.</w:t>
      </w:r>
    </w:p>
    <w:p w14:paraId="53EED96C" w14:textId="77777777" w:rsidR="00F77B71" w:rsidRPr="0019414F" w:rsidRDefault="00F77B71">
      <w:pPr>
        <w:rPr>
          <w:lang w:val="es-ES_tradnl"/>
        </w:rPr>
      </w:pPr>
      <w:r w:rsidRPr="0019414F">
        <w:rPr>
          <w:lang w:val="es-ES_tradnl"/>
        </w:rPr>
        <w:t xml:space="preserve">Toda medida en virtud de </w:t>
      </w:r>
      <w:r w:rsidRPr="0019414F">
        <w:rPr>
          <w:i/>
          <w:lang w:val="es-ES_tradnl"/>
        </w:rPr>
        <w:t>a)</w:t>
      </w:r>
      <w:r w:rsidRPr="0019414F">
        <w:rPr>
          <w:lang w:val="es-ES_tradnl"/>
        </w:rPr>
        <w:t xml:space="preserve"> pondría a la Oficina en una situación delicada cuando determine si la administración tiene jurisdicción sobre un territorio preciso. La verificación en virtud de </w:t>
      </w:r>
      <w:r w:rsidRPr="0019414F">
        <w:rPr>
          <w:i/>
          <w:lang w:val="es-ES_tradnl"/>
        </w:rPr>
        <w:t>b)</w:t>
      </w:r>
      <w:r w:rsidRPr="0019414F">
        <w:rPr>
          <w:lang w:val="es-ES_tradnl"/>
        </w:rPr>
        <w:t xml:space="preserve"> puede conducir a situaciones impracticables porque las administraciones pueden ponerse de acuerdo en explotar un sistema determinado sin concertar necesariamente un acuerdo oficial.</w:t>
      </w:r>
    </w:p>
    <w:p w14:paraId="0D17ED4A" w14:textId="65F3AF0D" w:rsidR="00F77B71" w:rsidRPr="0019414F" w:rsidRDefault="00F77B71">
      <w:pPr>
        <w:rPr>
          <w:lang w:val="es-ES_tradnl"/>
        </w:rPr>
      </w:pPr>
      <w:r w:rsidRPr="0019414F">
        <w:rPr>
          <w:lang w:val="es-ES_tradnl"/>
        </w:rPr>
        <w:t>Puesto que no era la intención de los Estados Miembros que la Oficina intervenga en asuntos relacionados con territorios en litigio, la Junta decidió tener en cuenta la Resolución</w:t>
      </w:r>
      <w:r w:rsidR="000D2A05">
        <w:rPr>
          <w:lang w:val="es-ES_tradnl"/>
        </w:rPr>
        <w:t> </w:t>
      </w:r>
      <w:r w:rsidRPr="0019414F">
        <w:rPr>
          <w:rStyle w:val="Resref"/>
          <w:b/>
          <w:bCs/>
          <w:color w:val="000000"/>
          <w:lang w:val="es-ES_tradnl"/>
        </w:rPr>
        <w:t>1 (Rev.CMR-97)</w:t>
      </w:r>
      <w:r w:rsidRPr="0019414F">
        <w:rPr>
          <w:lang w:val="es-ES_tradnl"/>
        </w:rPr>
        <w:t xml:space="preserve"> de la siguiente manera:</w:t>
      </w:r>
    </w:p>
    <w:p w14:paraId="69F6D652" w14:textId="77777777" w:rsidR="00F77B71" w:rsidRPr="0019414F" w:rsidRDefault="00F77B71">
      <w:pPr>
        <w:pStyle w:val="enumlev1"/>
        <w:rPr>
          <w:lang w:val="es-ES_tradnl"/>
        </w:rPr>
      </w:pPr>
      <w:r w:rsidRPr="0019414F">
        <w:rPr>
          <w:lang w:val="es-ES_tradnl"/>
        </w:rPr>
        <w:t>–</w:t>
      </w:r>
      <w:r w:rsidRPr="0019414F">
        <w:rPr>
          <w:lang w:val="es-ES_tradnl"/>
        </w:rPr>
        <w:tab/>
        <w:t>A menos que indique lo contrario una administración que no acepte esta práctica, se dará por supuesto que toda notificación de una asignación de frecuencia a una estación ubicada en el territorio de una administración que no sea la administración notificante. Ha sido objeto de acuerdo entre las dos administraciones interesadas.</w:t>
      </w:r>
    </w:p>
    <w:p w14:paraId="3D88E899" w14:textId="77777777" w:rsidR="00F77B71" w:rsidRPr="0019414F" w:rsidRDefault="00F77B71">
      <w:pPr>
        <w:pStyle w:val="enumlev1"/>
        <w:rPr>
          <w:lang w:val="es-ES_tradnl"/>
        </w:rPr>
      </w:pPr>
      <w:r w:rsidRPr="0019414F">
        <w:rPr>
          <w:lang w:val="es-ES_tradnl"/>
        </w:rPr>
        <w:t>–</w:t>
      </w:r>
      <w:r w:rsidRPr="0019414F">
        <w:rPr>
          <w:lang w:val="es-ES_tradnl"/>
        </w:rPr>
        <w:tab/>
        <w:t>Cuando, después de la publicación de una asignación de frecuencia en la BR IFIC o en sus Secciones especiales, la administración del territorio en que se halla la estación manifiesta oposición, se pide a la administración notificante que comunique todo acuerdo especial concertado con la administración que se haya opuesto.</w:t>
      </w:r>
    </w:p>
    <w:p w14:paraId="48500322" w14:textId="77777777" w:rsidR="00F77B71" w:rsidRPr="0019414F" w:rsidRDefault="00F77B71" w:rsidP="00B44638">
      <w:pPr>
        <w:pStyle w:val="enumlev1"/>
        <w:rPr>
          <w:lang w:val="es-ES_tradnl"/>
        </w:rPr>
      </w:pPr>
      <w:r w:rsidRPr="0019414F">
        <w:rPr>
          <w:lang w:val="es-ES_tradnl"/>
        </w:rPr>
        <w:t>–</w:t>
      </w:r>
      <w:r w:rsidRPr="0019414F">
        <w:rPr>
          <w:lang w:val="es-ES_tradnl"/>
        </w:rPr>
        <w:tab/>
        <w:t>Si, después de recibida una respuesta de la administración notificante, la Oficina opina que la soberanía sobre el territorio de que se trate es objeto de litigio entre las dos admi</w:t>
      </w:r>
      <w:r w:rsidR="00B44638">
        <w:rPr>
          <w:lang w:val="es-ES_tradnl"/>
        </w:rPr>
        <w:softHyphen/>
      </w:r>
      <w:r w:rsidRPr="0019414F">
        <w:rPr>
          <w:lang w:val="es-ES_tradnl"/>
        </w:rPr>
        <w:t>nistraciones y tiene conocimiento de que la estación es efectivamente explotada por la administración notificante, la Oficina inscribirá la asignación con un símbolo que indique la situación. De lo contrario, la notificación se devolverá a la administración notificante.</w:t>
      </w:r>
    </w:p>
    <w:p w14:paraId="4095091E" w14:textId="77777777" w:rsidR="00F77B71" w:rsidRPr="0019414F" w:rsidRDefault="00F77B71">
      <w:pPr>
        <w:pStyle w:val="Heading1"/>
        <w:rPr>
          <w:lang w:val="es-ES_tradnl"/>
        </w:rPr>
      </w:pPr>
      <w:r w:rsidRPr="0019414F">
        <w:rPr>
          <w:lang w:val="es-ES_tradnl"/>
        </w:rPr>
        <w:br w:type="page"/>
      </w:r>
      <w:r w:rsidRPr="0019414F">
        <w:rPr>
          <w:lang w:val="es-ES_tradnl"/>
        </w:rPr>
        <w:lastRenderedPageBreak/>
        <w:t>2</w:t>
      </w:r>
      <w:r w:rsidRPr="0019414F">
        <w:rPr>
          <w:lang w:val="es-ES_tradnl"/>
        </w:rPr>
        <w:tab/>
        <w:t>Servicios espaciales</w:t>
      </w:r>
    </w:p>
    <w:p w14:paraId="308B8E9A" w14:textId="77777777" w:rsidR="00F77B71" w:rsidRPr="0019414F" w:rsidRDefault="00F77B71" w:rsidP="0019414F">
      <w:pPr>
        <w:rPr>
          <w:lang w:val="es-ES_tradnl"/>
        </w:rPr>
      </w:pPr>
      <w:r w:rsidRPr="0019414F">
        <w:rPr>
          <w:lang w:val="es-ES_tradnl"/>
        </w:rPr>
        <w:t>2.1</w:t>
      </w:r>
      <w:r w:rsidRPr="0019414F">
        <w:rPr>
          <w:lang w:val="es-ES_tradnl"/>
        </w:rPr>
        <w:tab/>
        <w:t>La notificación de enlaces internacionales terrenales contiene la indicación de la estación receptora ubicada en el territorio de otra administración, presumiendo que existe un acuerdo sobre el establecimiento del radioenlace. En el caso de las radiocomunicaciones espaciales, la administración que explota la parte transmisión y la administración que utiliza la parte recepción aplicarán por separado los procedimientos de notificación y de inscripción de una asignación de frecuencia determinada previstos en el Artículo</w:t>
      </w:r>
      <w:r w:rsidR="0019414F" w:rsidRPr="0019414F">
        <w:rPr>
          <w:lang w:val="es-ES_tradnl"/>
        </w:rPr>
        <w:t> </w:t>
      </w:r>
      <w:r w:rsidRPr="0019414F">
        <w:rPr>
          <w:rStyle w:val="Artref"/>
          <w:b/>
          <w:bCs/>
          <w:color w:val="000000"/>
          <w:lang w:val="es-ES_tradnl"/>
        </w:rPr>
        <w:t>11</w:t>
      </w:r>
      <w:r w:rsidRPr="0019414F">
        <w:rPr>
          <w:lang w:val="es-ES_tradnl"/>
        </w:rPr>
        <w:t>.</w:t>
      </w:r>
    </w:p>
    <w:p w14:paraId="74EA8774" w14:textId="77777777" w:rsidR="00F77B71" w:rsidRPr="0019414F" w:rsidRDefault="00F77B71">
      <w:pPr>
        <w:rPr>
          <w:lang w:val="es-ES_tradnl"/>
        </w:rPr>
      </w:pPr>
      <w:r w:rsidRPr="0019414F">
        <w:rPr>
          <w:lang w:val="es-ES_tradnl"/>
        </w:rPr>
        <w:t>2.2</w:t>
      </w:r>
      <w:r w:rsidRPr="0019414F">
        <w:rPr>
          <w:lang w:val="es-ES_tradnl"/>
        </w:rPr>
        <w:tab/>
        <w:t>Cuando la Oficina recibe de la Administración A una notificación para una estación espacial transmisora con una zona de servicio que abarca el territorio de la Administración B, da por supuesto que esta última ha manifestado su acuerdo y que la transmisión estará protegida sobre su territorio.</w:t>
      </w:r>
    </w:p>
    <w:p w14:paraId="645B615A" w14:textId="77777777" w:rsidR="00F77B71" w:rsidRPr="0019414F" w:rsidRDefault="00F77B71">
      <w:pPr>
        <w:rPr>
          <w:lang w:val="es-ES_tradnl"/>
        </w:rPr>
      </w:pPr>
      <w:r w:rsidRPr="0019414F">
        <w:rPr>
          <w:lang w:val="es-ES_tradnl"/>
        </w:rPr>
        <w:t>2.3</w:t>
      </w:r>
      <w:r w:rsidRPr="0019414F">
        <w:rPr>
          <w:lang w:val="es-ES_tradnl"/>
        </w:rPr>
        <w:tab/>
        <w:t>De igual modo, cuando una administración notifica una estación terrena transmisora o receptora, la Oficina da por supuesto que la utilización prevista cuenta con el acuerdo de la administración encargada de la estación espacial correspondiente y son aplicables las observaciones del anterior § 1.</w:t>
      </w:r>
    </w:p>
    <w:p w14:paraId="20B2AF69" w14:textId="77777777" w:rsidR="00F77B71" w:rsidRPr="0019414F" w:rsidRDefault="00F77B71" w:rsidP="0019414F">
      <w:pPr>
        <w:spacing w:before="120" w:after="120"/>
        <w:rPr>
          <w:lang w:val="es-ES_tradnl"/>
        </w:rPr>
      </w:pPr>
      <w:r w:rsidRPr="0019414F">
        <w:rPr>
          <w:lang w:val="es-ES_tradnl"/>
        </w:rPr>
        <w:t>2.4</w:t>
      </w:r>
      <w:r w:rsidRPr="0019414F">
        <w:rPr>
          <w:lang w:val="es-ES_tradnl"/>
        </w:rPr>
        <w:tab/>
        <w:t>En cuanto a la petición de exclusión de un territorio de un país de la zona de servicio de una estación espacial, véanse los comentarios de las Reglas de Procedimiento referentes al número</w:t>
      </w:r>
      <w:r w:rsidR="0019414F" w:rsidRPr="0019414F">
        <w:rPr>
          <w:lang w:val="es-ES_tradnl"/>
        </w:rPr>
        <w:t> </w:t>
      </w:r>
      <w:r w:rsidRPr="0019414F">
        <w:rPr>
          <w:rStyle w:val="Artref"/>
          <w:b/>
          <w:bCs/>
          <w:color w:val="000000"/>
          <w:lang w:val="es-ES_tradnl"/>
        </w:rPr>
        <w:t>9.50</w:t>
      </w:r>
      <w:r w:rsidRPr="0019414F">
        <w:rPr>
          <w:lang w:val="es-ES_tradnl"/>
        </w:rPr>
        <w:t>.</w:t>
      </w:r>
    </w:p>
    <w:p w14:paraId="02001056" w14:textId="77777777" w:rsidR="00F77B71" w:rsidRPr="0019414F" w:rsidRDefault="00F77B71">
      <w:pPr>
        <w:pStyle w:val="Heading1"/>
        <w:rPr>
          <w:lang w:val="es-ES_tradnl"/>
        </w:rPr>
      </w:pPr>
      <w:r w:rsidRPr="0019414F">
        <w:rPr>
          <w:lang w:val="es-ES_tradnl"/>
        </w:rPr>
        <w:t>3</w:t>
      </w:r>
      <w:r w:rsidRPr="0019414F">
        <w:rPr>
          <w:lang w:val="es-ES_tradnl"/>
        </w:rPr>
        <w:tab/>
        <w:t>Necesidades para Conferencias de Planificación</w:t>
      </w:r>
    </w:p>
    <w:p w14:paraId="577F67C4" w14:textId="77777777" w:rsidR="00F77B71" w:rsidRPr="0019414F" w:rsidRDefault="00F77B71">
      <w:pPr>
        <w:rPr>
          <w:lang w:val="es-ES_tradnl"/>
        </w:rPr>
      </w:pPr>
      <w:r w:rsidRPr="0019414F">
        <w:rPr>
          <w:lang w:val="es-ES_tradnl"/>
        </w:rPr>
        <w:t>3.1</w:t>
      </w:r>
      <w:r w:rsidRPr="0019414F">
        <w:rPr>
          <w:lang w:val="es-ES_tradnl"/>
        </w:rPr>
        <w:tab/>
        <w:t>Anteriormente, las conferencias de radiocomunicaciones se ocupaban de:</w:t>
      </w:r>
    </w:p>
    <w:p w14:paraId="4DBCB0B5" w14:textId="77777777" w:rsidR="00F77B71" w:rsidRPr="0019414F" w:rsidRDefault="00F77B71" w:rsidP="0019414F">
      <w:pPr>
        <w:pStyle w:val="enumlev1"/>
        <w:rPr>
          <w:lang w:val="es-ES_tradnl"/>
        </w:rPr>
      </w:pPr>
      <w:r w:rsidRPr="0019414F">
        <w:rPr>
          <w:lang w:val="es-ES_tradnl"/>
        </w:rPr>
        <w:t>–</w:t>
      </w:r>
      <w:r w:rsidRPr="0019414F">
        <w:rPr>
          <w:lang w:val="es-ES_tradnl"/>
        </w:rPr>
        <w:tab/>
        <w:t>las necesidades de una administración para estaciones situadas en el territorio bajo la jurisdicción de otra, o</w:t>
      </w:r>
    </w:p>
    <w:p w14:paraId="5AD3ECD0" w14:textId="77777777" w:rsidR="00F77B71" w:rsidRPr="0019414F" w:rsidRDefault="00F77B71">
      <w:pPr>
        <w:pStyle w:val="enumlev1"/>
        <w:rPr>
          <w:lang w:val="es-ES_tradnl"/>
        </w:rPr>
      </w:pPr>
      <w:r w:rsidRPr="0019414F">
        <w:rPr>
          <w:lang w:val="es-ES_tradnl"/>
        </w:rPr>
        <w:t>–</w:t>
      </w:r>
      <w:r w:rsidRPr="0019414F">
        <w:rPr>
          <w:lang w:val="es-ES_tradnl"/>
        </w:rPr>
        <w:tab/>
        <w:t>los puntos de referencia o de prueba de la necesidad de una administración ubicados en el territorio bajo la jurisdicción de otra.</w:t>
      </w:r>
    </w:p>
    <w:p w14:paraId="0F30D855" w14:textId="3D2A4ADC" w:rsidR="00F77B71" w:rsidRPr="0019414F" w:rsidRDefault="00F77B71" w:rsidP="0019414F">
      <w:pPr>
        <w:spacing w:before="80" w:line="240" w:lineRule="atLeast"/>
        <w:rPr>
          <w:color w:val="000000"/>
          <w:lang w:val="es-ES_tradnl"/>
        </w:rPr>
      </w:pPr>
      <w:r w:rsidRPr="0019414F">
        <w:rPr>
          <w:lang w:val="es-ES_tradnl"/>
        </w:rPr>
        <w:t>En aplicación del criterio descrito en los anteriores §</w:t>
      </w:r>
      <w:r w:rsidR="000D2A05">
        <w:rPr>
          <w:lang w:val="es-ES_tradnl"/>
        </w:rPr>
        <w:t> </w:t>
      </w:r>
      <w:r w:rsidRPr="0019414F">
        <w:rPr>
          <w:lang w:val="es-ES_tradnl"/>
        </w:rPr>
        <w:t>1 y 2, se publicaba esta información en documentos preparatorios de conferencias. Después de la publicación, y si se recibieron objeciones de administraciones que se consideraban interesadas, se decidió suprimir el punto de prueba o la necesidad que suscitaba oposición y someter el asunto a la conferencia corres</w:t>
      </w:r>
      <w:r w:rsidR="00B44638">
        <w:rPr>
          <w:lang w:val="es-ES_tradnl"/>
        </w:rPr>
        <w:softHyphen/>
      </w:r>
      <w:r w:rsidRPr="0019414F">
        <w:rPr>
          <w:lang w:val="es-ES_tradnl"/>
        </w:rPr>
        <w:t>pondiente para que ésta decidiese.</w:t>
      </w:r>
    </w:p>
    <w:p w14:paraId="5FE7F684" w14:textId="77777777" w:rsidR="00F77B71" w:rsidRPr="0019414F" w:rsidRDefault="00F77B71" w:rsidP="0019414F">
      <w:pPr>
        <w:rPr>
          <w:lang w:val="es-ES_tradnl"/>
        </w:rPr>
      </w:pPr>
    </w:p>
    <w:p w14:paraId="60E90449" w14:textId="77777777" w:rsidR="00F77B71" w:rsidRPr="0019414F" w:rsidRDefault="00F77B71" w:rsidP="0019414F">
      <w:pPr>
        <w:jc w:val="center"/>
        <w:rPr>
          <w:color w:val="000000"/>
          <w:lang w:val="es-ES_tradnl"/>
        </w:rPr>
      </w:pPr>
      <w:r w:rsidRPr="0019414F">
        <w:rPr>
          <w:color w:val="000000"/>
          <w:lang w:val="es-ES_tradnl"/>
        </w:rPr>
        <w:t>____________________</w:t>
      </w:r>
    </w:p>
    <w:p w14:paraId="665658A8" w14:textId="77777777" w:rsidR="00F77B71" w:rsidRPr="0019414F" w:rsidRDefault="00F77B71" w:rsidP="0019414F">
      <w:pPr>
        <w:rPr>
          <w:lang w:val="es-ES_tradnl"/>
        </w:rPr>
      </w:pPr>
    </w:p>
    <w:p w14:paraId="199413B4" w14:textId="77777777" w:rsidR="00F77B71" w:rsidRPr="0019414F" w:rsidRDefault="00F77B71" w:rsidP="0019414F">
      <w:pPr>
        <w:rPr>
          <w:lang w:val="es-ES_tradnl"/>
        </w:rPr>
      </w:pPr>
    </w:p>
    <w:p w14:paraId="60C49EBB" w14:textId="77777777" w:rsidR="00F77B71" w:rsidRPr="0019414F" w:rsidRDefault="00F77B71" w:rsidP="0019414F">
      <w:pPr>
        <w:rPr>
          <w:lang w:val="es-ES_tradnl"/>
        </w:rPr>
      </w:pPr>
    </w:p>
    <w:p w14:paraId="720A4A91" w14:textId="77777777" w:rsidR="00F77B71" w:rsidRPr="0019414F" w:rsidRDefault="00F77B71" w:rsidP="0019414F">
      <w:pPr>
        <w:rPr>
          <w:lang w:val="es-ES_tradnl"/>
        </w:rPr>
        <w:sectPr w:rsidR="00F77B71" w:rsidRPr="0019414F">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0FDB8654" w14:textId="77777777" w:rsidR="00F77B71" w:rsidRPr="0019414F" w:rsidRDefault="00F77B71" w:rsidP="0019414F">
      <w:pPr>
        <w:rPr>
          <w:lang w:val="es-ES_tradnl"/>
        </w:rPr>
      </w:pPr>
    </w:p>
    <w:sectPr w:rsidR="00F77B71" w:rsidRPr="0019414F">
      <w:headerReference w:type="first" r:id="rId8"/>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144FC" w14:textId="77777777" w:rsidR="009E0F09" w:rsidRDefault="009E0F09">
      <w:r>
        <w:separator/>
      </w:r>
    </w:p>
  </w:endnote>
  <w:endnote w:type="continuationSeparator" w:id="0">
    <w:p w14:paraId="27DA580F" w14:textId="77777777" w:rsidR="009E0F09" w:rsidRDefault="009E0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CFC7C" w14:textId="77777777" w:rsidR="009E0F09" w:rsidRDefault="009E0F09">
      <w:r>
        <w:rPr>
          <w:b/>
        </w:rPr>
        <w:t>_______________</w:t>
      </w:r>
    </w:p>
  </w:footnote>
  <w:footnote w:type="continuationSeparator" w:id="0">
    <w:p w14:paraId="0D4C9AE6" w14:textId="77777777" w:rsidR="009E0F09" w:rsidRDefault="009E0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77B71" w14:paraId="2088FFB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E5E6758" w14:textId="369DED96" w:rsidR="00F77B71" w:rsidRDefault="00F77B71">
          <w:pPr>
            <w:pStyle w:val="HeaderRegProc"/>
          </w:pPr>
          <w:r>
            <w:t>Parte A</w:t>
          </w:r>
          <w:r>
            <w:fldChar w:fldCharType="begin"/>
          </w:r>
          <w:r>
            <w:instrText>styleref href</w:instrText>
          </w:r>
          <w:r>
            <w:fldChar w:fldCharType="separate"/>
          </w:r>
          <w:r w:rsidR="00752790">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6AF8226" w14:textId="01E94CDB" w:rsidR="00F77B71" w:rsidRDefault="00F77B71">
          <w:pPr>
            <w:pStyle w:val="HeaderRegProc"/>
            <w:rPr>
              <w:lang w:val="fr-FR"/>
            </w:rPr>
          </w:pPr>
          <w:r>
            <w:t>RES</w:t>
          </w:r>
          <w:r>
            <w:fldChar w:fldCharType="begin"/>
          </w:r>
          <w:r>
            <w:instrText>styleref href2</w:instrText>
          </w:r>
          <w:r>
            <w:fldChar w:fldCharType="separate"/>
          </w:r>
          <w:r w:rsidR="00752790">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620A3D9" w14:textId="77777777" w:rsidR="00F77B71" w:rsidRDefault="00F77B71">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722955">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D3AB6F1" w14:textId="0C9C5D6D" w:rsidR="00F77B71" w:rsidRDefault="00F77B71">
          <w:pPr>
            <w:pStyle w:val="HeaderRegProc"/>
            <w:rPr>
              <w:lang w:val="fr-CH"/>
            </w:rPr>
          </w:pPr>
          <w:r>
            <w:rPr>
              <w:lang w:val="fr-CH"/>
            </w:rPr>
            <w:t>rev.</w:t>
          </w:r>
          <w:r w:rsidR="000D2A05">
            <w:rPr>
              <w:lang w:val="fr-CH"/>
            </w:rPr>
            <w:t xml:space="preserve"> </w:t>
          </w:r>
          <w:r>
            <w:fldChar w:fldCharType="begin"/>
          </w:r>
          <w:r>
            <w:rPr>
              <w:lang w:val="fr-CH"/>
            </w:rPr>
            <w:instrText xml:space="preserve"> DOCPROPERTY "Header10" \* MERGEFORMAT </w:instrText>
          </w:r>
          <w:r>
            <w:fldChar w:fldCharType="separate"/>
          </w:r>
          <w:r w:rsidR="00752790">
            <w:rPr>
              <w:lang w:val="fr-CH"/>
            </w:rPr>
            <w:t>-</w:t>
          </w:r>
          <w:r>
            <w:fldChar w:fldCharType="end"/>
          </w:r>
        </w:p>
      </w:tc>
    </w:tr>
  </w:tbl>
  <w:p w14:paraId="42C7B460" w14:textId="77777777" w:rsidR="00F77B71" w:rsidRDefault="00F77B71">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77B71" w14:paraId="0A87904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9D63BF5" w14:textId="533E2C75" w:rsidR="00F77B71" w:rsidRDefault="00F77B71">
          <w:pPr>
            <w:pStyle w:val="HeaderRegProc"/>
          </w:pPr>
          <w:r>
            <w:t>Parte A</w:t>
          </w:r>
          <w:r>
            <w:fldChar w:fldCharType="begin"/>
          </w:r>
          <w:r>
            <w:instrText>styleref href</w:instrText>
          </w:r>
          <w:r>
            <w:fldChar w:fldCharType="separate"/>
          </w:r>
          <w:r w:rsidR="00752790">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AC6DFB4" w14:textId="0D277CAE" w:rsidR="00F77B71" w:rsidRDefault="00F77B71">
          <w:pPr>
            <w:pStyle w:val="HeaderRegProc"/>
            <w:rPr>
              <w:lang w:val="fr-FR"/>
            </w:rPr>
          </w:pPr>
          <w:r>
            <w:t>RES</w:t>
          </w:r>
          <w:r>
            <w:fldChar w:fldCharType="begin"/>
          </w:r>
          <w:r>
            <w:instrText>styleref href2</w:instrText>
          </w:r>
          <w:r>
            <w:fldChar w:fldCharType="separate"/>
          </w:r>
          <w:r w:rsidR="00752790">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A80C1A0" w14:textId="77777777" w:rsidR="00F77B71" w:rsidRDefault="00F77B71">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722955">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890EAAC" w14:textId="65AB8BD5" w:rsidR="00F77B71" w:rsidRDefault="00F77B71">
          <w:pPr>
            <w:pStyle w:val="HeaderRegProc"/>
            <w:rPr>
              <w:lang w:val="fr-CH"/>
            </w:rPr>
          </w:pPr>
          <w:r>
            <w:rPr>
              <w:lang w:val="fr-CH"/>
            </w:rPr>
            <w:t>rev.</w:t>
          </w:r>
          <w:r w:rsidR="000D2A05">
            <w:rPr>
              <w:lang w:val="fr-CH"/>
            </w:rPr>
            <w:t xml:space="preserve"> </w:t>
          </w:r>
          <w:r>
            <w:fldChar w:fldCharType="begin"/>
          </w:r>
          <w:r>
            <w:rPr>
              <w:lang w:val="fr-CH"/>
            </w:rPr>
            <w:instrText xml:space="preserve"> DOCPROPERTY "Header10" \* MERGEFORMAT </w:instrText>
          </w:r>
          <w:r>
            <w:fldChar w:fldCharType="separate"/>
          </w:r>
          <w:r w:rsidR="00752790">
            <w:rPr>
              <w:lang w:val="fr-CH"/>
            </w:rPr>
            <w:t>-</w:t>
          </w:r>
          <w:r>
            <w:fldChar w:fldCharType="end"/>
          </w:r>
        </w:p>
      </w:tc>
    </w:tr>
  </w:tbl>
  <w:p w14:paraId="0DB65AFF" w14:textId="77777777" w:rsidR="00F77B71" w:rsidRDefault="00F77B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5BE5C" w14:textId="77777777" w:rsidR="00F77B71" w:rsidRDefault="00F77B7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7B71"/>
    <w:rsid w:val="00017A77"/>
    <w:rsid w:val="00051B21"/>
    <w:rsid w:val="000C7856"/>
    <w:rsid w:val="000D2A05"/>
    <w:rsid w:val="00120F45"/>
    <w:rsid w:val="001904A2"/>
    <w:rsid w:val="0019414F"/>
    <w:rsid w:val="00465070"/>
    <w:rsid w:val="006F26AF"/>
    <w:rsid w:val="00722955"/>
    <w:rsid w:val="00752790"/>
    <w:rsid w:val="009E0F09"/>
    <w:rsid w:val="00B44638"/>
    <w:rsid w:val="00F77B71"/>
    <w:rsid w:val="00FD70A4"/>
    <w:rsid w:val="00FE1C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E650BF"/>
  <w15:docId w15:val="{AB173EF1-3150-445C-AF52-711216B0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6</TotalTime>
  <Pages>3</Pages>
  <Words>642</Words>
  <Characters>3664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 / DD</Manager>
  <Company>ITU</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RES1</dc:subject>
  <dc:creator>Composition des Publications</dc:creator>
  <cp:keywords>FOLIOS:  1  -  2</cp:keywords>
  <dc:description>Edition 2009:   16.02.2009/DD (dict. ok)</dc:description>
  <cp:lastModifiedBy>Saez Grau, Ricardo</cp:lastModifiedBy>
  <cp:revision>11</cp:revision>
  <cp:lastPrinted>2025-11-28T15:59:00Z</cp:lastPrinted>
  <dcterms:created xsi:type="dcterms:W3CDTF">2012-10-03T07:03:00Z</dcterms:created>
  <dcterms:modified xsi:type="dcterms:W3CDTF">2025-11-28T15:59:00Z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