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8D6F6" w14:textId="77777777" w:rsidR="00CD474A" w:rsidRPr="00271246" w:rsidRDefault="00CD474A" w:rsidP="00FC5406">
      <w:pPr>
        <w:pStyle w:val="Heading1"/>
        <w:spacing w:before="300"/>
        <w:jc w:val="center"/>
        <w:rPr>
          <w:lang w:val="es-ES_tradnl"/>
        </w:rPr>
      </w:pPr>
      <w:r w:rsidRPr="00271246">
        <w:rPr>
          <w:lang w:val="es-ES_tradnl"/>
        </w:rPr>
        <w:t>Reglas relativas al</w:t>
      </w:r>
    </w:p>
    <w:p w14:paraId="408B7282" w14:textId="77777777" w:rsidR="00CD474A" w:rsidRPr="00271246" w:rsidRDefault="00CD474A" w:rsidP="00125FE1">
      <w:pPr>
        <w:pStyle w:val="Heading2"/>
        <w:jc w:val="center"/>
        <w:rPr>
          <w:lang w:val="es-ES_tradnl"/>
        </w:rPr>
      </w:pPr>
      <w:r w:rsidRPr="00271246">
        <w:rPr>
          <w:lang w:val="es-ES_tradnl"/>
        </w:rPr>
        <w:t xml:space="preserve">APÉNDICE  </w:t>
      </w:r>
      <w:r w:rsidRPr="00271246">
        <w:rPr>
          <w:rStyle w:val="href2"/>
          <w:lang w:val="es-ES_tradnl"/>
        </w:rPr>
        <w:t>30A</w:t>
      </w:r>
      <w:r w:rsidRPr="00271246">
        <w:rPr>
          <w:lang w:val="es-ES_tradnl"/>
        </w:rPr>
        <w:t xml:space="preserve"> al RR</w:t>
      </w:r>
    </w:p>
    <w:p w14:paraId="40B4C895" w14:textId="77777777" w:rsidR="00CD474A" w:rsidRDefault="00CD474A">
      <w:pPr>
        <w:jc w:val="center"/>
        <w:rPr>
          <w:lang w:val="es-ES_tradnl"/>
        </w:rPr>
      </w:pPr>
      <w:r w:rsidRPr="00271246">
        <w:rPr>
          <w:lang w:val="es-ES_tradnl"/>
        </w:rPr>
        <w:t xml:space="preserve">(Las Reglas están dispuestas por orden de los puntos del Apéndice </w:t>
      </w:r>
      <w:r w:rsidRPr="00271246">
        <w:rPr>
          <w:rStyle w:val="Appref"/>
          <w:b/>
          <w:color w:val="000000"/>
          <w:lang w:val="es-ES_tradnl"/>
        </w:rPr>
        <w:t>30A</w:t>
      </w:r>
      <w:r w:rsidRPr="00271246">
        <w:rPr>
          <w:lang w:val="es-ES_tradnl"/>
        </w:rPr>
        <w:t>)</w:t>
      </w:r>
    </w:p>
    <w:p w14:paraId="727FD06C" w14:textId="77777777" w:rsidR="00EE10AD" w:rsidRDefault="00EE10AD" w:rsidP="00EE10AD">
      <w:pPr>
        <w:rPr>
          <w:lang w:val="es-ES_tradnl"/>
        </w:rPr>
      </w:pPr>
    </w:p>
    <w:p w14:paraId="2C6BA656" w14:textId="3DFAEFAD" w:rsidR="003B2222" w:rsidRPr="001255B1" w:rsidRDefault="003B2222" w:rsidP="00466EEC">
      <w:pPr>
        <w:pStyle w:val="Heading8"/>
        <w:spacing w:before="240"/>
        <w:rPr>
          <w:lang w:val="es-ES_tradnl"/>
        </w:rPr>
      </w:pPr>
      <w:r w:rsidRPr="001255B1">
        <w:rPr>
          <w:lang w:val="es-ES_tradnl"/>
        </w:rPr>
        <w:t>Art. 2A</w:t>
      </w:r>
    </w:p>
    <w:p w14:paraId="6E8C8BDB" w14:textId="77777777" w:rsidR="00995666" w:rsidRDefault="003B2222" w:rsidP="004847D8">
      <w:pPr>
        <w:pStyle w:val="Heading2"/>
        <w:ind w:left="0" w:firstLine="0"/>
        <w:jc w:val="center"/>
        <w:rPr>
          <w:lang w:val="es-ES_tradnl"/>
        </w:rPr>
      </w:pPr>
      <w:r w:rsidRPr="003B2222">
        <w:rPr>
          <w:lang w:val="es-ES_tradnl"/>
        </w:rPr>
        <w:t>Uso de las bandas de guarda</w:t>
      </w:r>
    </w:p>
    <w:p w14:paraId="483BB713" w14:textId="77777777" w:rsidR="00CD474A" w:rsidRPr="00271246" w:rsidRDefault="00CD474A" w:rsidP="009A2458">
      <w:pPr>
        <w:pStyle w:val="Heading8"/>
        <w:spacing w:before="300"/>
        <w:rPr>
          <w:lang w:val="es-ES_tradnl"/>
        </w:rPr>
      </w:pPr>
      <w:r w:rsidRPr="00271246">
        <w:rPr>
          <w:lang w:val="es-ES_tradnl"/>
        </w:rPr>
        <w:t>Art. 4</w:t>
      </w:r>
    </w:p>
    <w:p w14:paraId="35EB298C" w14:textId="5636AC47" w:rsidR="00CD474A" w:rsidRPr="00802F5E" w:rsidRDefault="00CD474A" w:rsidP="00343FF3">
      <w:pPr>
        <w:pStyle w:val="Heading2"/>
        <w:spacing w:before="360"/>
        <w:ind w:left="0" w:firstLine="0"/>
        <w:jc w:val="center"/>
        <w:rPr>
          <w:lang w:val="es-ES_tradnl"/>
        </w:rPr>
      </w:pPr>
      <w:r w:rsidRPr="00271246">
        <w:rPr>
          <w:lang w:val="es-ES_tradnl"/>
        </w:rPr>
        <w:t xml:space="preserve">Procedimientos para las modificaciones del Plan </w:t>
      </w:r>
      <w:r w:rsidR="007C0C9C" w:rsidRPr="00271246">
        <w:rPr>
          <w:lang w:val="es-ES_tradnl"/>
        </w:rPr>
        <w:t xml:space="preserve">para </w:t>
      </w:r>
      <w:r w:rsidRPr="00271246">
        <w:rPr>
          <w:lang w:val="es-ES_tradnl"/>
        </w:rPr>
        <w:t>los enlaces</w:t>
      </w:r>
      <w:r w:rsidR="007C0C9C">
        <w:rPr>
          <w:lang w:val="es-ES_tradnl"/>
        </w:rPr>
        <w:br/>
      </w:r>
      <w:r w:rsidRPr="00271246">
        <w:rPr>
          <w:lang w:val="es-ES_tradnl"/>
        </w:rPr>
        <w:t xml:space="preserve">de conexión en la Región 2 o </w:t>
      </w:r>
      <w:r w:rsidR="007C0C9C" w:rsidRPr="00271246">
        <w:rPr>
          <w:lang w:val="es-ES_tradnl"/>
        </w:rPr>
        <w:t xml:space="preserve">para </w:t>
      </w:r>
      <w:r w:rsidRPr="00271246">
        <w:rPr>
          <w:lang w:val="es-ES_tradnl"/>
        </w:rPr>
        <w:t>los usos</w:t>
      </w:r>
      <w:r w:rsidR="00DF3A07" w:rsidRPr="00271246">
        <w:rPr>
          <w:lang w:val="es-ES_tradnl"/>
        </w:rPr>
        <w:t xml:space="preserve"> </w:t>
      </w:r>
      <w:r w:rsidRPr="00271246">
        <w:rPr>
          <w:lang w:val="es-ES_tradnl"/>
        </w:rPr>
        <w:t>adicionales</w:t>
      </w:r>
      <w:r w:rsidR="007C0C9C">
        <w:rPr>
          <w:lang w:val="es-ES_tradnl"/>
        </w:rPr>
        <w:br/>
      </w:r>
      <w:r w:rsidRPr="00271246">
        <w:rPr>
          <w:lang w:val="es-ES_tradnl"/>
        </w:rPr>
        <w:t xml:space="preserve">en las Regiones </w:t>
      </w:r>
      <w:r w:rsidRPr="00271246">
        <w:rPr>
          <w:rStyle w:val="href"/>
          <w:lang w:val="es-ES_tradnl"/>
        </w:rPr>
        <w:t>1</w:t>
      </w:r>
      <w:r w:rsidRPr="00271246">
        <w:rPr>
          <w:lang w:val="es-ES_tradnl"/>
        </w:rPr>
        <w:t xml:space="preserve"> y 3</w:t>
      </w:r>
      <w:r w:rsidR="009A2458" w:rsidRPr="009A2458">
        <w:rPr>
          <w:b w:val="0"/>
          <w:position w:val="6"/>
          <w:sz w:val="16"/>
        </w:rPr>
        <w:footnoteReference w:customMarkFollows="1" w:id="1"/>
        <w:t>*</w:t>
      </w:r>
    </w:p>
    <w:p w14:paraId="19A5AAF1" w14:textId="77777777" w:rsidR="00CD474A" w:rsidRPr="00271246" w:rsidRDefault="00CD474A" w:rsidP="009A2458">
      <w:pPr>
        <w:pStyle w:val="Heading9"/>
        <w:pBdr>
          <w:right w:val="single" w:sz="6" w:space="6" w:color="auto"/>
        </w:pBdr>
        <w:spacing w:before="240"/>
        <w:jc w:val="left"/>
        <w:rPr>
          <w:lang w:val="es-ES_tradnl"/>
        </w:rPr>
      </w:pPr>
      <w:r w:rsidRPr="00271246">
        <w:rPr>
          <w:lang w:val="es-ES_tradnl"/>
        </w:rPr>
        <w:t xml:space="preserve">4.1.1 </w:t>
      </w:r>
      <w:r w:rsidRPr="00271246">
        <w:rPr>
          <w:i/>
          <w:iCs/>
          <w:lang w:val="es-ES_tradnl"/>
        </w:rPr>
        <w:t>a)</w:t>
      </w:r>
      <w:r w:rsidRPr="00271246">
        <w:rPr>
          <w:i/>
          <w:iCs/>
          <w:lang w:val="es-ES_tradnl"/>
        </w:rPr>
        <w:br/>
      </w:r>
      <w:r w:rsidRPr="00271246">
        <w:rPr>
          <w:lang w:val="es-ES_tradnl"/>
        </w:rPr>
        <w:t>y 4.1.1</w:t>
      </w:r>
      <w:r w:rsidRPr="00271246">
        <w:rPr>
          <w:i/>
          <w:iCs/>
          <w:lang w:val="es-ES_tradnl"/>
        </w:rPr>
        <w:t xml:space="preserve"> b)</w:t>
      </w:r>
    </w:p>
    <w:p w14:paraId="039B932E" w14:textId="0E84C419" w:rsidR="00CD474A" w:rsidRPr="00271246" w:rsidRDefault="00CD474A" w:rsidP="00917FFC">
      <w:pPr>
        <w:spacing w:before="80"/>
        <w:rPr>
          <w:lang w:val="es-ES_tradnl"/>
        </w:rPr>
      </w:pPr>
      <w:r w:rsidRPr="00271246">
        <w:rPr>
          <w:lang w:val="es-ES_tradnl"/>
        </w:rPr>
        <w:t>1</w:t>
      </w:r>
      <w:r w:rsidRPr="00271246">
        <w:rPr>
          <w:lang w:val="es-ES_tradnl"/>
        </w:rPr>
        <w:tab/>
        <w:t>Al determinar las administraciones de las Regiones 1 y 3 que pueden resultar afectadas, la propuesta de asignación nueva o modificada en la Lista se examina con respecto al Plan y la Lista de las Regiones</w:t>
      </w:r>
      <w:r w:rsidR="00FC5406" w:rsidRPr="00271246">
        <w:rPr>
          <w:lang w:val="es-ES_tradnl"/>
        </w:rPr>
        <w:t xml:space="preserve"> </w:t>
      </w:r>
      <w:r w:rsidRPr="00271246">
        <w:rPr>
          <w:lang w:val="es-ES_tradnl"/>
        </w:rPr>
        <w:t>1 y 3 existentes en la fecha de recepción de la propuesta de asignación nueva o modificada en la Lista, incluidas otras propuestas de asignaciones nuevas o modificadas en la Lista recibidas antes de esa fecha (se haya o no completado el proce</w:t>
      </w:r>
      <w:r w:rsidRPr="00271246">
        <w:rPr>
          <w:lang w:val="es-ES_tradnl"/>
        </w:rPr>
        <w:softHyphen/>
        <w:t>dimiento del Artículo</w:t>
      </w:r>
      <w:r w:rsidR="00FC5406" w:rsidRPr="00271246">
        <w:rPr>
          <w:lang w:val="es-ES_tradnl"/>
        </w:rPr>
        <w:t xml:space="preserve"> </w:t>
      </w:r>
      <w:r w:rsidRPr="00271246">
        <w:rPr>
          <w:lang w:val="es-ES_tradnl"/>
        </w:rPr>
        <w:t>4). El examen consiste en cerciorarse de que no se exceden los límites del §</w:t>
      </w:r>
      <w:r w:rsidR="00816FF6" w:rsidRPr="00271246">
        <w:rPr>
          <w:lang w:val="es-ES_tradnl"/>
        </w:rPr>
        <w:t> </w:t>
      </w:r>
      <w:r w:rsidRPr="00271246">
        <w:rPr>
          <w:lang w:val="es-ES_tradnl"/>
        </w:rPr>
        <w:t>4 del Anexo</w:t>
      </w:r>
      <w:r w:rsidR="007C0C9C">
        <w:rPr>
          <w:lang w:val="es-ES_tradnl"/>
        </w:rPr>
        <w:t> </w:t>
      </w:r>
      <w:r w:rsidRPr="00271246">
        <w:rPr>
          <w:lang w:val="es-ES_tradnl"/>
        </w:rPr>
        <w:t>1 al Apéndice</w:t>
      </w:r>
      <w:r w:rsidR="007C0C9C">
        <w:rPr>
          <w:lang w:val="es-ES_tradnl"/>
        </w:rPr>
        <w:t> </w:t>
      </w:r>
      <w:r w:rsidRPr="00271246">
        <w:rPr>
          <w:rStyle w:val="Appref"/>
          <w:b/>
          <w:color w:val="000000"/>
          <w:lang w:val="es-ES_tradnl"/>
        </w:rPr>
        <w:t>30A</w:t>
      </w:r>
      <w:r w:rsidRPr="00271246">
        <w:rPr>
          <w:lang w:val="es-ES_tradnl"/>
        </w:rPr>
        <w:t>. También se tiene en cuenta toda asignación nueva o modificada en la Lista por un periodo limitado de conformidad con el § 4.1.13.</w:t>
      </w:r>
    </w:p>
    <w:p w14:paraId="026A04F6" w14:textId="399FA071" w:rsidR="009A2458" w:rsidRDefault="00CD474A" w:rsidP="00917FFC">
      <w:pPr>
        <w:spacing w:before="80"/>
        <w:rPr>
          <w:lang w:val="es-ES_tradnl"/>
        </w:rPr>
      </w:pPr>
      <w:r w:rsidRPr="00271246">
        <w:rPr>
          <w:lang w:val="es-ES_tradnl"/>
        </w:rPr>
        <w:t>2</w:t>
      </w:r>
      <w:r w:rsidRPr="00271246">
        <w:rPr>
          <w:lang w:val="es-ES_tradnl"/>
        </w:rPr>
        <w:tab/>
        <w:t>Tras la introducción por la Conferencia de 1983 del concepto de agrupación en la Región</w:t>
      </w:r>
      <w:r w:rsidR="00816FF6" w:rsidRPr="00271246">
        <w:rPr>
          <w:lang w:val="es-ES_tradnl"/>
        </w:rPr>
        <w:t> </w:t>
      </w:r>
      <w:r w:rsidRPr="00271246">
        <w:rPr>
          <w:lang w:val="es-ES_tradnl"/>
        </w:rPr>
        <w:t>2 (Artículos 9 y 10 de los Apéndices</w:t>
      </w:r>
      <w:r w:rsidR="0067205D" w:rsidRPr="00271246">
        <w:rPr>
          <w:lang w:val="es-ES_tradnl"/>
        </w:rPr>
        <w:t xml:space="preserve"> </w:t>
      </w:r>
      <w:r w:rsidRPr="00271246">
        <w:rPr>
          <w:rStyle w:val="Appref"/>
          <w:b/>
          <w:color w:val="000000"/>
          <w:lang w:val="es-ES_tradnl"/>
        </w:rPr>
        <w:t>S30A</w:t>
      </w:r>
      <w:r w:rsidRPr="00271246">
        <w:rPr>
          <w:lang w:val="es-ES_tradnl"/>
        </w:rPr>
        <w:t xml:space="preserve"> y </w:t>
      </w:r>
      <w:r w:rsidRPr="00271246">
        <w:rPr>
          <w:rStyle w:val="Appref"/>
          <w:b/>
          <w:color w:val="000000"/>
          <w:lang w:val="es-ES_tradnl"/>
        </w:rPr>
        <w:t>S30</w:t>
      </w:r>
      <w:r w:rsidRPr="00271246">
        <w:rPr>
          <w:lang w:val="es-ES_tradnl"/>
        </w:rPr>
        <w:t xml:space="preserve"> respectivamente) y la decisión de la CAMR Orb-88 de aplicar el concepto de agrupación en el Plan de enlaces de conexión de las Regiones 1 y</w:t>
      </w:r>
      <w:r w:rsidR="00FC5406" w:rsidRPr="00271246">
        <w:rPr>
          <w:lang w:val="es-ES_tradnl"/>
        </w:rPr>
        <w:t xml:space="preserve"> </w:t>
      </w:r>
      <w:r w:rsidRPr="00271246">
        <w:rPr>
          <w:lang w:val="es-ES_tradnl"/>
        </w:rPr>
        <w:t>3 (Artículo 9A del Apéndice</w:t>
      </w:r>
      <w:r w:rsidR="0067205D" w:rsidRPr="00271246">
        <w:rPr>
          <w:lang w:val="es-ES_tradnl"/>
        </w:rPr>
        <w:t xml:space="preserve"> </w:t>
      </w:r>
      <w:r w:rsidRPr="00271246">
        <w:rPr>
          <w:rStyle w:val="Appref"/>
          <w:b/>
          <w:color w:val="000000"/>
          <w:lang w:val="es-ES_tradnl"/>
        </w:rPr>
        <w:t>S30A</w:t>
      </w:r>
      <w:r w:rsidRPr="00271246">
        <w:rPr>
          <w:lang w:val="es-ES_tradnl"/>
        </w:rPr>
        <w:t>), la ex IFRB decidió ampliar este concepto al Plan para el SRS de la Conferencia de 1977. La CMR</w:t>
      </w:r>
      <w:r w:rsidRPr="00271246">
        <w:rPr>
          <w:lang w:val="es-ES_tradnl"/>
        </w:rPr>
        <w:noBreakHyphen/>
        <w:t>2000 admitió esta decisión y decidió incluir la misma definición del concepto de agrupación en los Artículos</w:t>
      </w:r>
      <w:r w:rsidR="00C53076">
        <w:rPr>
          <w:lang w:val="es-ES_tradnl"/>
        </w:rPr>
        <w:t> </w:t>
      </w:r>
      <w:r w:rsidRPr="00271246">
        <w:rPr>
          <w:lang w:val="es-ES_tradnl"/>
        </w:rPr>
        <w:t>11 y</w:t>
      </w:r>
      <w:r w:rsidR="00FC5406" w:rsidRPr="00271246">
        <w:rPr>
          <w:lang w:val="es-ES_tradnl"/>
        </w:rPr>
        <w:t xml:space="preserve"> </w:t>
      </w:r>
      <w:r w:rsidRPr="00271246">
        <w:rPr>
          <w:lang w:val="es-ES_tradnl"/>
        </w:rPr>
        <w:t>9A de los Apéndices </w:t>
      </w:r>
      <w:r w:rsidRPr="00271246">
        <w:rPr>
          <w:rStyle w:val="Appref"/>
          <w:b/>
          <w:color w:val="000000"/>
          <w:lang w:val="es-ES_tradnl"/>
        </w:rPr>
        <w:t>30</w:t>
      </w:r>
      <w:r w:rsidRPr="00271246">
        <w:rPr>
          <w:lang w:val="es-ES_tradnl"/>
        </w:rPr>
        <w:t xml:space="preserve"> y </w:t>
      </w:r>
      <w:r w:rsidRPr="00271246">
        <w:rPr>
          <w:rStyle w:val="Appref"/>
          <w:b/>
          <w:color w:val="000000"/>
          <w:lang w:val="es-ES_tradnl"/>
        </w:rPr>
        <w:t>30A</w:t>
      </w:r>
      <w:r w:rsidRPr="00271246">
        <w:rPr>
          <w:lang w:val="es-ES_tradnl"/>
        </w:rPr>
        <w:t xml:space="preserve"> respectivamente.</w:t>
      </w:r>
      <w:r w:rsidR="009A2458">
        <w:rPr>
          <w:lang w:val="es-ES_tradnl"/>
        </w:rPr>
        <w:br w:type="page"/>
      </w:r>
    </w:p>
    <w:p w14:paraId="384CFC27" w14:textId="77777777" w:rsidR="00CD474A" w:rsidRPr="00271246" w:rsidRDefault="00CD474A">
      <w:pPr>
        <w:rPr>
          <w:lang w:val="es-ES_tradnl"/>
        </w:rPr>
      </w:pPr>
      <w:r w:rsidRPr="00271246">
        <w:rPr>
          <w:lang w:val="es-ES_tradnl"/>
        </w:rPr>
        <w:lastRenderedPageBreak/>
        <w:t>3</w:t>
      </w:r>
      <w:r w:rsidRPr="00271246">
        <w:rPr>
          <w:lang w:val="es-ES_tradnl"/>
        </w:rPr>
        <w:tab/>
        <w:t>A juicio de la Junta, el concepto de grupo implica que, al calcular la interferencia causada a asignaciones que forman parte del grupo, sólo se ha de considerar la contribución a esa interferencia causada por las asignaciones que no forman parte del mismo grupo. En cambio, al calcular la interferencia producida por asignaciones que pertenecen a un grupo, a asignaciones que no forman parte del mismo grupo, sólo se debe tomar en consideración la contribución de la fuente interferente más desfavorable causada por ese grupo.</w:t>
      </w:r>
    </w:p>
    <w:p w14:paraId="7C723324" w14:textId="32FA9160" w:rsidR="00CD474A" w:rsidRPr="00271246" w:rsidRDefault="00CD474A" w:rsidP="00E91788">
      <w:pPr>
        <w:rPr>
          <w:lang w:val="es-ES_tradnl"/>
        </w:rPr>
      </w:pPr>
      <w:r w:rsidRPr="00271246">
        <w:rPr>
          <w:lang w:val="es-ES_tradnl"/>
        </w:rPr>
        <w:t>4</w:t>
      </w:r>
      <w:r w:rsidRPr="00271246">
        <w:rPr>
          <w:lang w:val="es-ES_tradnl"/>
        </w:rPr>
        <w:tab/>
        <w:t xml:space="preserve">De conformidad con el </w:t>
      </w:r>
      <w:r w:rsidRPr="00271246">
        <w:rPr>
          <w:i/>
          <w:iCs/>
          <w:lang w:val="es-ES_tradnl"/>
        </w:rPr>
        <w:t>resuelve</w:t>
      </w:r>
      <w:r w:rsidR="007C0C9C">
        <w:rPr>
          <w:lang w:val="es-ES_tradnl"/>
        </w:rPr>
        <w:t> </w:t>
      </w:r>
      <w:r w:rsidRPr="00271246">
        <w:rPr>
          <w:lang w:val="es-ES_tradnl"/>
        </w:rPr>
        <w:t xml:space="preserve">5 de la Resolución </w:t>
      </w:r>
      <w:r w:rsidRPr="00271246">
        <w:rPr>
          <w:rStyle w:val="Resref"/>
          <w:b/>
          <w:color w:val="000000"/>
          <w:lang w:val="es-ES_tradnl"/>
        </w:rPr>
        <w:t>548 (</w:t>
      </w:r>
      <w:r w:rsidR="009A2458" w:rsidRPr="009A2458">
        <w:rPr>
          <w:b/>
          <w:bCs/>
          <w:color w:val="000000"/>
        </w:rPr>
        <w:t>Rev.</w:t>
      </w:r>
      <w:r w:rsidRPr="00271246">
        <w:rPr>
          <w:rStyle w:val="Resref"/>
          <w:b/>
          <w:color w:val="000000"/>
          <w:lang w:val="es-ES_tradnl"/>
        </w:rPr>
        <w:t>CMR</w:t>
      </w:r>
      <w:r w:rsidRPr="00271246">
        <w:rPr>
          <w:rStyle w:val="Resref"/>
          <w:b/>
          <w:color w:val="000000"/>
          <w:lang w:val="es-ES_tradnl"/>
        </w:rPr>
        <w:noBreakHyphen/>
      </w:r>
      <w:r w:rsidR="00E91788">
        <w:rPr>
          <w:rStyle w:val="Resref"/>
          <w:b/>
          <w:color w:val="000000"/>
          <w:lang w:val="es-ES_tradnl"/>
        </w:rPr>
        <w:t>12</w:t>
      </w:r>
      <w:r w:rsidRPr="00271246">
        <w:rPr>
          <w:rStyle w:val="Resref"/>
          <w:b/>
          <w:color w:val="000000"/>
          <w:lang w:val="es-ES_tradnl"/>
        </w:rPr>
        <w:t>)</w:t>
      </w:r>
      <w:r w:rsidRPr="00271246">
        <w:rPr>
          <w:lang w:val="es-ES_tradnl"/>
        </w:rPr>
        <w:t>, en la trami</w:t>
      </w:r>
      <w:r w:rsidR="00DF3A07" w:rsidRPr="00271246">
        <w:rPr>
          <w:lang w:val="es-ES_tradnl"/>
        </w:rPr>
        <w:softHyphen/>
      </w:r>
      <w:r w:rsidRPr="00271246">
        <w:rPr>
          <w:lang w:val="es-ES_tradnl"/>
        </w:rPr>
        <w:t>tación de las notificaciones relativas a las Regiones 1 y 3 con arreglo al Artículo</w:t>
      </w:r>
      <w:r w:rsidR="00FC5406" w:rsidRPr="00271246">
        <w:rPr>
          <w:lang w:val="es-ES_tradnl"/>
        </w:rPr>
        <w:t> </w:t>
      </w:r>
      <w:r w:rsidRPr="00271246">
        <w:rPr>
          <w:lang w:val="es-ES_tradnl"/>
        </w:rPr>
        <w:t>4 recibidas después del 2 de junio de 2000, así como para la identificación de las administraciones afectadas, cada red de un grupo se examinará por separado sin tener en cuenta la contribución a la interferencia de las demás redes del grupo. Ello significa que el concepto de calcular la contribución a la interferencia de caso más desfavorable provocada por las asignaciones que</w:t>
      </w:r>
      <w:r w:rsidR="00E0585E">
        <w:rPr>
          <w:lang w:val="es-ES_tradnl"/>
        </w:rPr>
        <w:t xml:space="preserve"> </w:t>
      </w:r>
      <w:r w:rsidRPr="00271246">
        <w:rPr>
          <w:lang w:val="es-ES_tradnl"/>
        </w:rPr>
        <w:t xml:space="preserve">forman parte de un grupo a asignaciones que no forman parte de ese mismo grupo, como se indica en el Artículo 9A (columna 15) del Apéndice </w:t>
      </w:r>
      <w:r w:rsidRPr="00271246">
        <w:rPr>
          <w:rStyle w:val="Appref"/>
          <w:b/>
          <w:color w:val="000000"/>
          <w:lang w:val="es-ES_tradnl"/>
        </w:rPr>
        <w:t>30A</w:t>
      </w:r>
      <w:r w:rsidRPr="00271246">
        <w:rPr>
          <w:lang w:val="es-ES_tradnl"/>
        </w:rPr>
        <w:t>, no es aplicable a redes agrupadas para la identificación de las administraciones afectadas de conformidad con el § 4.1.5 de dicho Apéndice. Según el § 4.1.11, la aplicación de este método a redes recibidas antes del 3</w:t>
      </w:r>
      <w:r w:rsidR="00DF3A07" w:rsidRPr="00271246">
        <w:rPr>
          <w:lang w:val="es-ES_tradnl"/>
        </w:rPr>
        <w:t> </w:t>
      </w:r>
      <w:r w:rsidRPr="00271246">
        <w:rPr>
          <w:lang w:val="es-ES_tradnl"/>
        </w:rPr>
        <w:t>de junio de 2000 no dará lugar a requisitos de coordinación adicionales para esas redes.</w:t>
      </w:r>
    </w:p>
    <w:p w14:paraId="3E5D3498" w14:textId="4F7D34E3" w:rsidR="00CD474A" w:rsidRPr="00271246" w:rsidRDefault="00CD474A" w:rsidP="00E91788">
      <w:pPr>
        <w:rPr>
          <w:lang w:val="es-ES_tradnl"/>
        </w:rPr>
      </w:pPr>
      <w:r w:rsidRPr="00271246">
        <w:rPr>
          <w:lang w:val="es-ES_tradnl"/>
        </w:rPr>
        <w:t>5</w:t>
      </w:r>
      <w:r w:rsidRPr="00271246">
        <w:rPr>
          <w:lang w:val="es-ES_tradnl"/>
        </w:rPr>
        <w:tab/>
        <w:t xml:space="preserve">Para realizar este examen por separado y calcular el efecto de la interferencia de una red del Artículo 4 sometida a examen, con independencia de las otras redes del grupo de conformidad con el </w:t>
      </w:r>
      <w:r w:rsidRPr="00271246">
        <w:rPr>
          <w:i/>
          <w:iCs/>
          <w:lang w:val="es-ES_tradnl"/>
        </w:rPr>
        <w:t xml:space="preserve">resuelve </w:t>
      </w:r>
      <w:r w:rsidRPr="00271246">
        <w:rPr>
          <w:lang w:val="es-ES_tradnl"/>
        </w:rPr>
        <w:t xml:space="preserve">5 de la Resolución </w:t>
      </w:r>
      <w:r w:rsidR="00E91788">
        <w:rPr>
          <w:rStyle w:val="Resref"/>
          <w:b/>
          <w:color w:val="000000"/>
          <w:lang w:val="es-ES_tradnl"/>
        </w:rPr>
        <w:t>548 (</w:t>
      </w:r>
      <w:r w:rsidR="009A2458" w:rsidRPr="009A2458">
        <w:rPr>
          <w:b/>
          <w:bCs/>
          <w:color w:val="000000"/>
        </w:rPr>
        <w:t>Rev.</w:t>
      </w:r>
      <w:r w:rsidR="00E91788">
        <w:rPr>
          <w:rStyle w:val="Resref"/>
          <w:b/>
          <w:color w:val="000000"/>
          <w:lang w:val="es-ES_tradnl"/>
        </w:rPr>
        <w:t>CMR</w:t>
      </w:r>
      <w:r w:rsidR="00E91788">
        <w:rPr>
          <w:rStyle w:val="Resref"/>
          <w:b/>
          <w:color w:val="000000"/>
          <w:lang w:val="es-ES_tradnl"/>
        </w:rPr>
        <w:noBreakHyphen/>
        <w:t>12</w:t>
      </w:r>
      <w:r w:rsidRPr="00271246">
        <w:rPr>
          <w:rStyle w:val="Resref"/>
          <w:b/>
          <w:color w:val="000000"/>
          <w:lang w:val="es-ES_tradnl"/>
        </w:rPr>
        <w:t>)</w:t>
      </w:r>
      <w:r w:rsidRPr="00271246">
        <w:rPr>
          <w:lang w:val="es-ES_tradnl"/>
        </w:rPr>
        <w:t>, la Junta llegó a la conclusión de que debe utilizarse el método siguiente.</w:t>
      </w:r>
    </w:p>
    <w:p w14:paraId="18B790AD" w14:textId="77777777" w:rsidR="00CD474A" w:rsidRPr="00271246" w:rsidRDefault="00CD474A" w:rsidP="00816FF6">
      <w:pPr>
        <w:rPr>
          <w:lang w:val="es-ES_tradnl"/>
        </w:rPr>
      </w:pPr>
      <w:r w:rsidRPr="00271246">
        <w:rPr>
          <w:lang w:val="es-ES_tradnl"/>
        </w:rPr>
        <w:t>La identificación de las administraciones afectadas debe efectuarse sin tener en cuenta la contribución a la interferencia de las asignaciones del Plan y la Lista agrupadas con las asignaciones de una red del Artículo 4 sometida a examen, basándose en la situación de referencia establecida sin considerar la contribución a la interferencia de dichas asignaciones agrupadas.</w:t>
      </w:r>
    </w:p>
    <w:p w14:paraId="5535EE13" w14:textId="11D6ACF5" w:rsidR="00CD474A" w:rsidRPr="00271246" w:rsidRDefault="00CD474A" w:rsidP="00E91788">
      <w:pPr>
        <w:spacing w:line="260" w:lineRule="exact"/>
        <w:rPr>
          <w:color w:val="000000"/>
          <w:lang w:val="es-ES_tradnl"/>
        </w:rPr>
      </w:pPr>
      <w:r w:rsidRPr="00271246">
        <w:rPr>
          <w:lang w:val="es-ES_tradnl"/>
        </w:rPr>
        <w:t>6</w:t>
      </w:r>
      <w:r w:rsidRPr="00271246">
        <w:rPr>
          <w:lang w:val="es-ES_tradnl"/>
        </w:rPr>
        <w:tab/>
        <w:t>En lo tocante a las Listas y Planes de los enlaces de conexión para las Regiones</w:t>
      </w:r>
      <w:r w:rsidR="00FC5406" w:rsidRPr="00271246">
        <w:rPr>
          <w:lang w:val="es-ES_tradnl"/>
        </w:rPr>
        <w:t> </w:t>
      </w:r>
      <w:r w:rsidRPr="00271246">
        <w:rPr>
          <w:lang w:val="es-ES_tradnl"/>
        </w:rPr>
        <w:t>1 y</w:t>
      </w:r>
      <w:r w:rsidR="00816FF6" w:rsidRPr="00271246">
        <w:rPr>
          <w:lang w:val="es-ES_tradnl"/>
        </w:rPr>
        <w:t> </w:t>
      </w:r>
      <w:r w:rsidRPr="00271246">
        <w:rPr>
          <w:lang w:val="es-ES_tradnl"/>
        </w:rPr>
        <w:t xml:space="preserve">3, de conformidad con el </w:t>
      </w:r>
      <w:r w:rsidRPr="00271246">
        <w:rPr>
          <w:i/>
          <w:iCs/>
          <w:lang w:val="es-ES_tradnl"/>
        </w:rPr>
        <w:t>resuelve</w:t>
      </w:r>
      <w:r w:rsidR="00C53076">
        <w:rPr>
          <w:i/>
          <w:iCs/>
          <w:lang w:val="es-ES_tradnl"/>
        </w:rPr>
        <w:t> </w:t>
      </w:r>
      <w:r w:rsidRPr="00271246">
        <w:rPr>
          <w:lang w:val="es-ES_tradnl"/>
        </w:rPr>
        <w:t xml:space="preserve">1 de la Resolución </w:t>
      </w:r>
      <w:r w:rsidR="00E91788">
        <w:rPr>
          <w:rStyle w:val="Resref"/>
          <w:b/>
          <w:color w:val="000000"/>
          <w:lang w:val="es-ES_tradnl"/>
        </w:rPr>
        <w:t>548 (</w:t>
      </w:r>
      <w:r w:rsidR="009A2458" w:rsidRPr="009A2458">
        <w:rPr>
          <w:b/>
          <w:bCs/>
          <w:color w:val="000000"/>
        </w:rPr>
        <w:t>Rev.</w:t>
      </w:r>
      <w:r w:rsidR="00E91788">
        <w:rPr>
          <w:rStyle w:val="Resref"/>
          <w:b/>
          <w:color w:val="000000"/>
          <w:lang w:val="es-ES_tradnl"/>
        </w:rPr>
        <w:t>CMR</w:t>
      </w:r>
      <w:r w:rsidR="00E91788">
        <w:rPr>
          <w:rStyle w:val="Resref"/>
          <w:b/>
          <w:color w:val="000000"/>
          <w:lang w:val="es-ES_tradnl"/>
        </w:rPr>
        <w:noBreakHyphen/>
        <w:t>12</w:t>
      </w:r>
      <w:r w:rsidRPr="00271246">
        <w:rPr>
          <w:rStyle w:val="Resref"/>
          <w:b/>
          <w:color w:val="000000"/>
          <w:lang w:val="es-ES_tradnl"/>
        </w:rPr>
        <w:t>)</w:t>
      </w:r>
      <w:r w:rsidR="00E91788">
        <w:rPr>
          <w:rStyle w:val="Resref"/>
          <w:b/>
          <w:color w:val="000000"/>
          <w:lang w:val="es-ES_tradnl"/>
        </w:rPr>
        <w:t xml:space="preserve"> </w:t>
      </w:r>
      <w:r w:rsidRPr="00271246">
        <w:rPr>
          <w:lang w:val="es-ES_tradnl"/>
        </w:rPr>
        <w:t>y la decisión de la Plenaria de la CMR-03, la Junta llegó a la conclusión de que el agrupamiento de redes separadas por más de 0,</w:t>
      </w:r>
      <w:r w:rsidRPr="00271246">
        <w:rPr>
          <w:rFonts w:ascii="Symbol" w:hAnsi="Symbol"/>
          <w:lang w:val="es-ES_tradnl"/>
        </w:rPr>
        <w:t></w:t>
      </w:r>
      <w:r w:rsidR="00DF3A07" w:rsidRPr="00271246">
        <w:rPr>
          <w:rFonts w:ascii="Symbol" w:hAnsi="Symbol"/>
          <w:lang w:val="es-ES_tradnl"/>
        </w:rPr>
        <w:t></w:t>
      </w:r>
      <w:r w:rsidRPr="00271246">
        <w:rPr>
          <w:lang w:val="es-ES_tradnl"/>
        </w:rPr>
        <w:t xml:space="preserve"> en el arco geoestacionario no está permitido en la Lista, salvo para la aplicación del § 4.1.27. Sin embargo, la agrupación de redes separadas por más de</w:t>
      </w:r>
      <w:r w:rsidR="00FC5406" w:rsidRPr="00271246">
        <w:rPr>
          <w:lang w:val="es-ES_tradnl"/>
        </w:rPr>
        <w:t xml:space="preserve"> </w:t>
      </w:r>
      <w:r w:rsidRPr="00271246">
        <w:rPr>
          <w:lang w:val="es-ES_tradnl"/>
        </w:rPr>
        <w:t>0,4</w:t>
      </w:r>
      <w:r w:rsidR="00DF3A07" w:rsidRPr="00271246">
        <w:rPr>
          <w:rFonts w:ascii="Symbol" w:hAnsi="Symbol"/>
          <w:lang w:val="es-ES_tradnl"/>
        </w:rPr>
        <w:t></w:t>
      </w:r>
      <w:r w:rsidRPr="00271246">
        <w:rPr>
          <w:lang w:val="es-ES_tradnl"/>
        </w:rPr>
        <w:t xml:space="preserve"> puede realizarse antes de la inclusión de las asignaciones en la Lista para modificar la posición orbital de una red.</w:t>
      </w:r>
    </w:p>
    <w:p w14:paraId="10FB35B5" w14:textId="77777777" w:rsidR="00CD474A" w:rsidRPr="00271246" w:rsidRDefault="00CD474A" w:rsidP="00816FF6">
      <w:pPr>
        <w:rPr>
          <w:lang w:val="es-ES_tradnl"/>
        </w:rPr>
      </w:pPr>
      <w:r w:rsidRPr="00271246">
        <w:rPr>
          <w:lang w:val="es-ES_tradnl"/>
        </w:rPr>
        <w:t xml:space="preserve">En cuanto al Plan de la Región 2, con respecto al § 4.2.2 </w:t>
      </w:r>
      <w:r w:rsidRPr="00271246">
        <w:rPr>
          <w:i/>
          <w:iCs/>
          <w:lang w:val="es-ES_tradnl"/>
        </w:rPr>
        <w:t>c)</w:t>
      </w:r>
      <w:r w:rsidRPr="00271246">
        <w:rPr>
          <w:lang w:val="es-ES_tradnl"/>
        </w:rPr>
        <w:t>, la Junta no encontró ninguna base reglamentaria para ampliar la utilización de agrupaciones que entrañan múltiples posiciones orbitales (salvo en el caso de una separación orbital de 0,4</w:t>
      </w:r>
      <w:r w:rsidRPr="00271246">
        <w:rPr>
          <w:vertAlign w:val="superscript"/>
          <w:lang w:val="es-ES_tradnl"/>
        </w:rPr>
        <w:t>o</w:t>
      </w:r>
      <w:r w:rsidRPr="00271246">
        <w:rPr>
          <w:lang w:val="es-ES_tradnl"/>
        </w:rPr>
        <w:t>, lo que se autorizó para las agrupaciones que figuran en el Plan de la Región 2 y sus modificaciones ulteriores).</w:t>
      </w:r>
    </w:p>
    <w:p w14:paraId="10481C53" w14:textId="3BADAD85" w:rsidR="00CD474A" w:rsidRPr="00271246" w:rsidRDefault="00CD474A" w:rsidP="00816FF6">
      <w:pPr>
        <w:rPr>
          <w:lang w:val="es-ES_tradnl"/>
        </w:rPr>
      </w:pPr>
      <w:r w:rsidRPr="00271246">
        <w:rPr>
          <w:lang w:val="es-ES_tradnl"/>
        </w:rPr>
        <w:t>En caso de petición de sustitución de una asignación/anotación de una administración en el Plan de la Región 2, la aplicación del § 2.2 de las Reglas de Procedimiento relativas al § 4.2.6 del Apéndice</w:t>
      </w:r>
      <w:r w:rsidR="004847D8">
        <w:rPr>
          <w:lang w:val="es-ES_tradnl"/>
        </w:rPr>
        <w:t> </w:t>
      </w:r>
      <w:r w:rsidRPr="00271246">
        <w:rPr>
          <w:rStyle w:val="Appref"/>
          <w:b/>
          <w:color w:val="000000"/>
          <w:lang w:val="es-ES_tradnl"/>
        </w:rPr>
        <w:t>30A</w:t>
      </w:r>
      <w:r w:rsidRPr="00271246">
        <w:rPr>
          <w:lang w:val="es-ES_tradnl"/>
        </w:rPr>
        <w:t xml:space="preserve"> requiere la tramitación de la asignación modificada que solicita dicha administración según el Artículo</w:t>
      </w:r>
      <w:r w:rsidR="004847D8">
        <w:rPr>
          <w:lang w:val="es-ES_tradnl"/>
        </w:rPr>
        <w:t> </w:t>
      </w:r>
      <w:r w:rsidRPr="00271246">
        <w:rPr>
          <w:lang w:val="es-ES_tradnl"/>
        </w:rPr>
        <w:t>4 de ese Apéndice, sobre la base de las condiciones siguientes:</w:t>
      </w:r>
    </w:p>
    <w:p w14:paraId="39735F24" w14:textId="0336944A" w:rsidR="009A2458" w:rsidRDefault="00CD474A">
      <w:pPr>
        <w:pStyle w:val="enumlev1"/>
        <w:rPr>
          <w:lang w:val="es-ES_tradnl"/>
        </w:rPr>
      </w:pPr>
      <w:r w:rsidRPr="00271246">
        <w:rPr>
          <w:lang w:val="es-ES_tradnl"/>
        </w:rPr>
        <w:sym w:font="Symbol" w:char="F02D"/>
      </w:r>
      <w:r w:rsidRPr="00271246">
        <w:rPr>
          <w:lang w:val="es-ES_tradnl"/>
        </w:rPr>
        <w:tab/>
        <w:t xml:space="preserve">no se considera el efecto de la interferencia procedente de la asignación inicial de la administración solicitante en los cálculos del margen de protección global equivalente de la asignación modificada que solicita dicha administración, y viceversa, y </w:t>
      </w:r>
      <w:r w:rsidR="009A2458">
        <w:rPr>
          <w:lang w:val="es-ES_tradnl"/>
        </w:rPr>
        <w:br w:type="page"/>
      </w:r>
    </w:p>
    <w:p w14:paraId="1A15AA64" w14:textId="380F6B9A" w:rsidR="00CD474A" w:rsidRDefault="00CD474A" w:rsidP="00816FF6">
      <w:pPr>
        <w:pStyle w:val="enumlev1"/>
        <w:rPr>
          <w:lang w:val="es-ES_tradnl"/>
        </w:rPr>
      </w:pPr>
      <w:r w:rsidRPr="00271246">
        <w:rPr>
          <w:lang w:val="es-ES_tradnl"/>
        </w:rPr>
        <w:lastRenderedPageBreak/>
        <w:sym w:font="Symbol" w:char="F02D"/>
      </w:r>
      <w:r w:rsidRPr="00271246">
        <w:rPr>
          <w:lang w:val="es-ES_tradnl"/>
        </w:rPr>
        <w:tab/>
        <w:t>no se considera el efecto de la interferencia combinada procedente de la asignación inicial en cuestión y de la asignación modificada de la administración solicitante en los cálculos del margen de protección global equivalente de otras asignaciones, sino única</w:t>
      </w:r>
      <w:r w:rsidRPr="00271246">
        <w:rPr>
          <w:lang w:val="es-ES_tradnl"/>
        </w:rPr>
        <w:softHyphen/>
        <w:t>mente el efecto de interferencia más desfavorable procedente de las</w:t>
      </w:r>
      <w:r w:rsidR="00816FF6" w:rsidRPr="00271246">
        <w:rPr>
          <w:lang w:val="es-ES_tradnl"/>
        </w:rPr>
        <w:t> </w:t>
      </w:r>
      <w:r w:rsidRPr="00271246">
        <w:rPr>
          <w:lang w:val="es-ES_tradnl"/>
        </w:rPr>
        <w:t>dos.</w:t>
      </w:r>
    </w:p>
    <w:p w14:paraId="4C368EA7" w14:textId="77777777" w:rsidR="00CD474A" w:rsidRPr="00271246" w:rsidRDefault="00CD474A" w:rsidP="00343FF3">
      <w:pPr>
        <w:spacing w:before="120"/>
        <w:rPr>
          <w:lang w:val="es-ES_tradnl"/>
        </w:rPr>
      </w:pPr>
      <w:r w:rsidRPr="00271246">
        <w:rPr>
          <w:lang w:val="es-ES_tradnl"/>
        </w:rPr>
        <w:t>Las condiciones anteriores se aplican únicamente durante el periodo de tiempo concedido para la tramitación de las asignaciones modificadas según el Artículo 4 de ese Apéndice. Tras este periodo de tiempo, permanecerán en el Plan la asignación inicial en cuestión o la asignación modificada de la administración solicitante, dependiendo de la aplicación satis</w:t>
      </w:r>
      <w:r w:rsidR="00816FF6" w:rsidRPr="00271246">
        <w:rPr>
          <w:lang w:val="es-ES_tradnl"/>
        </w:rPr>
        <w:softHyphen/>
      </w:r>
      <w:r w:rsidRPr="00271246">
        <w:rPr>
          <w:lang w:val="es-ES_tradnl"/>
        </w:rPr>
        <w:t>factoria o no del procedimiento del Artículo 4 para esta asignación modificada.</w:t>
      </w:r>
    </w:p>
    <w:p w14:paraId="640B6BB7" w14:textId="14709413" w:rsidR="00CD474A" w:rsidRPr="00271246" w:rsidRDefault="00CD474A">
      <w:pPr>
        <w:pStyle w:val="Heading9"/>
        <w:rPr>
          <w:lang w:val="es-ES_tradnl"/>
        </w:rPr>
      </w:pPr>
      <w:r w:rsidRPr="00271246">
        <w:rPr>
          <w:lang w:val="es-ES_tradnl"/>
        </w:rPr>
        <w:t xml:space="preserve">4.1.1 </w:t>
      </w:r>
      <w:r w:rsidRPr="00271246">
        <w:rPr>
          <w:i/>
          <w:iCs/>
          <w:lang w:val="es-ES_tradnl"/>
        </w:rPr>
        <w:t>c)</w:t>
      </w:r>
    </w:p>
    <w:p w14:paraId="25303D86" w14:textId="476DE4EF" w:rsidR="00CD474A" w:rsidRPr="00271246" w:rsidRDefault="00CD474A" w:rsidP="00FC5406">
      <w:pPr>
        <w:rPr>
          <w:lang w:val="es-ES_tradnl"/>
        </w:rPr>
      </w:pPr>
      <w:r w:rsidRPr="00271246">
        <w:rPr>
          <w:lang w:val="es-ES_tradnl"/>
        </w:rPr>
        <w:t>Al determinar las administraciones de la Región 2 que pueden resultar afectadas, la propuesta de asignación nueva o modificada en la Lista de las Regiones 1 y 3 en 17 GHz se examina con respecto al Plan de la Región</w:t>
      </w:r>
      <w:r w:rsidR="004847D8">
        <w:rPr>
          <w:lang w:val="es-ES_tradnl"/>
        </w:rPr>
        <w:t> </w:t>
      </w:r>
      <w:r w:rsidRPr="00271246">
        <w:rPr>
          <w:lang w:val="es-ES_tradnl"/>
        </w:rPr>
        <w:t>2 existente en la fecha de recepción de la propuesta de asignación nueva o modificada, incluidas las modificaciones del Plan de la Región 2 recibidas antes de esa fecha (se haya completado o no el procedimiento del Artículo 4). En el examen se consideran únicamente las administraciones que poseen asignaciones cuya anchura de banda necesaria</w:t>
      </w:r>
      <w:r w:rsidRPr="00271246">
        <w:rPr>
          <w:rStyle w:val="FootnoteReference"/>
          <w:sz w:val="20"/>
          <w:lang w:val="es-ES_tradnl"/>
        </w:rPr>
        <w:footnoteReference w:customMarkFollows="1" w:id="2"/>
        <w:t>1</w:t>
      </w:r>
      <w:r w:rsidRPr="00271246">
        <w:rPr>
          <w:lang w:val="es-ES_tradnl"/>
        </w:rPr>
        <w:t xml:space="preserve"> se superpone con la anchura de banda necesaria</w:t>
      </w:r>
      <w:r w:rsidRPr="00271246">
        <w:rPr>
          <w:position w:val="6"/>
          <w:sz w:val="20"/>
          <w:lang w:val="es-ES_tradnl"/>
        </w:rPr>
        <w:t>1</w:t>
      </w:r>
      <w:r w:rsidRPr="00271246">
        <w:rPr>
          <w:lang w:val="es-ES_tradnl"/>
        </w:rPr>
        <w:t xml:space="preserve"> de la propuesta de asignación nueva o modificada en la Lista de las Regiones 1 y 3 en 17 GHz. Se identifica que la administración de la Región 2 posee servicios que se consideran afectados cuando se exceden los límites especificados en el § 5 del Anexo 1 al Apéndice </w:t>
      </w:r>
      <w:r w:rsidRPr="00271246">
        <w:rPr>
          <w:rStyle w:val="Appref"/>
          <w:b/>
          <w:color w:val="000000"/>
          <w:lang w:val="es-ES_tradnl"/>
        </w:rPr>
        <w:t>30A</w:t>
      </w:r>
      <w:r w:rsidRPr="00271246">
        <w:rPr>
          <w:lang w:val="es-ES_tradnl"/>
        </w:rPr>
        <w:t>.</w:t>
      </w:r>
    </w:p>
    <w:p w14:paraId="46B502B0" w14:textId="77777777" w:rsidR="00CD474A" w:rsidRPr="00271246" w:rsidRDefault="00CD474A">
      <w:pPr>
        <w:pStyle w:val="Heading9"/>
        <w:rPr>
          <w:lang w:val="es-ES_tradnl"/>
        </w:rPr>
      </w:pPr>
      <w:r w:rsidRPr="00271246">
        <w:rPr>
          <w:lang w:val="es-ES_tradnl"/>
        </w:rPr>
        <w:t>4.1.3</w:t>
      </w:r>
    </w:p>
    <w:p w14:paraId="2934FEF1" w14:textId="77777777" w:rsidR="00CD474A" w:rsidRPr="00271246" w:rsidRDefault="00CD474A" w:rsidP="00DF3A07">
      <w:pPr>
        <w:rPr>
          <w:lang w:val="es-ES_tradnl"/>
        </w:rPr>
      </w:pPr>
      <w:r w:rsidRPr="00271246">
        <w:rPr>
          <w:lang w:val="es-ES_tradnl"/>
        </w:rPr>
        <w:t>1</w:t>
      </w:r>
      <w:r w:rsidRPr="00271246">
        <w:rPr>
          <w:lang w:val="es-ES_tradnl"/>
        </w:rPr>
        <w:tab/>
        <w:t>En el caso en que la Oficina cancele una asignación de frecuencia en aplicación del § 5.3.2 del Artículo</w:t>
      </w:r>
      <w:r w:rsidR="00DF3A07" w:rsidRPr="00271246">
        <w:rPr>
          <w:lang w:val="es-ES_tradnl"/>
        </w:rPr>
        <w:t xml:space="preserve"> </w:t>
      </w:r>
      <w:r w:rsidRPr="00271246">
        <w:rPr>
          <w:lang w:val="es-ES_tradnl"/>
        </w:rPr>
        <w:t>5 del presente Apéndice, la asignación correspondiente que se había sometido en virtud del § 4.2.</w:t>
      </w:r>
      <w:r w:rsidRPr="00271246">
        <w:rPr>
          <w:iCs/>
          <w:lang w:val="es-ES_tradnl"/>
        </w:rPr>
        <w:t xml:space="preserve">6 (excepto en el caso de petición de sustitución de una asignación del Plan de la Región 2) </w:t>
      </w:r>
      <w:r w:rsidRPr="00271246">
        <w:rPr>
          <w:lang w:val="es-ES_tradnl"/>
        </w:rPr>
        <w:t>e incluido en el Plan de la Región 2, o en virtud del § 4.1.3 e incluido en la Lista de las Regiones 1 y 3, también deberá suprimirse de dicho Plan o de la Lista según el caso. La Oficina no tendrá que volver a realizar los cálculos para determinar cuáles son las administraciones afectadas como consecuencia de la anulación mencionada.</w:t>
      </w:r>
    </w:p>
    <w:p w14:paraId="712537B1" w14:textId="77777777" w:rsidR="00CD474A" w:rsidRPr="00271246" w:rsidRDefault="00CD474A">
      <w:pPr>
        <w:rPr>
          <w:lang w:val="es-ES_tradnl"/>
        </w:rPr>
      </w:pPr>
      <w:r w:rsidRPr="00271246">
        <w:rPr>
          <w:lang w:val="es-ES_tradnl"/>
        </w:rPr>
        <w:t>2</w:t>
      </w:r>
      <w:r w:rsidRPr="00271246">
        <w:rPr>
          <w:lang w:val="es-ES_tradnl"/>
        </w:rPr>
        <w:tab/>
        <w:t>Véanse también las Reglas de Procedimiento relativas a la Aceptabilidad de los formularios de notificación.</w:t>
      </w:r>
    </w:p>
    <w:p w14:paraId="3BD680D4" w14:textId="77777777" w:rsidR="00CD474A" w:rsidRPr="00271246" w:rsidRDefault="00CD474A">
      <w:pPr>
        <w:pStyle w:val="Heading9"/>
        <w:spacing w:before="240"/>
        <w:rPr>
          <w:lang w:val="es-ES_tradnl"/>
        </w:rPr>
      </w:pPr>
      <w:r w:rsidRPr="00271246">
        <w:rPr>
          <w:lang w:val="es-ES_tradnl"/>
        </w:rPr>
        <w:t>4.1.7</w:t>
      </w:r>
    </w:p>
    <w:p w14:paraId="3782B3C6" w14:textId="23F8A9AD" w:rsidR="004847D8" w:rsidRDefault="00CD474A">
      <w:pPr>
        <w:rPr>
          <w:lang w:val="es-ES_tradnl"/>
        </w:rPr>
      </w:pPr>
      <w:r w:rsidRPr="00271246">
        <w:rPr>
          <w:lang w:val="es-ES_tradnl"/>
        </w:rPr>
        <w:t>La solicitud de una administración de que se la incluya en la lista de administraciones que se ha de publicar se ha de fundar solamente en razones técnicas que se verificarán utilizando el Anexo 1 así como otros Anexos pertinentes. Si esto indica que la administración solicitante debía haber figurado en la lista, la Oficina la incluirá; de lo contrario, se informará a la admi</w:t>
      </w:r>
      <w:r w:rsidRPr="00271246">
        <w:rPr>
          <w:lang w:val="es-ES_tradnl"/>
        </w:rPr>
        <w:softHyphen/>
        <w:t>nistración solicitante de que su nombre no se publicará y se deja a la administración notifi</w:t>
      </w:r>
      <w:r w:rsidRPr="00271246">
        <w:rPr>
          <w:lang w:val="es-ES_tradnl"/>
        </w:rPr>
        <w:softHyphen/>
        <w:t>cante que decida si procede tomar en cuenta esa solicitud.</w:t>
      </w:r>
      <w:r w:rsidR="004847D8">
        <w:rPr>
          <w:lang w:val="es-ES_tradnl"/>
        </w:rPr>
        <w:br w:type="page"/>
      </w:r>
    </w:p>
    <w:p w14:paraId="72A77EE2" w14:textId="77777777" w:rsidR="00CD474A" w:rsidRPr="00271246" w:rsidRDefault="00CD474A">
      <w:pPr>
        <w:pStyle w:val="Heading9"/>
        <w:rPr>
          <w:lang w:val="es-ES_tradnl"/>
        </w:rPr>
      </w:pPr>
      <w:r w:rsidRPr="00271246">
        <w:rPr>
          <w:lang w:val="es-ES_tradnl"/>
        </w:rPr>
        <w:lastRenderedPageBreak/>
        <w:t>4.1.7</w:t>
      </w:r>
      <w:r w:rsidRPr="00271246">
        <w:rPr>
          <w:i/>
          <w:iCs/>
          <w:lang w:val="es-ES_tradnl"/>
        </w:rPr>
        <w:t>bis</w:t>
      </w:r>
    </w:p>
    <w:p w14:paraId="1EBB8D14" w14:textId="77777777" w:rsidR="00CD474A" w:rsidRDefault="00CD474A" w:rsidP="00DF3A07">
      <w:pPr>
        <w:rPr>
          <w:bCs/>
          <w:lang w:val="es-ES_tradnl"/>
        </w:rPr>
      </w:pPr>
      <w:r w:rsidRPr="00271246">
        <w:rPr>
          <w:bCs/>
          <w:lang w:val="es-ES_tradnl"/>
        </w:rPr>
        <w:t>El acuerdo al que se refiere el § 4.1.7</w:t>
      </w:r>
      <w:r w:rsidRPr="00271246">
        <w:rPr>
          <w:bCs/>
          <w:i/>
          <w:iCs/>
          <w:lang w:val="es-ES_tradnl"/>
        </w:rPr>
        <w:t>bis</w:t>
      </w:r>
      <w:r w:rsidRPr="00271246">
        <w:rPr>
          <w:bCs/>
          <w:lang w:val="es-ES_tradnl"/>
        </w:rPr>
        <w:t xml:space="preserve"> es el acuerdo entre las administraciones identificadas según el</w:t>
      </w:r>
      <w:r w:rsidR="00DF3A07" w:rsidRPr="00271246">
        <w:rPr>
          <w:bCs/>
          <w:lang w:val="es-ES_tradnl"/>
        </w:rPr>
        <w:t xml:space="preserve"> </w:t>
      </w:r>
      <w:r w:rsidRPr="00271246">
        <w:rPr>
          <w:bCs/>
          <w:lang w:val="es-ES_tradnl"/>
        </w:rPr>
        <w:t>§ 4.1.1 y las del § 4.1.7, sobre las que la oficina ha confirmado que utilizan los criterios apropiados.</w:t>
      </w:r>
    </w:p>
    <w:p w14:paraId="1266C9E2" w14:textId="77777777" w:rsidR="00CD474A" w:rsidRPr="00271246" w:rsidRDefault="00CD474A">
      <w:pPr>
        <w:pStyle w:val="Heading9"/>
        <w:rPr>
          <w:lang w:val="es-ES_tradnl"/>
        </w:rPr>
      </w:pPr>
      <w:r w:rsidRPr="00271246">
        <w:rPr>
          <w:lang w:val="es-ES_tradnl"/>
        </w:rPr>
        <w:t>4.1.8</w:t>
      </w:r>
    </w:p>
    <w:p w14:paraId="0C5BAC29" w14:textId="77777777" w:rsidR="00CD474A" w:rsidRDefault="00CD474A">
      <w:pPr>
        <w:rPr>
          <w:lang w:val="es-ES_tradnl"/>
        </w:rPr>
      </w:pPr>
      <w:r w:rsidRPr="00271246">
        <w:rPr>
          <w:lang w:val="es-ES_tradnl"/>
        </w:rPr>
        <w:t xml:space="preserve">Si una administración solamente ha solicitado información adicional en virtud del § 4.1.8 o del § 4.2.12, la Oficina no considerará que </w:t>
      </w:r>
      <w:proofErr w:type="gramStart"/>
      <w:r w:rsidRPr="00271246">
        <w:rPr>
          <w:lang w:val="es-ES_tradnl"/>
        </w:rPr>
        <w:t>ha</w:t>
      </w:r>
      <w:proofErr w:type="gramEnd"/>
      <w:r w:rsidRPr="00271246">
        <w:rPr>
          <w:lang w:val="es-ES_tradnl"/>
        </w:rPr>
        <w:t xml:space="preserve"> sometido comentarios en virtud del § 4.1.10 o del § 4.2.14, respectivamente.</w:t>
      </w:r>
    </w:p>
    <w:p w14:paraId="4755B357" w14:textId="77777777" w:rsidR="00426E9C" w:rsidRDefault="00426E9C" w:rsidP="00426E9C">
      <w:pPr>
        <w:pStyle w:val="Heading9"/>
        <w:rPr>
          <w:lang w:val="es-ES_tradnl"/>
        </w:rPr>
      </w:pPr>
      <w:r w:rsidRPr="00335321">
        <w:rPr>
          <w:lang w:val="es-ES_tradnl"/>
        </w:rPr>
        <w:t>4.1.10c</w:t>
      </w:r>
    </w:p>
    <w:p w14:paraId="3DCDDBAF" w14:textId="77777777" w:rsidR="00426E9C" w:rsidRPr="003A7C86" w:rsidRDefault="00426E9C" w:rsidP="00426E9C">
      <w:pPr>
        <w:rPr>
          <w:lang w:val="es-ES_tradnl"/>
        </w:rPr>
      </w:pPr>
      <w:r>
        <w:rPr>
          <w:lang w:val="es-ES_tradnl"/>
        </w:rPr>
        <w:t>Véase la Regla de Procedimiento relativa al § 4.1.10c del Artículo 4 del Apéndice </w:t>
      </w:r>
      <w:r>
        <w:rPr>
          <w:b/>
          <w:bCs/>
          <w:lang w:val="es-ES_tradnl"/>
        </w:rPr>
        <w:t>30</w:t>
      </w:r>
      <w:r>
        <w:rPr>
          <w:lang w:val="es-ES_tradnl"/>
        </w:rPr>
        <w:t>.</w:t>
      </w:r>
    </w:p>
    <w:p w14:paraId="33E85831" w14:textId="77777777" w:rsidR="00CD474A" w:rsidRPr="00271246" w:rsidRDefault="00CD474A">
      <w:pPr>
        <w:pStyle w:val="Heading9"/>
        <w:rPr>
          <w:lang w:val="es-ES_tradnl"/>
        </w:rPr>
      </w:pPr>
      <w:r w:rsidRPr="00271246">
        <w:rPr>
          <w:lang w:val="es-ES_tradnl"/>
        </w:rPr>
        <w:t>4.1.11</w:t>
      </w:r>
    </w:p>
    <w:p w14:paraId="738C2B96" w14:textId="77777777" w:rsidR="00026805" w:rsidRPr="00BB7800" w:rsidRDefault="00026805" w:rsidP="00026805">
      <w:pPr>
        <w:spacing w:before="40" w:after="40"/>
        <w:rPr>
          <w:rFonts w:asciiTheme="majorBidi" w:hAnsiTheme="majorBidi" w:cstheme="majorBidi"/>
          <w:szCs w:val="24"/>
          <w:lang w:val="es-ES_tradnl"/>
        </w:rPr>
      </w:pPr>
      <w:r w:rsidRPr="00BB7800">
        <w:rPr>
          <w:rFonts w:asciiTheme="majorBidi" w:hAnsiTheme="majorBidi" w:cstheme="majorBidi"/>
          <w:szCs w:val="24"/>
          <w:lang w:val="es-ES_tradnl"/>
        </w:rPr>
        <w:t>Véanse también los comentarios en relación con los § 4.1.3 y 4.2.6 y la Reglas de Procedimiento relativas a la admisibilidad de los formularios de notificación.</w:t>
      </w:r>
    </w:p>
    <w:p w14:paraId="637106E3" w14:textId="085A9B3C" w:rsidR="00026805" w:rsidRPr="00BB7800" w:rsidRDefault="00026805" w:rsidP="00026805">
      <w:pPr>
        <w:spacing w:before="40" w:after="40"/>
        <w:rPr>
          <w:rFonts w:asciiTheme="majorBidi" w:hAnsiTheme="majorBidi" w:cstheme="majorBidi"/>
          <w:lang w:val="es-ES_tradnl"/>
        </w:rPr>
      </w:pPr>
      <w:r w:rsidRPr="00BB7800">
        <w:rPr>
          <w:rFonts w:asciiTheme="majorBidi" w:hAnsiTheme="majorBidi" w:cstheme="majorBidi"/>
          <w:b/>
          <w:bCs/>
          <w:lang w:val="es-ES_tradnl"/>
        </w:rPr>
        <w:t>Nota</w:t>
      </w:r>
      <w:r w:rsidR="006845C9">
        <w:rPr>
          <w:rFonts w:asciiTheme="majorBidi" w:hAnsiTheme="majorBidi" w:cstheme="majorBidi"/>
          <w:lang w:val="es-ES_tradnl"/>
        </w:rPr>
        <w:t> – </w:t>
      </w:r>
      <w:r w:rsidRPr="00BB7800">
        <w:rPr>
          <w:rFonts w:asciiTheme="majorBidi" w:hAnsiTheme="majorBidi" w:cstheme="majorBidi"/>
          <w:lang w:val="es-ES_tradnl"/>
        </w:rPr>
        <w:t>La CMR-15 tomó la decisión sobre la RdP relativa al § 4.1.11 de los Apéndices</w:t>
      </w:r>
      <w:r w:rsidR="00C53076">
        <w:rPr>
          <w:rFonts w:asciiTheme="majorBidi" w:hAnsiTheme="majorBidi" w:cstheme="majorBidi"/>
          <w:lang w:val="es-ES_tradnl"/>
        </w:rPr>
        <w:t> </w:t>
      </w:r>
      <w:r w:rsidRPr="00BB7800">
        <w:rPr>
          <w:rFonts w:asciiTheme="majorBidi" w:hAnsiTheme="majorBidi" w:cstheme="majorBidi"/>
          <w:b/>
          <w:bCs/>
          <w:lang w:val="es-ES_tradnl"/>
        </w:rPr>
        <w:t>30</w:t>
      </w:r>
      <w:r w:rsidRPr="00BB7800">
        <w:rPr>
          <w:rFonts w:asciiTheme="majorBidi" w:hAnsiTheme="majorBidi" w:cstheme="majorBidi"/>
          <w:lang w:val="es-ES_tradnl"/>
        </w:rPr>
        <w:t xml:space="preserve"> y </w:t>
      </w:r>
      <w:r w:rsidRPr="00BB7800">
        <w:rPr>
          <w:rFonts w:asciiTheme="majorBidi" w:hAnsiTheme="majorBidi" w:cstheme="majorBidi"/>
          <w:b/>
          <w:bCs/>
          <w:lang w:val="es-ES_tradnl"/>
        </w:rPr>
        <w:t>30A</w:t>
      </w:r>
      <w:r w:rsidRPr="00BB7800">
        <w:rPr>
          <w:rFonts w:asciiTheme="majorBidi" w:hAnsiTheme="majorBidi" w:cstheme="majorBidi"/>
          <w:lang w:val="es-ES_tradnl"/>
        </w:rPr>
        <w:t xml:space="preserve"> durante la 8ª Sesión Plenaria, § 1.39 a 1.42 del Documento CMR15/505, aprobación del Documento CMR15/416 en relación con la Sección 3.2.6.4 del Documento 4(Add.2)(Rev.1), en los siguientes términos:</w:t>
      </w:r>
    </w:p>
    <w:p w14:paraId="022213CD"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 xml:space="preserve">«En la Sección 3.2.6.2 del Documento 4(Add.2)(Rev.1) el Director describe la práctica que actualmente sigue la Oficina a la hora de examinar las notificaciones de la Parte B recibidas en virtud del § 4.1.12 de los Apéndices </w:t>
      </w:r>
      <w:r w:rsidRPr="00BB7800">
        <w:rPr>
          <w:rFonts w:asciiTheme="majorBidi" w:hAnsiTheme="majorBidi" w:cstheme="majorBidi"/>
          <w:b/>
          <w:bCs/>
          <w:i/>
          <w:iCs/>
          <w:lang w:val="es-ES_tradnl"/>
        </w:rPr>
        <w:t>30</w:t>
      </w:r>
      <w:r w:rsidRPr="00BB7800">
        <w:rPr>
          <w:rFonts w:asciiTheme="majorBidi" w:hAnsiTheme="majorBidi" w:cstheme="majorBidi"/>
          <w:i/>
          <w:iCs/>
          <w:lang w:val="es-ES_tradnl"/>
        </w:rPr>
        <w:t xml:space="preserve"> y </w:t>
      </w:r>
      <w:r w:rsidRPr="00BB7800">
        <w:rPr>
          <w:rFonts w:asciiTheme="majorBidi" w:hAnsiTheme="majorBidi" w:cstheme="majorBidi"/>
          <w:b/>
          <w:bCs/>
          <w:i/>
          <w:iCs/>
          <w:lang w:val="es-ES_tradnl"/>
        </w:rPr>
        <w:t>30A</w:t>
      </w:r>
      <w:r w:rsidRPr="00BB7800">
        <w:rPr>
          <w:rFonts w:asciiTheme="majorBidi" w:hAnsiTheme="majorBidi" w:cstheme="majorBidi"/>
          <w:i/>
          <w:iCs/>
          <w:lang w:val="es-ES_tradnl"/>
        </w:rPr>
        <w:t xml:space="preserve">: </w:t>
      </w:r>
    </w:p>
    <w:p w14:paraId="705E5113" w14:textId="77C2E274" w:rsidR="00026805" w:rsidRPr="00BB7800" w:rsidRDefault="00026805" w:rsidP="00026805">
      <w:pPr>
        <w:keepNext/>
        <w:keepLines/>
        <w:spacing w:before="40" w:after="40"/>
        <w:rPr>
          <w:rFonts w:asciiTheme="majorBidi" w:hAnsiTheme="majorBidi" w:cstheme="majorBidi"/>
          <w:i/>
          <w:iCs/>
          <w:lang w:val="es-ES_tradnl"/>
        </w:rPr>
      </w:pPr>
      <w:r w:rsidRPr="00BB7800">
        <w:rPr>
          <w:rFonts w:asciiTheme="majorBidi" w:hAnsiTheme="majorBidi" w:cstheme="majorBidi"/>
          <w:i/>
          <w:iCs/>
          <w:lang w:val="es-ES_tradnl"/>
        </w:rPr>
        <w:t>La Oficina identifica una lista de administraciones cuyas asignaciones se consideran afectadas y reciben más interferencia como resultado de la modificación que la producida por la propuesta inicial de conformidad con el § 4.1.11. La Oficina solicita entonces a la administración notificante que modifique las características notificadas a fin de eliminar la identificación mencionada o aplicar nuevamente las disposiciones del §</w:t>
      </w:r>
      <w:r w:rsidR="00721395">
        <w:rPr>
          <w:rFonts w:asciiTheme="majorBidi" w:hAnsiTheme="majorBidi" w:cstheme="majorBidi"/>
          <w:i/>
          <w:iCs/>
          <w:lang w:val="es-ES_tradnl"/>
        </w:rPr>
        <w:t> </w:t>
      </w:r>
      <w:r w:rsidRPr="00BB7800">
        <w:rPr>
          <w:rFonts w:asciiTheme="majorBidi" w:hAnsiTheme="majorBidi" w:cstheme="majorBidi"/>
          <w:i/>
          <w:iCs/>
          <w:lang w:val="es-ES_tradnl"/>
        </w:rPr>
        <w:t>4.1 de los Apéndices</w:t>
      </w:r>
      <w:r w:rsidR="00A26969">
        <w:rPr>
          <w:rFonts w:asciiTheme="majorBidi" w:hAnsiTheme="majorBidi" w:cstheme="majorBidi"/>
          <w:i/>
          <w:iCs/>
          <w:lang w:val="es-ES_tradnl"/>
        </w:rPr>
        <w:t> </w:t>
      </w:r>
      <w:r w:rsidRPr="00BB7800">
        <w:rPr>
          <w:rFonts w:asciiTheme="majorBidi" w:hAnsiTheme="majorBidi" w:cstheme="majorBidi"/>
          <w:b/>
          <w:bCs/>
          <w:i/>
          <w:iCs/>
          <w:lang w:val="es-ES_tradnl"/>
        </w:rPr>
        <w:t>30</w:t>
      </w:r>
      <w:r w:rsidRPr="00BB7800">
        <w:rPr>
          <w:rFonts w:asciiTheme="majorBidi" w:hAnsiTheme="majorBidi" w:cstheme="majorBidi"/>
          <w:i/>
          <w:iCs/>
          <w:lang w:val="es-ES_tradnl"/>
        </w:rPr>
        <w:t xml:space="preserve"> y </w:t>
      </w:r>
      <w:r w:rsidRPr="00BB7800">
        <w:rPr>
          <w:rFonts w:asciiTheme="majorBidi" w:hAnsiTheme="majorBidi" w:cstheme="majorBidi"/>
          <w:b/>
          <w:bCs/>
          <w:i/>
          <w:iCs/>
          <w:lang w:val="es-ES_tradnl"/>
        </w:rPr>
        <w:t>30A</w:t>
      </w:r>
      <w:r w:rsidRPr="00BB7800">
        <w:rPr>
          <w:rFonts w:asciiTheme="majorBidi" w:hAnsiTheme="majorBidi" w:cstheme="majorBidi"/>
          <w:i/>
          <w:iCs/>
          <w:lang w:val="es-ES_tradnl"/>
        </w:rPr>
        <w:t>.</w:t>
      </w:r>
    </w:p>
    <w:p w14:paraId="6D59292F"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En respuesta a la petición de la Oficina, algunas administraciones han facilitado a la Oficina el acuerdo de la administración identificada de acuerdo con el § 4.1.11.</w:t>
      </w:r>
    </w:p>
    <w:p w14:paraId="108DD468"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Dado que se ha obtenido el acuerdo de aceptar más interferencia y que el § 4.1.11 no impide explícitamente esa posibilidad, la Oficina no ha rechazado tales acuerdos.</w:t>
      </w:r>
    </w:p>
    <w:p w14:paraId="2C1A55A7" w14:textId="4AE84B0D" w:rsidR="00D33E23" w:rsidRPr="001255B1" w:rsidRDefault="00026805" w:rsidP="007B4293">
      <w:pPr>
        <w:spacing w:before="40" w:after="40"/>
        <w:rPr>
          <w:rFonts w:asciiTheme="minorHAnsi" w:hAnsiTheme="minorHAnsi"/>
          <w:i/>
          <w:iCs/>
          <w:lang w:val="es-ES_tradnl"/>
        </w:rPr>
      </w:pPr>
      <w:r w:rsidRPr="00BB7800">
        <w:rPr>
          <w:rFonts w:asciiTheme="majorBidi" w:hAnsiTheme="majorBidi" w:cstheme="majorBidi"/>
          <w:i/>
          <w:iCs/>
          <w:lang w:val="es-ES_tradnl"/>
        </w:rPr>
        <w:t>La CMR-15 ratificó la práctica actual de la BR descrita a grandes rasgos en esta sección.»</w:t>
      </w:r>
      <w:r w:rsidR="0027767D" w:rsidRPr="00BB7800">
        <w:rPr>
          <w:rFonts w:asciiTheme="majorBidi" w:hAnsiTheme="majorBidi" w:cstheme="majorBidi"/>
          <w:i/>
          <w:iCs/>
          <w:lang w:val="es-ES_tradnl"/>
        </w:rPr>
        <w:t xml:space="preserve"> </w:t>
      </w:r>
    </w:p>
    <w:p w14:paraId="0954A02B" w14:textId="77777777" w:rsidR="00CD474A" w:rsidRPr="00271246" w:rsidRDefault="00CD474A">
      <w:pPr>
        <w:pStyle w:val="Heading9"/>
        <w:rPr>
          <w:lang w:val="es-ES_tradnl"/>
        </w:rPr>
      </w:pPr>
      <w:r w:rsidRPr="00271246">
        <w:rPr>
          <w:lang w:val="es-ES_tradnl"/>
        </w:rPr>
        <w:t>4.1.15</w:t>
      </w:r>
    </w:p>
    <w:p w14:paraId="0E914374" w14:textId="77777777" w:rsidR="00CD474A" w:rsidRDefault="00CD474A" w:rsidP="00816FF6">
      <w:pPr>
        <w:rPr>
          <w:lang w:val="es-ES_tradnl"/>
        </w:rPr>
      </w:pPr>
      <w:r w:rsidRPr="00271246">
        <w:rPr>
          <w:lang w:val="es-ES_tradnl"/>
        </w:rPr>
        <w:t>La segunda parte de estas disposiciones se aplica solamente a las asignaciones en relación con las cuales se haya aplicado con éxito el procedimiento del Artículo 4, es decir, cuando todas las administraciones identificadas por la Oficina en aplicación de los §</w:t>
      </w:r>
      <w:r w:rsidR="00816FF6" w:rsidRPr="00271246">
        <w:rPr>
          <w:lang w:val="es-ES_tradnl"/>
        </w:rPr>
        <w:t> </w:t>
      </w:r>
      <w:r w:rsidRPr="00271246">
        <w:rPr>
          <w:lang w:val="es-ES_tradnl"/>
        </w:rPr>
        <w:t>4.1.5 ó 4.2.8, y los § 4.1.7 ó 4.2.10 hayan dado ya su acuerdo o no hayan formulado comentarios sobre la propuesta de asignación nueva o modificada en las Listas de enlaces de conexión de las Regiones</w:t>
      </w:r>
      <w:r w:rsidR="00DF3A07" w:rsidRPr="00271246">
        <w:rPr>
          <w:lang w:val="es-ES_tradnl"/>
        </w:rPr>
        <w:t> </w:t>
      </w:r>
      <w:r w:rsidRPr="00271246">
        <w:rPr>
          <w:lang w:val="es-ES_tradnl"/>
        </w:rPr>
        <w:t>1 y 3, o sobre la propuesta de modificación del Plan de la Región</w:t>
      </w:r>
      <w:r w:rsidR="00816FF6" w:rsidRPr="00271246">
        <w:rPr>
          <w:lang w:val="es-ES_tradnl"/>
        </w:rPr>
        <w:t> </w:t>
      </w:r>
      <w:r w:rsidRPr="00271246">
        <w:rPr>
          <w:lang w:val="es-ES_tradnl"/>
        </w:rPr>
        <w:t>2.</w:t>
      </w:r>
    </w:p>
    <w:p w14:paraId="5DB42E88" w14:textId="77777777" w:rsidR="004C372C" w:rsidRPr="00271246" w:rsidRDefault="004C372C" w:rsidP="00816FF6">
      <w:pPr>
        <w:rPr>
          <w:lang w:val="es-ES_tradnl"/>
        </w:rPr>
      </w:pPr>
    </w:p>
    <w:p w14:paraId="03AFCC35" w14:textId="77777777" w:rsidR="004C372C" w:rsidRDefault="004C372C">
      <w:pPr>
        <w:tabs>
          <w:tab w:val="clear" w:pos="1134"/>
          <w:tab w:val="clear" w:pos="1871"/>
          <w:tab w:val="clear" w:pos="2268"/>
        </w:tabs>
        <w:overflowPunct/>
        <w:autoSpaceDE/>
        <w:autoSpaceDN/>
        <w:adjustRightInd/>
        <w:spacing w:before="0"/>
        <w:jc w:val="left"/>
        <w:textAlignment w:val="auto"/>
        <w:rPr>
          <w:lang w:val="es-ES_tradnl"/>
        </w:rPr>
        <w:sectPr w:rsidR="004C372C" w:rsidSect="00732E78">
          <w:headerReference w:type="even" r:id="rId8"/>
          <w:headerReference w:type="default" r:id="rId9"/>
          <w:footnotePr>
            <w:pos w:val="beneathText"/>
            <w:numFmt w:val="chicago"/>
          </w:footnotePr>
          <w:pgSz w:w="11907" w:h="16840" w:code="9"/>
          <w:pgMar w:top="1701" w:right="851" w:bottom="1134" w:left="1985" w:header="720" w:footer="482" w:gutter="0"/>
          <w:cols w:space="720"/>
          <w:vAlign w:val="both"/>
        </w:sectPr>
      </w:pPr>
    </w:p>
    <w:p w14:paraId="168128E9" w14:textId="77777777" w:rsidR="00CD474A" w:rsidRPr="00271246" w:rsidRDefault="00CD474A">
      <w:pPr>
        <w:rPr>
          <w:lang w:val="es-ES_tradnl"/>
        </w:rPr>
      </w:pPr>
      <w:r w:rsidRPr="00271246">
        <w:rPr>
          <w:lang w:val="es-ES_tradnl"/>
        </w:rPr>
        <w:lastRenderedPageBreak/>
        <w:t>La Oficina deberá actualizar la situación de referencia de las inscripciones en los Planes y Listas de enlaces de conexión para las Regiones 1 y 3 o en el Plan de la Región 2 y de aquellas que sean objeto de solicitudes de asignaciones nuevas o modificadas en las Listas de enlaces de conexión de las Regiones 1 y 3 o de modificación del Plan de la Región 2 que se encuentren todavía en la fase de aplicación del Artículo 4. No obstante, la Oficina no tendrá que volver a realizar los cálculos para determinar cuáles son las administraciones afectadas como consecuencia de la actualización mencionada.</w:t>
      </w:r>
    </w:p>
    <w:p w14:paraId="740B38B3" w14:textId="77777777" w:rsidR="00CD474A" w:rsidRPr="00271246" w:rsidRDefault="00CD474A">
      <w:pPr>
        <w:pStyle w:val="Heading9"/>
        <w:rPr>
          <w:lang w:val="es-ES_tradnl"/>
        </w:rPr>
      </w:pPr>
      <w:r w:rsidRPr="00271246">
        <w:rPr>
          <w:lang w:val="es-ES_tradnl"/>
        </w:rPr>
        <w:t>4.1.23</w:t>
      </w:r>
    </w:p>
    <w:p w14:paraId="6D8B24DC" w14:textId="77777777" w:rsidR="00CD474A" w:rsidRDefault="00CD474A">
      <w:pPr>
        <w:rPr>
          <w:lang w:val="es-ES_tradnl"/>
        </w:rPr>
      </w:pPr>
      <w:r w:rsidRPr="00271246">
        <w:rPr>
          <w:lang w:val="es-ES_tradnl"/>
        </w:rPr>
        <w:t>Si las asignaciones en cuestión se suprimen de las Listas de enlaces de conexión para las Regiones 1 y 3 o del Plan de la Región 2, la Oficina actualizará la situación de referencia de las asignaciones en los Planes y Listas de enlaces de conexión de las Regiones 1 y 3 o del Plan de la Región 2 y de las asignaciones con arreglo al procedimiento del Artículo 4 e informará a todas las administraciones de las medidas adoptadas y de las Secciones especiales publicadas como consecuencia de la anulación de las asignaciones de frecuencia de las Listas de enlaces de conexión de las Regiones 1 y 3 o del Plan de la Región 2. La Oficina no tendrá que volver a realizar los cálculos para determinar cuáles son las administraciones afectadas como consecuencia de la anulación mencionada.</w:t>
      </w:r>
    </w:p>
    <w:p w14:paraId="564337B5" w14:textId="05A2F65B" w:rsidR="0086622E" w:rsidRPr="0086622E" w:rsidRDefault="0086622E" w:rsidP="0086622E">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val="es-ES"/>
        </w:rPr>
      </w:pPr>
      <w:r w:rsidRPr="0086622E">
        <w:rPr>
          <w:rFonts w:asciiTheme="majorBidi" w:hAnsiTheme="majorBidi" w:cstheme="majorBidi"/>
          <w:b/>
          <w:lang w:val="es-ES"/>
        </w:rPr>
        <w:t>4.1.31</w:t>
      </w:r>
    </w:p>
    <w:p w14:paraId="11098EAF" w14:textId="77777777" w:rsidR="0086622E" w:rsidRPr="0086622E" w:rsidRDefault="0086622E" w:rsidP="0086622E">
      <w:pPr>
        <w:rPr>
          <w:lang w:val="es-ES"/>
        </w:rPr>
      </w:pPr>
      <w:r w:rsidRPr="0086622E">
        <w:rPr>
          <w:lang w:val="es-ES"/>
        </w:rPr>
        <w:t>La Junta entiende que esta disposición se aplica exclusivamente a las redes de satélites identificadas con arreglo al § 4.1.1 </w:t>
      </w:r>
      <w:r w:rsidRPr="0086622E">
        <w:rPr>
          <w:i/>
          <w:iCs/>
          <w:lang w:val="es-ES"/>
        </w:rPr>
        <w:t>b)</w:t>
      </w:r>
      <w:r w:rsidRPr="0086622E">
        <w:rPr>
          <w:lang w:val="es-ES"/>
        </w:rPr>
        <w:t xml:space="preserve"> del Artículo 4 del Apéndice </w:t>
      </w:r>
      <w:r w:rsidRPr="0086622E">
        <w:rPr>
          <w:b/>
          <w:bCs/>
          <w:lang w:val="es-ES"/>
        </w:rPr>
        <w:t>30A</w:t>
      </w:r>
      <w:r w:rsidRPr="0086622E">
        <w:rPr>
          <w:lang w:val="es-ES"/>
        </w:rPr>
        <w:t>. Dicha red de satélites deberá haber sido inscrita en la Lista, notificada y puesta en servicio en el momento de su identificación con arreglo al § 4.1.1 </w:t>
      </w:r>
      <w:r w:rsidRPr="0086622E">
        <w:rPr>
          <w:i/>
          <w:iCs/>
          <w:lang w:val="es-ES"/>
        </w:rPr>
        <w:t>b)</w:t>
      </w:r>
      <w:r w:rsidRPr="0086622E">
        <w:rPr>
          <w:lang w:val="es-ES"/>
        </w:rPr>
        <w:t xml:space="preserve"> o en el momento en que la Oficina reciba una solicitud de asistencia con arreglo al § 4.1.31.</w:t>
      </w:r>
    </w:p>
    <w:p w14:paraId="36B39423" w14:textId="77777777" w:rsidR="0086622E" w:rsidRPr="0086622E" w:rsidRDefault="0086622E" w:rsidP="0086622E">
      <w:pPr>
        <w:rPr>
          <w:lang w:val="es-ES"/>
        </w:rPr>
      </w:pPr>
      <w:r w:rsidRPr="0086622E">
        <w:rPr>
          <w:lang w:val="es-ES"/>
        </w:rPr>
        <w:t>La Junta decidió que, al recibir una solicitud de asistencia de la administración notificante en aplicación del § 4.1.30 o de una administración identificada con arreglo al § 4.1.1 </w:t>
      </w:r>
      <w:r w:rsidRPr="0086622E">
        <w:rPr>
          <w:i/>
          <w:iCs/>
          <w:lang w:val="es-ES"/>
        </w:rPr>
        <w:t>b)</w:t>
      </w:r>
      <w:r w:rsidRPr="0086622E">
        <w:rPr>
          <w:lang w:val="es-ES"/>
        </w:rPr>
        <w:t xml:space="preserve"> del Apéndice </w:t>
      </w:r>
      <w:r w:rsidRPr="0086622E">
        <w:rPr>
          <w:b/>
          <w:bCs/>
          <w:lang w:val="es-ES"/>
        </w:rPr>
        <w:t>30A</w:t>
      </w:r>
      <w:r w:rsidRPr="0086622E">
        <w:rPr>
          <w:lang w:val="es-ES"/>
        </w:rPr>
        <w:t>, la Oficina solicitará a la administración notificante de las redes de satélite identificadas como afectadas que facilite sus parámetros operativos reales en un plazo de 30 días. De no recibir respuesta en el plazo de 30 días, la Oficina enviará un recordatorio concediéndole un plazo adicional de 15 días para responder.</w:t>
      </w:r>
    </w:p>
    <w:p w14:paraId="2246D4EA" w14:textId="77777777" w:rsidR="0086622E" w:rsidRDefault="0086622E" w:rsidP="0086622E">
      <w:pPr>
        <w:rPr>
          <w:lang w:val="es-ES"/>
        </w:rPr>
      </w:pPr>
      <w:r w:rsidRPr="0086622E">
        <w:rPr>
          <w:lang w:val="es-ES"/>
        </w:rPr>
        <w:t>Una vez recibidos los parámetros operativos solicitados, la Oficina realizará el análisis de compatibilidad utilizando dichos parámetros en lugar de los parámetros correspondientes de la red de satélites afectada que figuran en la Lista. El análisis de compatibilidad se realizará aplicando los mismos principios que los utilizados en el examen con arreglo al § 4.1.1 </w:t>
      </w:r>
      <w:r w:rsidRPr="0086622E">
        <w:rPr>
          <w:i/>
          <w:iCs/>
          <w:lang w:val="es-ES"/>
        </w:rPr>
        <w:t>b)</w:t>
      </w:r>
      <w:r w:rsidRPr="0086622E">
        <w:rPr>
          <w:lang w:val="es-ES"/>
        </w:rPr>
        <w:t xml:space="preserve"> o en aplicación del número 9</w:t>
      </w:r>
      <w:r w:rsidRPr="0086622E">
        <w:rPr>
          <w:i/>
          <w:iCs/>
          <w:lang w:val="es-ES"/>
        </w:rPr>
        <w:t>bis</w:t>
      </w:r>
      <w:r w:rsidRPr="0086622E">
        <w:rPr>
          <w:lang w:val="es-ES"/>
        </w:rPr>
        <w:t xml:space="preserve"> del § 4.1.12, según proceda, y la base de datos principal más reciente disponible del Apéndice </w:t>
      </w:r>
      <w:r w:rsidRPr="0086622E">
        <w:rPr>
          <w:b/>
          <w:bCs/>
          <w:lang w:val="es-ES"/>
        </w:rPr>
        <w:t>30</w:t>
      </w:r>
      <w:r w:rsidRPr="0086622E">
        <w:rPr>
          <w:lang w:val="es-ES"/>
        </w:rPr>
        <w:t>/</w:t>
      </w:r>
      <w:r w:rsidRPr="0086622E">
        <w:rPr>
          <w:b/>
          <w:bCs/>
          <w:lang w:val="es-ES"/>
        </w:rPr>
        <w:t>30A</w:t>
      </w:r>
      <w:r w:rsidRPr="0086622E">
        <w:rPr>
          <w:lang w:val="es-ES"/>
        </w:rPr>
        <w:t>.</w:t>
      </w:r>
      <w:r w:rsidRPr="0086622E">
        <w:rPr>
          <w:rStyle w:val="FootnoteReference"/>
          <w:lang w:val="es-ES"/>
        </w:rPr>
        <w:footnoteReference w:customMarkFollows="1" w:id="3"/>
        <w:t>1</w:t>
      </w:r>
      <w:r w:rsidRPr="0086622E">
        <w:rPr>
          <w:rStyle w:val="FootnoteReference"/>
          <w:i/>
          <w:iCs/>
          <w:lang w:val="es-ES"/>
        </w:rPr>
        <w:t>bis</w:t>
      </w:r>
      <w:r w:rsidRPr="0086622E">
        <w:rPr>
          <w:lang w:val="es-ES"/>
        </w:rPr>
        <w:t xml:space="preserve"> La Oficina informará a ambas administraciones de los resultados de su análisis de compatibilidad.</w:t>
      </w:r>
    </w:p>
    <w:p w14:paraId="58D8F3D5" w14:textId="4327F355" w:rsidR="0086622E" w:rsidRDefault="0086622E" w:rsidP="0086622E">
      <w:pPr>
        <w:rPr>
          <w:lang w:val="es-ES"/>
        </w:rPr>
      </w:pPr>
      <w:r>
        <w:rPr>
          <w:lang w:val="es-ES"/>
        </w:rPr>
        <w:br w:type="page"/>
      </w:r>
    </w:p>
    <w:p w14:paraId="1262D274" w14:textId="77777777" w:rsidR="0086622E" w:rsidRPr="0086622E" w:rsidRDefault="0086622E" w:rsidP="0086622E">
      <w:pPr>
        <w:rPr>
          <w:lang w:val="es-ES"/>
        </w:rPr>
      </w:pPr>
      <w:r w:rsidRPr="0086622E">
        <w:rPr>
          <w:lang w:val="es-ES"/>
        </w:rPr>
        <w:lastRenderedPageBreak/>
        <w:t>Asimismo, se invitará a la administración notificante de la red afectada a modificar las características de las asignaciones de frecuencias inscritas en el Registro con el fin de ajustarlas a sus parámetros operativos reales.</w:t>
      </w:r>
    </w:p>
    <w:p w14:paraId="0332307E" w14:textId="74305D84" w:rsidR="0086622E" w:rsidRDefault="0086622E" w:rsidP="0086622E">
      <w:pPr>
        <w:rPr>
          <w:lang w:val="es-ES_tradnl"/>
        </w:rPr>
      </w:pPr>
      <w:r w:rsidRPr="0086622E">
        <w:rPr>
          <w:lang w:val="es-ES"/>
        </w:rPr>
        <w:t>La Junta llegó a la conclusión de que, si no se recibe respuesta al recordatorio en un plazo de 15 días, la Oficina deberá informar a las administraciones afectadas de que no está en condiciones de realizar el análisis de compatibilidad con arreglo al § 4.1.31.</w:t>
      </w:r>
    </w:p>
    <w:p w14:paraId="05B812FB" w14:textId="0E6325E4" w:rsidR="0086622E" w:rsidRPr="00CD1FE2" w:rsidRDefault="0086622E" w:rsidP="0086622E">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val="es-ES"/>
        </w:rPr>
      </w:pPr>
      <w:r w:rsidRPr="00CD1FE2">
        <w:rPr>
          <w:rFonts w:asciiTheme="majorBidi" w:hAnsiTheme="majorBidi" w:cstheme="majorBidi"/>
          <w:b/>
          <w:lang w:val="es-ES"/>
        </w:rPr>
        <w:t>4.1.32</w:t>
      </w:r>
    </w:p>
    <w:p w14:paraId="0DFEADAA" w14:textId="77777777" w:rsidR="00CD1FE2" w:rsidRPr="00CD1FE2" w:rsidRDefault="00CD1FE2" w:rsidP="00CD1FE2">
      <w:pPr>
        <w:rPr>
          <w:lang w:val="es-ES"/>
        </w:rPr>
      </w:pPr>
      <w:r w:rsidRPr="00CD1FE2">
        <w:rPr>
          <w:lang w:val="es-ES"/>
        </w:rPr>
        <w:t>1</w:t>
      </w:r>
      <w:r w:rsidRPr="00CD1FE2">
        <w:rPr>
          <w:lang w:val="es-ES"/>
        </w:rPr>
        <w:tab/>
        <w:t xml:space="preserve">Esta disposición indica a la Oficina cómo generar el diagrama de ganancia de antena del satélite para una asignación de frecuencias incluida en la Lista de enlaces de conexión de las Regiones 1 y 3 al examinar una notificación con arreglo al § 4.1.30. El primer paso para generar el diagrama es crear el contorno de </w:t>
      </w:r>
      <w:r w:rsidRPr="00F13FB7">
        <w:rPr>
          <w:lang w:val="es-ES"/>
        </w:rPr>
        <w:t>−</w:t>
      </w:r>
      <w:r w:rsidRPr="00CD1FE2">
        <w:rPr>
          <w:lang w:val="es-ES"/>
        </w:rPr>
        <w:t>10 dB de elipses mínimas para todos los territorios dentro de cada zona de servicio de la red o redes de satélites identificadas conforme al § 4.1.1b) del Apéndice </w:t>
      </w:r>
      <w:r w:rsidRPr="00CD1FE2">
        <w:rPr>
          <w:b/>
          <w:bCs/>
          <w:lang w:val="es-ES"/>
        </w:rPr>
        <w:t>30A</w:t>
      </w:r>
      <w:r w:rsidRPr="00CD1FE2">
        <w:rPr>
          <w:lang w:val="es-ES"/>
        </w:rPr>
        <w:t xml:space="preserve">. Se plantea la cuestión de qué diagrama de antena de estación espacial deberá utilizar al aplicar el § 4.1.32. La Junta encargó a la Oficina que para crear la elipse mínima que abarca el territorio y el contorno de </w:t>
      </w:r>
      <w:r w:rsidRPr="00F13FB7">
        <w:rPr>
          <w:lang w:val="es-ES"/>
        </w:rPr>
        <w:t>−</w:t>
      </w:r>
      <w:r w:rsidRPr="00CD1FE2">
        <w:rPr>
          <w:lang w:val="es-ES"/>
        </w:rPr>
        <w:t>10 dB de cada elipse mínima individual utilizara el diagrama de antena de la estación espacial receptora de referencia del Apéndice </w:t>
      </w:r>
      <w:r w:rsidRPr="00CD1FE2">
        <w:rPr>
          <w:b/>
          <w:bCs/>
          <w:lang w:val="es-ES"/>
        </w:rPr>
        <w:t>30A</w:t>
      </w:r>
      <w:r w:rsidRPr="00CD1FE2">
        <w:rPr>
          <w:lang w:val="es-ES"/>
        </w:rPr>
        <w:t xml:space="preserve"> para las Regiones 1 y 3 sin pendiente rápida. El diagrama corresponde al código de diagrama APSRR_403V01 de la Biblioteca de Diagramas de Antena que mantiene la Oficina.</w:t>
      </w:r>
    </w:p>
    <w:p w14:paraId="7E58FB11" w14:textId="77777777" w:rsidR="00CD1FE2" w:rsidRPr="00CD1FE2" w:rsidRDefault="00CD1FE2" w:rsidP="00CD1FE2">
      <w:pPr>
        <w:rPr>
          <w:lang w:val="es-ES"/>
        </w:rPr>
      </w:pPr>
      <w:r w:rsidRPr="00CD1FE2">
        <w:rPr>
          <w:lang w:val="es-ES"/>
        </w:rPr>
        <w:t>2</w:t>
      </w:r>
      <w:r w:rsidRPr="00CD1FE2">
        <w:rPr>
          <w:lang w:val="es-ES"/>
        </w:rPr>
        <w:tab/>
        <w:t>Para garantizar que haya un número suficiente de puntos de prueba para generar cada elipse mínima, cada conjunto de puntos de prueba por territorio nacional deberá ser el que figura en la correspondiente asignación del Plan de enlaces de conexión más los puntos de prueba presentados originalmente vinculados a la zona de servicio y situados dentro de ese territorio. Si el número total de puntos de prueba para cualquier territorio de una zona de servicio es inferior a 20, la Oficina consultará a la administración notificante de la red de satélites correspondiente para averiguar si desea añadir más puntos de prueba para ese territorio.</w:t>
      </w:r>
    </w:p>
    <w:p w14:paraId="36A4B0BD" w14:textId="77777777" w:rsidR="00CD1FE2" w:rsidRPr="00CD1FE2" w:rsidRDefault="00CD1FE2" w:rsidP="00CD1FE2">
      <w:pPr>
        <w:rPr>
          <w:lang w:val="es-ES"/>
        </w:rPr>
      </w:pPr>
      <w:r w:rsidRPr="00CD1FE2">
        <w:rPr>
          <w:lang w:val="es-ES"/>
        </w:rPr>
        <w:t>3</w:t>
      </w:r>
      <w:r w:rsidRPr="00CD1FE2">
        <w:rPr>
          <w:lang w:val="es-ES"/>
        </w:rPr>
        <w:tab/>
        <w:t>Para crear las elipses mínimas, la Junta decidió que se debería tener en cuenta una precisión de rotación de 1,0° y un error de puntería de 0,1°.</w:t>
      </w:r>
    </w:p>
    <w:p w14:paraId="65EE6DCC" w14:textId="671D1C59" w:rsidR="0086622E" w:rsidRDefault="00CD1FE2" w:rsidP="00CD1FE2">
      <w:pPr>
        <w:rPr>
          <w:lang w:val="es-ES_tradnl"/>
        </w:rPr>
      </w:pPr>
      <w:r w:rsidRPr="00CD1FE2">
        <w:rPr>
          <w:lang w:val="es-ES"/>
        </w:rPr>
        <w:t>4</w:t>
      </w:r>
      <w:r w:rsidRPr="00CD1FE2">
        <w:rPr>
          <w:lang w:val="es-ES"/>
        </w:rPr>
        <w:tab/>
        <w:t>Los puntos de prueba obtenidos de las asignaciones nacionales del Plan de los enlaces de conexión o añadidos al aplicar el § 4.1.32 sólo sirven para generar las elipses mínimas y las elipses combinadas y no se utilizarán en los exámenes técnicos.</w:t>
      </w:r>
    </w:p>
    <w:p w14:paraId="4F7A1B28" w14:textId="5A89683C" w:rsidR="00CD1FE2" w:rsidRDefault="00CD1FE2" w:rsidP="00CD1FE2">
      <w:pPr>
        <w:keepNext/>
        <w:keepLines/>
        <w:pBdr>
          <w:top w:val="double" w:sz="6" w:space="1" w:color="auto"/>
          <w:left w:val="double" w:sz="6" w:space="1" w:color="auto"/>
          <w:bottom w:val="double" w:sz="6" w:space="1" w:color="auto"/>
          <w:right w:val="double" w:sz="6" w:space="1" w:color="auto"/>
        </w:pBdr>
        <w:spacing w:before="400"/>
        <w:ind w:left="85" w:right="7938"/>
        <w:outlineLvl w:val="7"/>
        <w:rPr>
          <w:sz w:val="16"/>
          <w:szCs w:val="16"/>
        </w:rPr>
      </w:pPr>
      <w:r w:rsidRPr="00F808BD">
        <w:rPr>
          <w:rFonts w:asciiTheme="majorBidi" w:hAnsiTheme="majorBidi" w:cstheme="majorBidi"/>
          <w:b/>
        </w:rPr>
        <w:t>4.1.3</w:t>
      </w:r>
      <w:r>
        <w:rPr>
          <w:rFonts w:asciiTheme="majorBidi" w:hAnsiTheme="majorBidi" w:cstheme="majorBidi"/>
          <w:b/>
        </w:rPr>
        <w:t>3</w:t>
      </w:r>
    </w:p>
    <w:p w14:paraId="4BC7DAD0" w14:textId="77777777" w:rsidR="00CD1FE2" w:rsidRDefault="00CD1FE2" w:rsidP="00CD1FE2">
      <w:pPr>
        <w:rPr>
          <w:lang w:val="es-ES"/>
        </w:rPr>
      </w:pPr>
      <w:r w:rsidRPr="00A805B4">
        <w:rPr>
          <w:lang w:val="es-ES"/>
        </w:rPr>
        <w:t xml:space="preserve">La Junta entiende que la </w:t>
      </w:r>
      <w:r>
        <w:rPr>
          <w:lang w:val="es-ES"/>
        </w:rPr>
        <w:t>«</w:t>
      </w:r>
      <w:r w:rsidRPr="00A805B4">
        <w:rPr>
          <w:lang w:val="es-ES"/>
        </w:rPr>
        <w:t>última asignación</w:t>
      </w:r>
      <w:r>
        <w:rPr>
          <w:lang w:val="es-ES"/>
        </w:rPr>
        <w:t>»</w:t>
      </w:r>
      <w:r w:rsidRPr="00A805B4">
        <w:rPr>
          <w:lang w:val="es-ES"/>
        </w:rPr>
        <w:t xml:space="preserve"> a que se hace referencia en este número se refiere a una asignación de frecuencias identificada como potencialmente afectada al examinar la notificación sujeta al </w:t>
      </w:r>
      <w:r>
        <w:rPr>
          <w:lang w:val="es-ES"/>
        </w:rPr>
        <w:t>§ </w:t>
      </w:r>
      <w:r w:rsidRPr="00A805B4">
        <w:rPr>
          <w:lang w:val="es-ES"/>
        </w:rPr>
        <w:t>4.1.30.</w:t>
      </w:r>
    </w:p>
    <w:p w14:paraId="245D0241" w14:textId="77777777" w:rsidR="00CD1FE2" w:rsidRDefault="00CD1FE2" w:rsidP="00CD1FE2">
      <w:pPr>
        <w:rPr>
          <w:lang w:val="es-ES"/>
        </w:rPr>
        <w:sectPr w:rsidR="00CD1FE2" w:rsidSect="00732E78">
          <w:headerReference w:type="even" r:id="rId10"/>
          <w:headerReference w:type="default" r:id="rId11"/>
          <w:footnotePr>
            <w:pos w:val="beneathText"/>
            <w:numFmt w:val="chicago"/>
          </w:footnotePr>
          <w:pgSz w:w="11907" w:h="16840" w:code="9"/>
          <w:pgMar w:top="1701" w:right="851" w:bottom="1134" w:left="1985" w:header="720" w:footer="482" w:gutter="0"/>
          <w:cols w:space="720"/>
          <w:vAlign w:val="both"/>
        </w:sectPr>
      </w:pPr>
    </w:p>
    <w:p w14:paraId="7B48B41F" w14:textId="246C9C47" w:rsidR="00CD1FE2" w:rsidRDefault="00CD1FE2" w:rsidP="00CD1FE2">
      <w:pPr>
        <w:rPr>
          <w:lang w:val="es-ES"/>
        </w:rPr>
      </w:pPr>
      <w:r w:rsidRPr="00CD1FE2">
        <w:rPr>
          <w:lang w:val="es-ES"/>
        </w:rPr>
        <w:lastRenderedPageBreak/>
        <w:t>Con respecto a la condición para no actualizar la situación de referencia de una asignación de frecuencias que sigue estando identificada como afectada, no queda claro si «sobre la base de su zona de cobertura del enlace de conexión notificada» se refiere a la zona de cobertura notificada originalmente (es decir, la que figura en la Lista) o a la zona de cobertura que se notificó como «parámetro operativo real» en aplicación del § 4.1.31. Además, esta disposición no da instrucciones claras sobre si la situación de referencia de la red de satélites «que sigue estando afectada» debe actualizarse cuando las administraciones interesadas lleguen a un acuerdo en virtud del § 4.1.30</w:t>
      </w:r>
      <w:r w:rsidRPr="00CD1FE2">
        <w:rPr>
          <w:i/>
          <w:iCs/>
          <w:lang w:val="es-ES"/>
        </w:rPr>
        <w:t>bis</w:t>
      </w:r>
      <w:r w:rsidRPr="00CD1FE2">
        <w:rPr>
          <w:lang w:val="es-ES"/>
        </w:rPr>
        <w:t>.</w:t>
      </w:r>
    </w:p>
    <w:p w14:paraId="79FA7507" w14:textId="224990E7" w:rsidR="00CD1FE2" w:rsidRPr="00CD1FE2" w:rsidRDefault="00CD1FE2" w:rsidP="00CD1FE2">
      <w:pPr>
        <w:rPr>
          <w:lang w:val="es-ES"/>
        </w:rPr>
      </w:pPr>
      <w:r w:rsidRPr="00CD1FE2">
        <w:rPr>
          <w:lang w:val="es-ES"/>
        </w:rPr>
        <w:t>Por consiguiente, la Junta encargó a la Oficina que, cuando se inscriba en la Lista una asignación de frecuencias sujeta al § 4.1.30, consulte a las administraciones interesadas y no actualice la situación de referencia de las asignaciones de frecuencias que siguen estando identificadas como afectadas, basada en la zona de cobertura notificada originalmente, a menos que ambas partes acuerden actualizar la situación de referencia.</w:t>
      </w:r>
    </w:p>
    <w:p w14:paraId="0E11F340" w14:textId="77777777" w:rsidR="00CD474A" w:rsidRPr="00271246" w:rsidRDefault="00CD474A">
      <w:pPr>
        <w:pStyle w:val="Heading9"/>
        <w:rPr>
          <w:lang w:val="es-ES_tradnl"/>
        </w:rPr>
      </w:pPr>
      <w:r w:rsidRPr="00271246">
        <w:rPr>
          <w:lang w:val="es-ES_tradnl"/>
        </w:rPr>
        <w:t xml:space="preserve">4.2.1 </w:t>
      </w:r>
      <w:r w:rsidRPr="00271246">
        <w:rPr>
          <w:i/>
          <w:iCs/>
          <w:lang w:val="es-ES_tradnl"/>
        </w:rPr>
        <w:t>a)</w:t>
      </w:r>
    </w:p>
    <w:p w14:paraId="61ADA44E" w14:textId="77777777" w:rsidR="00CD474A" w:rsidRDefault="00CD474A" w:rsidP="00271246">
      <w:pPr>
        <w:rPr>
          <w:lang w:val="es-ES_tradnl"/>
        </w:rPr>
      </w:pPr>
      <w:r w:rsidRPr="00271246">
        <w:rPr>
          <w:lang w:val="es-ES_tradnl"/>
        </w:rPr>
        <w:t xml:space="preserve">Este punto se refiere a la modificación en el sentido de cambio de </w:t>
      </w:r>
      <w:r w:rsidRPr="00E323E5">
        <w:rPr>
          <w:i/>
          <w:iCs/>
          <w:lang w:val="es-ES_tradnl"/>
        </w:rPr>
        <w:t>«las características de</w:t>
      </w:r>
      <w:r w:rsidR="00816FF6" w:rsidRPr="00E323E5">
        <w:rPr>
          <w:i/>
          <w:iCs/>
          <w:lang w:val="es-ES_tradnl"/>
        </w:rPr>
        <w:t> </w:t>
      </w:r>
      <w:r w:rsidRPr="00E323E5">
        <w:rPr>
          <w:i/>
          <w:iCs/>
          <w:lang w:val="es-ES_tradnl"/>
        </w:rPr>
        <w:t>cualquiera de sus asignaciones de frecuencia del servicio fijo por satélite (SFS) que figuren en el Plan para el enlace de conexión de la Región 2»</w:t>
      </w:r>
      <w:r w:rsidRPr="00271246">
        <w:rPr>
          <w:lang w:val="es-ES_tradnl"/>
        </w:rPr>
        <w:t>. El Plan del Artículo</w:t>
      </w:r>
      <w:r w:rsidR="00816FF6" w:rsidRPr="00271246">
        <w:rPr>
          <w:lang w:val="es-ES_tradnl"/>
        </w:rPr>
        <w:t xml:space="preserve"> </w:t>
      </w:r>
      <w:r w:rsidRPr="00271246">
        <w:rPr>
          <w:lang w:val="es-ES_tradnl"/>
        </w:rPr>
        <w:t>9 contiene sólo ocho características, mientras que el Anexo</w:t>
      </w:r>
      <w:r w:rsidR="0067205D" w:rsidRPr="00271246">
        <w:rPr>
          <w:lang w:val="es-ES_tradnl"/>
        </w:rPr>
        <w:t xml:space="preserve"> </w:t>
      </w:r>
      <w:r w:rsidRPr="00271246">
        <w:rPr>
          <w:lang w:val="es-ES_tradnl"/>
        </w:rPr>
        <w:t>2 contiene un gran número de características que fueron utilizadas por la CARR</w:t>
      </w:r>
      <w:r w:rsidR="00271246">
        <w:rPr>
          <w:lang w:val="es-ES_tradnl"/>
        </w:rPr>
        <w:t>-</w:t>
      </w:r>
      <w:r w:rsidRPr="00271246">
        <w:rPr>
          <w:lang w:val="es-ES_tradnl"/>
        </w:rPr>
        <w:t>SAT-R2 (Ginebra, 1983) para establecer el Plan. La Junta estima que las modificaciones de otras características no enumeradas en el Artículo</w:t>
      </w:r>
      <w:r w:rsidR="0067205D" w:rsidRPr="00271246">
        <w:rPr>
          <w:lang w:val="es-ES_tradnl"/>
        </w:rPr>
        <w:t xml:space="preserve"> </w:t>
      </w:r>
      <w:r w:rsidRPr="00271246">
        <w:rPr>
          <w:lang w:val="es-ES_tradnl"/>
        </w:rPr>
        <w:t>9 pueden considerarse modificaciones del Plan. Esas otras características se enumeran en las Reglas de Procedimiento relativas al § 5.2.1</w:t>
      </w:r>
      <w:r w:rsidR="00816FF6" w:rsidRPr="00271246">
        <w:rPr>
          <w:lang w:val="es-ES_tradnl"/>
        </w:rPr>
        <w:t> </w:t>
      </w:r>
      <w:r w:rsidRPr="00271246">
        <w:rPr>
          <w:i/>
          <w:lang w:val="es-ES_tradnl"/>
        </w:rPr>
        <w:t>b)</w:t>
      </w:r>
      <w:r w:rsidRPr="00271246">
        <w:rPr>
          <w:lang w:val="es-ES_tradnl"/>
        </w:rPr>
        <w:t xml:space="preserve"> del Artículo 5.</w:t>
      </w:r>
    </w:p>
    <w:p w14:paraId="5D853E2B" w14:textId="77777777" w:rsidR="00B662A3" w:rsidRPr="00271246" w:rsidRDefault="00B662A3" w:rsidP="00B662A3">
      <w:pPr>
        <w:spacing w:before="0"/>
        <w:rPr>
          <w:lang w:val="es-ES_tradnl"/>
        </w:rPr>
      </w:pPr>
      <w:r w:rsidRPr="00271246">
        <w:rPr>
          <w:lang w:val="es-ES_tradnl"/>
        </w:rPr>
        <w:t>Véanse también las Reglas de Procedimiento relativas al § 4.2.6.</w:t>
      </w:r>
    </w:p>
    <w:p w14:paraId="5BAEDECC" w14:textId="77777777" w:rsidR="00B662A3" w:rsidRPr="00271246" w:rsidRDefault="00B662A3" w:rsidP="00B662A3">
      <w:pPr>
        <w:pStyle w:val="Heading9"/>
        <w:rPr>
          <w:lang w:val="es-ES_tradnl"/>
        </w:rPr>
      </w:pPr>
      <w:r w:rsidRPr="00271246">
        <w:rPr>
          <w:lang w:val="es-ES_tradnl"/>
        </w:rPr>
        <w:t xml:space="preserve">4.2.1 </w:t>
      </w:r>
      <w:r w:rsidRPr="00271246">
        <w:rPr>
          <w:i/>
          <w:iCs/>
          <w:lang w:val="es-ES_tradnl"/>
        </w:rPr>
        <w:t>b)</w:t>
      </w:r>
    </w:p>
    <w:p w14:paraId="5EA61684" w14:textId="77777777" w:rsidR="00B662A3" w:rsidRPr="00271246" w:rsidRDefault="00B662A3" w:rsidP="00B662A3">
      <w:pPr>
        <w:rPr>
          <w:lang w:val="es-ES_tradnl"/>
        </w:rPr>
      </w:pPr>
      <w:r w:rsidRPr="00271246">
        <w:rPr>
          <w:lang w:val="es-ES_tradnl"/>
        </w:rPr>
        <w:t>Véanse las Reglas de Procedimiento relativas al § 4.2.1 </w:t>
      </w:r>
      <w:r w:rsidRPr="00271246">
        <w:rPr>
          <w:i/>
          <w:lang w:val="es-ES_tradnl"/>
        </w:rPr>
        <w:t>a)</w:t>
      </w:r>
      <w:r w:rsidRPr="00271246">
        <w:rPr>
          <w:lang w:val="es-ES_tradnl"/>
        </w:rPr>
        <w:t xml:space="preserve"> supra.</w:t>
      </w:r>
    </w:p>
    <w:p w14:paraId="24BAC110" w14:textId="77777777" w:rsidR="00B662A3" w:rsidRPr="00271246" w:rsidRDefault="00B662A3" w:rsidP="00B662A3">
      <w:pPr>
        <w:spacing w:before="120"/>
        <w:rPr>
          <w:lang w:val="es-ES_tradnl"/>
        </w:rPr>
      </w:pPr>
      <w:r w:rsidRPr="00271246">
        <w:rPr>
          <w:lang w:val="es-ES_tradnl"/>
        </w:rPr>
        <w:t>Véanse también las Reglas de Procedimiento relativas al § 4.2.6.</w:t>
      </w:r>
    </w:p>
    <w:p w14:paraId="2B8D4700" w14:textId="77777777" w:rsidR="00CD474A" w:rsidRPr="00271246" w:rsidRDefault="00CD474A">
      <w:pPr>
        <w:pStyle w:val="Heading9"/>
        <w:rPr>
          <w:lang w:val="es-ES_tradnl"/>
        </w:rPr>
      </w:pPr>
      <w:r w:rsidRPr="00271246">
        <w:rPr>
          <w:lang w:val="es-ES_tradnl"/>
        </w:rPr>
        <w:t xml:space="preserve">4.2.1 </w:t>
      </w:r>
      <w:r w:rsidRPr="00271246">
        <w:rPr>
          <w:i/>
          <w:iCs/>
          <w:lang w:val="es-ES_tradnl"/>
        </w:rPr>
        <w:t>c)</w:t>
      </w:r>
    </w:p>
    <w:p w14:paraId="65E989B7" w14:textId="77777777" w:rsidR="00CD474A" w:rsidRDefault="00CD474A" w:rsidP="00E0585E">
      <w:pPr>
        <w:rPr>
          <w:lang w:val="es-ES_tradnl"/>
        </w:rPr>
      </w:pPr>
      <w:r w:rsidRPr="00271246">
        <w:rPr>
          <w:lang w:val="es-ES_tradnl"/>
        </w:rPr>
        <w:t>Si una administración anula una asignación de frecuencia del Plan de la Región 2 en virtud de este punto, o si la Oficina suprime una asignación del Plan con arreglo al § 4.2.6, se deberá actualizar la situación de referencia de las asignaciones del Plan y de las que se encuentren en curso de modificación. La Oficina no tendrá que volver a realizar los cálculos para determinar cuáles son las administraciones afectadas como consecuencia de la anulación mencionada.</w:t>
      </w:r>
    </w:p>
    <w:p w14:paraId="16DCBC77" w14:textId="77777777" w:rsidR="00CD1FE2" w:rsidRPr="00271246" w:rsidRDefault="00CD1FE2" w:rsidP="00E0585E">
      <w:pPr>
        <w:rPr>
          <w:lang w:val="es-ES_tradnl"/>
        </w:rPr>
      </w:pPr>
    </w:p>
    <w:p w14:paraId="2A5810C0" w14:textId="77777777" w:rsidR="00CD1FE2" w:rsidRDefault="00CD1FE2" w:rsidP="00E0585E">
      <w:pPr>
        <w:rPr>
          <w:lang w:val="es-ES_tradnl"/>
        </w:rPr>
        <w:sectPr w:rsidR="00CD1FE2" w:rsidSect="00732E78">
          <w:headerReference w:type="even" r:id="rId12"/>
          <w:headerReference w:type="default" r:id="rId13"/>
          <w:footnotePr>
            <w:pos w:val="beneathText"/>
            <w:numFmt w:val="chicago"/>
          </w:footnotePr>
          <w:pgSz w:w="11907" w:h="16840" w:code="9"/>
          <w:pgMar w:top="1701" w:right="851" w:bottom="1134" w:left="1985" w:header="720" w:footer="482" w:gutter="0"/>
          <w:cols w:space="720"/>
          <w:vAlign w:val="both"/>
        </w:sectPr>
      </w:pPr>
    </w:p>
    <w:p w14:paraId="18D0F844" w14:textId="77777777" w:rsidR="00CD474A" w:rsidRPr="00271246" w:rsidRDefault="00CD474A">
      <w:pPr>
        <w:pStyle w:val="Heading9"/>
        <w:jc w:val="left"/>
        <w:rPr>
          <w:lang w:val="es-ES_tradnl"/>
        </w:rPr>
      </w:pPr>
      <w:r w:rsidRPr="00271246">
        <w:rPr>
          <w:lang w:val="es-ES_tradnl"/>
        </w:rPr>
        <w:lastRenderedPageBreak/>
        <w:t xml:space="preserve">4.2.2 </w:t>
      </w:r>
      <w:r w:rsidRPr="00271246">
        <w:rPr>
          <w:i/>
          <w:iCs/>
          <w:lang w:val="es-ES_tradnl"/>
        </w:rPr>
        <w:t>a)</w:t>
      </w:r>
      <w:r w:rsidRPr="00271246">
        <w:rPr>
          <w:i/>
          <w:iCs/>
          <w:lang w:val="es-ES_tradnl"/>
        </w:rPr>
        <w:br/>
      </w:r>
      <w:r w:rsidRPr="00271246">
        <w:rPr>
          <w:lang w:val="es-ES_tradnl"/>
        </w:rPr>
        <w:t xml:space="preserve">y 4.2.2 </w:t>
      </w:r>
      <w:r w:rsidRPr="00271246">
        <w:rPr>
          <w:i/>
          <w:iCs/>
          <w:lang w:val="es-ES_tradnl"/>
        </w:rPr>
        <w:t>b)</w:t>
      </w:r>
    </w:p>
    <w:p w14:paraId="23D10266" w14:textId="7A922E3D" w:rsidR="00CD474A" w:rsidRPr="00271246" w:rsidRDefault="00CD474A" w:rsidP="00816FF6">
      <w:pPr>
        <w:rPr>
          <w:lang w:val="es-ES_tradnl"/>
        </w:rPr>
      </w:pPr>
      <w:r w:rsidRPr="00271246">
        <w:rPr>
          <w:lang w:val="es-ES_tradnl"/>
        </w:rPr>
        <w:t>Al determinar las administraciones de las Regiones</w:t>
      </w:r>
      <w:r w:rsidR="00FC5406" w:rsidRPr="00271246">
        <w:rPr>
          <w:lang w:val="es-ES_tradnl"/>
        </w:rPr>
        <w:t xml:space="preserve"> </w:t>
      </w:r>
      <w:r w:rsidRPr="00271246">
        <w:rPr>
          <w:lang w:val="es-ES_tradnl"/>
        </w:rPr>
        <w:t>1 y 3 que pueden resultar afectadas, la modificación propuesta del Plan de la Región</w:t>
      </w:r>
      <w:r w:rsidR="00FC5406" w:rsidRPr="00271246">
        <w:rPr>
          <w:lang w:val="es-ES_tradnl"/>
        </w:rPr>
        <w:t xml:space="preserve"> </w:t>
      </w:r>
      <w:r w:rsidRPr="00271246">
        <w:rPr>
          <w:lang w:val="es-ES_tradnl"/>
        </w:rPr>
        <w:t>2 se examina con respecto al Plan y las Listas de las Regiones</w:t>
      </w:r>
      <w:r w:rsidR="00FC5406" w:rsidRPr="00271246">
        <w:rPr>
          <w:lang w:val="es-ES_tradnl"/>
        </w:rPr>
        <w:t xml:space="preserve"> </w:t>
      </w:r>
      <w:r w:rsidRPr="00271246">
        <w:rPr>
          <w:lang w:val="es-ES_tradnl"/>
        </w:rPr>
        <w:t>1 y 3 en</w:t>
      </w:r>
      <w:r w:rsidR="00FC5406" w:rsidRPr="00271246">
        <w:rPr>
          <w:lang w:val="es-ES_tradnl"/>
        </w:rPr>
        <w:t xml:space="preserve"> </w:t>
      </w:r>
      <w:r w:rsidRPr="00271246">
        <w:rPr>
          <w:lang w:val="es-ES_tradnl"/>
        </w:rPr>
        <w:t>17 GHz existente en la fecha de recepción de la propuesta de modi</w:t>
      </w:r>
      <w:r w:rsidR="00816FF6" w:rsidRPr="00271246">
        <w:rPr>
          <w:lang w:val="es-ES_tradnl"/>
        </w:rPr>
        <w:softHyphen/>
      </w:r>
      <w:r w:rsidRPr="00271246">
        <w:rPr>
          <w:lang w:val="es-ES_tradnl"/>
        </w:rPr>
        <w:t>ficación, incluidas las propuestas de asignaciones nuevas o modificadas en la Lista de las Regiones 1 y 3 en</w:t>
      </w:r>
      <w:r w:rsidR="00FC5406" w:rsidRPr="00271246">
        <w:rPr>
          <w:lang w:val="es-ES_tradnl"/>
        </w:rPr>
        <w:t xml:space="preserve"> </w:t>
      </w:r>
      <w:r w:rsidRPr="00271246">
        <w:rPr>
          <w:lang w:val="es-ES_tradnl"/>
        </w:rPr>
        <w:t>17</w:t>
      </w:r>
      <w:r w:rsidR="00C53076">
        <w:rPr>
          <w:lang w:val="es-ES_tradnl"/>
        </w:rPr>
        <w:t> </w:t>
      </w:r>
      <w:r w:rsidRPr="00271246">
        <w:rPr>
          <w:lang w:val="es-ES_tradnl"/>
        </w:rPr>
        <w:t>GHz recibidas antes de esa fecha (se haya completado o no el proce</w:t>
      </w:r>
      <w:r w:rsidR="00816FF6" w:rsidRPr="00271246">
        <w:rPr>
          <w:lang w:val="es-ES_tradnl"/>
        </w:rPr>
        <w:softHyphen/>
      </w:r>
      <w:r w:rsidRPr="00271246">
        <w:rPr>
          <w:lang w:val="es-ES_tradnl"/>
        </w:rPr>
        <w:t>dimiento del Artículo</w:t>
      </w:r>
      <w:r w:rsidR="00C53076">
        <w:rPr>
          <w:lang w:val="es-ES_tradnl"/>
        </w:rPr>
        <w:t> </w:t>
      </w:r>
      <w:r w:rsidRPr="00271246">
        <w:rPr>
          <w:lang w:val="es-ES_tradnl"/>
        </w:rPr>
        <w:t>4). El examen identifica únicamente las administraciones que tienen asignaciones cuya anchura de banda necesaria</w:t>
      </w:r>
      <w:r w:rsidRPr="00271246">
        <w:rPr>
          <w:rStyle w:val="FootnoteReference"/>
          <w:sz w:val="20"/>
          <w:lang w:val="es-ES_tradnl"/>
        </w:rPr>
        <w:footnoteReference w:customMarkFollows="1" w:id="4"/>
        <w:t>2</w:t>
      </w:r>
      <w:r w:rsidRPr="00271246">
        <w:rPr>
          <w:lang w:val="es-ES_tradnl"/>
        </w:rPr>
        <w:t xml:space="preserve"> se superpone con la anchura de banda necesaria</w:t>
      </w:r>
      <w:r w:rsidRPr="00271246">
        <w:rPr>
          <w:position w:val="6"/>
          <w:sz w:val="20"/>
          <w:lang w:val="es-ES_tradnl"/>
        </w:rPr>
        <w:t>2</w:t>
      </w:r>
      <w:r w:rsidRPr="00271246">
        <w:rPr>
          <w:lang w:val="es-ES_tradnl"/>
        </w:rPr>
        <w:t xml:space="preserve"> de la modificación propuesta del Plan de la Región</w:t>
      </w:r>
      <w:r w:rsidR="00C53076">
        <w:rPr>
          <w:lang w:val="es-ES_tradnl"/>
        </w:rPr>
        <w:t> </w:t>
      </w:r>
      <w:r w:rsidRPr="00271246">
        <w:rPr>
          <w:lang w:val="es-ES_tradnl"/>
        </w:rPr>
        <w:t>2. Se identifica que una administración tiene servicios que pueden resultar afectados cuando se exceden los límites especificados en el §</w:t>
      </w:r>
      <w:r w:rsidR="00816FF6" w:rsidRPr="00271246">
        <w:rPr>
          <w:lang w:val="es-ES_tradnl"/>
        </w:rPr>
        <w:t> </w:t>
      </w:r>
      <w:r w:rsidRPr="00271246">
        <w:rPr>
          <w:lang w:val="es-ES_tradnl"/>
        </w:rPr>
        <w:t>5 del Anexo 1 al Apéndice </w:t>
      </w:r>
      <w:r w:rsidRPr="00271246">
        <w:rPr>
          <w:rStyle w:val="Appref"/>
          <w:b/>
          <w:color w:val="000000"/>
          <w:lang w:val="es-ES_tradnl"/>
        </w:rPr>
        <w:t>30A</w:t>
      </w:r>
      <w:r w:rsidRPr="00271246">
        <w:rPr>
          <w:lang w:val="es-ES_tradnl"/>
        </w:rPr>
        <w:t>.</w:t>
      </w:r>
    </w:p>
    <w:p w14:paraId="2455D7A7" w14:textId="77777777" w:rsidR="00CD474A" w:rsidRPr="00271246" w:rsidRDefault="00CD474A">
      <w:pPr>
        <w:pStyle w:val="Heading9"/>
        <w:rPr>
          <w:lang w:val="es-ES_tradnl"/>
        </w:rPr>
      </w:pPr>
      <w:r w:rsidRPr="00271246">
        <w:rPr>
          <w:lang w:val="es-ES_tradnl"/>
        </w:rPr>
        <w:t xml:space="preserve">4.2.2 </w:t>
      </w:r>
      <w:r w:rsidRPr="00271246">
        <w:rPr>
          <w:i/>
          <w:iCs/>
          <w:lang w:val="es-ES_tradnl"/>
        </w:rPr>
        <w:t>c)</w:t>
      </w:r>
    </w:p>
    <w:p w14:paraId="0C3ED7EB" w14:textId="5194183A" w:rsidR="00CD474A" w:rsidRPr="00271246" w:rsidRDefault="00CD474A" w:rsidP="00816FF6">
      <w:pPr>
        <w:rPr>
          <w:lang w:val="es-ES_tradnl"/>
        </w:rPr>
      </w:pPr>
      <w:r w:rsidRPr="00271246">
        <w:rPr>
          <w:lang w:val="es-ES_tradnl"/>
        </w:rPr>
        <w:t>1</w:t>
      </w:r>
      <w:r w:rsidRPr="00271246">
        <w:rPr>
          <w:lang w:val="es-ES_tradnl"/>
        </w:rPr>
        <w:tab/>
        <w:t>Al determinar las administraciones afectadas de la Región</w:t>
      </w:r>
      <w:r w:rsidR="00C53076">
        <w:rPr>
          <w:lang w:val="es-ES_tradnl"/>
        </w:rPr>
        <w:t> </w:t>
      </w:r>
      <w:r w:rsidRPr="00271246">
        <w:rPr>
          <w:lang w:val="es-ES_tradnl"/>
        </w:rPr>
        <w:t>2, la modificación propuesta se examinará con respecto al Plan de la Región 2 existente en la fecha de recepción de dicha modificación, incluidas todas las modificaciones propuestas recibidas antes de esa fecha (se haya completado o no el procedimiento del Artículo 4). Los exámenes consisten en cerciorarse de que no se exceden los límites del §</w:t>
      </w:r>
      <w:r w:rsidR="00816FF6" w:rsidRPr="00271246">
        <w:rPr>
          <w:lang w:val="es-ES_tradnl"/>
        </w:rPr>
        <w:t> </w:t>
      </w:r>
      <w:r w:rsidRPr="00271246">
        <w:rPr>
          <w:lang w:val="es-ES_tradnl"/>
        </w:rPr>
        <w:t>3 del Anexo 1 al Apéndice</w:t>
      </w:r>
      <w:r w:rsidR="00FC5406" w:rsidRPr="00271246">
        <w:rPr>
          <w:lang w:val="es-ES_tradnl"/>
        </w:rPr>
        <w:t xml:space="preserve"> </w:t>
      </w:r>
      <w:r w:rsidRPr="00271246">
        <w:rPr>
          <w:rStyle w:val="Appref"/>
          <w:b/>
          <w:color w:val="000000"/>
          <w:lang w:val="es-ES_tradnl"/>
        </w:rPr>
        <w:t>30A</w:t>
      </w:r>
      <w:r w:rsidRPr="00271246">
        <w:rPr>
          <w:lang w:val="es-ES_tradnl"/>
        </w:rPr>
        <w:t>. También se tienen en cuenta todas las modificaciones del Plan por un periodo limitado de acuerdo con el § 4.2.17.</w:t>
      </w:r>
    </w:p>
    <w:p w14:paraId="61EE1954" w14:textId="34EC8DDE" w:rsidR="00CD474A" w:rsidRPr="00271246" w:rsidRDefault="00CD474A" w:rsidP="00FD7765">
      <w:pPr>
        <w:rPr>
          <w:spacing w:val="-2"/>
          <w:lang w:val="es-ES_tradnl"/>
        </w:rPr>
      </w:pPr>
      <w:r w:rsidRPr="00271246">
        <w:rPr>
          <w:spacing w:val="-2"/>
          <w:lang w:val="es-ES_tradnl"/>
        </w:rPr>
        <w:t>2</w:t>
      </w:r>
      <w:r w:rsidRPr="00271246">
        <w:rPr>
          <w:spacing w:val="-2"/>
          <w:lang w:val="es-ES_tradnl"/>
        </w:rPr>
        <w:tab/>
        <w:t xml:space="preserve">De conformidad con la Resolución </w:t>
      </w:r>
      <w:r w:rsidR="00E91788">
        <w:rPr>
          <w:rStyle w:val="Resref"/>
          <w:b/>
          <w:bCs/>
          <w:color w:val="000000"/>
          <w:lang w:val="es-ES_tradnl"/>
        </w:rPr>
        <w:t>42 (Rev.CMR-1</w:t>
      </w:r>
      <w:r w:rsidR="001F7F10">
        <w:rPr>
          <w:rStyle w:val="Resref"/>
          <w:b/>
          <w:bCs/>
          <w:color w:val="000000"/>
          <w:lang w:val="es-ES_tradnl"/>
        </w:rPr>
        <w:t>9</w:t>
      </w:r>
      <w:r w:rsidRPr="00271246">
        <w:rPr>
          <w:rStyle w:val="Resref"/>
          <w:b/>
          <w:bCs/>
          <w:color w:val="000000"/>
          <w:lang w:val="es-ES_tradnl"/>
        </w:rPr>
        <w:t>)</w:t>
      </w:r>
      <w:r w:rsidRPr="009F187A">
        <w:rPr>
          <w:spacing w:val="-2"/>
          <w:lang w:val="es-ES_tradnl"/>
        </w:rPr>
        <w:t>,</w:t>
      </w:r>
      <w:r w:rsidRPr="00271246">
        <w:rPr>
          <w:spacing w:val="-2"/>
          <w:lang w:val="es-ES_tradnl"/>
        </w:rPr>
        <w:t xml:space="preserve"> la Junta ha decidido que, al aplicar esta disposición, la Oficina no tendrá en cuenta los sistemas provisionales.</w:t>
      </w:r>
    </w:p>
    <w:p w14:paraId="064E85E2" w14:textId="77777777" w:rsidR="005D151F" w:rsidRDefault="00CD474A" w:rsidP="00377CC7">
      <w:pPr>
        <w:rPr>
          <w:lang w:val="es-ES_tradnl"/>
        </w:rPr>
      </w:pPr>
      <w:r w:rsidRPr="00271246">
        <w:rPr>
          <w:lang w:val="es-ES_tradnl"/>
        </w:rPr>
        <w:t>3</w:t>
      </w:r>
      <w:r w:rsidRPr="00271246">
        <w:rPr>
          <w:lang w:val="es-ES_tradnl"/>
        </w:rPr>
        <w:tab/>
        <w:t>Para las consideraciones respecto a la aplicación del concepto de grupo, véanse las Reglas de Procedimiento relativas a los §</w:t>
      </w:r>
      <w:r w:rsidR="00816FF6" w:rsidRPr="00271246">
        <w:rPr>
          <w:lang w:val="es-ES_tradnl"/>
        </w:rPr>
        <w:t> </w:t>
      </w:r>
      <w:r w:rsidRPr="00271246">
        <w:rPr>
          <w:lang w:val="es-ES_tradnl"/>
        </w:rPr>
        <w:t>4.1.1</w:t>
      </w:r>
      <w:r w:rsidR="00816FF6" w:rsidRPr="00271246">
        <w:rPr>
          <w:lang w:val="es-ES_tradnl"/>
        </w:rPr>
        <w:t> </w:t>
      </w:r>
      <w:r w:rsidRPr="00271246">
        <w:rPr>
          <w:i/>
          <w:iCs/>
          <w:lang w:val="es-ES_tradnl"/>
        </w:rPr>
        <w:t>a)</w:t>
      </w:r>
      <w:r w:rsidRPr="00271246">
        <w:rPr>
          <w:lang w:val="es-ES_tradnl"/>
        </w:rPr>
        <w:t xml:space="preserve"> y 4.1.1</w:t>
      </w:r>
      <w:r w:rsidR="00816FF6" w:rsidRPr="00271246">
        <w:rPr>
          <w:lang w:val="es-ES_tradnl"/>
        </w:rPr>
        <w:t> </w:t>
      </w:r>
      <w:r w:rsidRPr="00271246">
        <w:rPr>
          <w:i/>
          <w:iCs/>
          <w:lang w:val="es-ES_tradnl"/>
        </w:rPr>
        <w:t>b)</w:t>
      </w:r>
      <w:r w:rsidRPr="00271246">
        <w:rPr>
          <w:lang w:val="es-ES_tradnl"/>
        </w:rPr>
        <w:t>.</w:t>
      </w:r>
    </w:p>
    <w:p w14:paraId="0D72E4D4" w14:textId="77777777" w:rsidR="00CD474A" w:rsidRPr="00271246" w:rsidRDefault="00CD474A">
      <w:pPr>
        <w:pStyle w:val="Heading9"/>
        <w:rPr>
          <w:lang w:val="es-ES_tradnl"/>
        </w:rPr>
      </w:pPr>
      <w:r w:rsidRPr="00271246">
        <w:rPr>
          <w:lang w:val="es-ES_tradnl"/>
        </w:rPr>
        <w:t>4.2.6</w:t>
      </w:r>
    </w:p>
    <w:p w14:paraId="0BC15590" w14:textId="77777777" w:rsidR="00CD474A" w:rsidRPr="00271246" w:rsidRDefault="00CD474A" w:rsidP="00816FF6">
      <w:pPr>
        <w:rPr>
          <w:lang w:val="es-ES_tradnl"/>
        </w:rPr>
      </w:pPr>
      <w:r w:rsidRPr="00271246">
        <w:rPr>
          <w:lang w:val="es-ES_tradnl"/>
        </w:rPr>
        <w:t>Véanse las Reglas de Procedimiento relativas al §</w:t>
      </w:r>
      <w:r w:rsidR="00816FF6" w:rsidRPr="00271246">
        <w:rPr>
          <w:lang w:val="es-ES_tradnl"/>
        </w:rPr>
        <w:t> </w:t>
      </w:r>
      <w:r w:rsidRPr="00271246">
        <w:rPr>
          <w:lang w:val="es-ES_tradnl"/>
        </w:rPr>
        <w:t>4.1.3.</w:t>
      </w:r>
    </w:p>
    <w:p w14:paraId="12FC1FCD" w14:textId="77777777" w:rsidR="00CD474A" w:rsidRPr="00271246" w:rsidRDefault="00CD474A">
      <w:pPr>
        <w:pStyle w:val="Heading9"/>
        <w:rPr>
          <w:lang w:val="es-ES_tradnl"/>
        </w:rPr>
      </w:pPr>
      <w:r w:rsidRPr="00271246">
        <w:rPr>
          <w:lang w:val="es-ES_tradnl"/>
        </w:rPr>
        <w:t>4.2.10</w:t>
      </w:r>
    </w:p>
    <w:p w14:paraId="6D5CAE92" w14:textId="77777777" w:rsidR="00CD474A" w:rsidRDefault="00CD474A" w:rsidP="00816FF6">
      <w:pPr>
        <w:rPr>
          <w:lang w:val="es-ES_tradnl"/>
        </w:rPr>
      </w:pPr>
      <w:r w:rsidRPr="00271246">
        <w:rPr>
          <w:lang w:val="es-ES_tradnl"/>
        </w:rPr>
        <w:t>Véanse las Reglas de Procedimiento relativas al §</w:t>
      </w:r>
      <w:r w:rsidR="00816FF6" w:rsidRPr="00271246">
        <w:rPr>
          <w:lang w:val="es-ES_tradnl"/>
        </w:rPr>
        <w:t> </w:t>
      </w:r>
      <w:r w:rsidRPr="00271246">
        <w:rPr>
          <w:lang w:val="es-ES_tradnl"/>
        </w:rPr>
        <w:t>4.1.7.</w:t>
      </w:r>
    </w:p>
    <w:p w14:paraId="6F300542" w14:textId="77777777" w:rsidR="00872A15" w:rsidRPr="00271246" w:rsidRDefault="00872A15" w:rsidP="00816FF6">
      <w:pPr>
        <w:rPr>
          <w:lang w:val="es-ES_tradnl"/>
        </w:rPr>
      </w:pPr>
    </w:p>
    <w:p w14:paraId="0A7089A1" w14:textId="77777777" w:rsidR="00872A15" w:rsidRDefault="00872A15" w:rsidP="00377CC7">
      <w:pPr>
        <w:rPr>
          <w:lang w:val="es-ES_tradnl"/>
        </w:rPr>
        <w:sectPr w:rsidR="00872A15" w:rsidSect="00F07DAE">
          <w:headerReference w:type="even" r:id="rId14"/>
          <w:headerReference w:type="default" r:id="rId15"/>
          <w:footnotePr>
            <w:pos w:val="beneathText"/>
            <w:numFmt w:val="chicago"/>
          </w:footnotePr>
          <w:pgSz w:w="11907" w:h="16840" w:code="9"/>
          <w:pgMar w:top="1701" w:right="851" w:bottom="1134" w:left="1985" w:header="720" w:footer="482" w:gutter="0"/>
          <w:cols w:space="720"/>
          <w:vAlign w:val="both"/>
        </w:sectPr>
      </w:pPr>
    </w:p>
    <w:p w14:paraId="3FB03F4A" w14:textId="77777777" w:rsidR="00CD474A" w:rsidRPr="00271246" w:rsidRDefault="00CD474A">
      <w:pPr>
        <w:pStyle w:val="Heading9"/>
        <w:rPr>
          <w:lang w:val="es-ES_tradnl"/>
        </w:rPr>
      </w:pPr>
      <w:r w:rsidRPr="00271246">
        <w:rPr>
          <w:lang w:val="es-ES_tradnl"/>
        </w:rPr>
        <w:lastRenderedPageBreak/>
        <w:t>4.2.11</w:t>
      </w:r>
    </w:p>
    <w:p w14:paraId="6778CD33" w14:textId="77777777" w:rsidR="00CD474A" w:rsidRPr="00271246" w:rsidRDefault="00CD474A" w:rsidP="00FC5406">
      <w:pPr>
        <w:rPr>
          <w:lang w:val="es-ES_tradnl"/>
        </w:rPr>
      </w:pPr>
      <w:r w:rsidRPr="00271246">
        <w:rPr>
          <w:lang w:val="es-ES_tradnl"/>
        </w:rPr>
        <w:t>El acuerdo al que se hace referencia es el de las administraciones identificadas en virtud del § 4.2.2</w:t>
      </w:r>
      <w:r w:rsidRPr="00271246">
        <w:rPr>
          <w:color w:val="008000"/>
          <w:lang w:val="es-ES_tradnl"/>
        </w:rPr>
        <w:t xml:space="preserve"> </w:t>
      </w:r>
      <w:r w:rsidRPr="00271246">
        <w:rPr>
          <w:lang w:val="es-ES_tradnl"/>
        </w:rPr>
        <w:t>y</w:t>
      </w:r>
      <w:r w:rsidRPr="00271246">
        <w:rPr>
          <w:color w:val="008000"/>
          <w:lang w:val="es-ES_tradnl"/>
        </w:rPr>
        <w:t xml:space="preserve"> </w:t>
      </w:r>
      <w:r w:rsidRPr="00271246">
        <w:rPr>
          <w:lang w:val="es-ES_tradnl"/>
        </w:rPr>
        <w:t>el de las administraciones mencionadas en el § 4.2.10 que la Oficina ha confirmado que utilizan los criterios adecuados.</w:t>
      </w:r>
    </w:p>
    <w:p w14:paraId="20651D22" w14:textId="77777777" w:rsidR="00CD474A" w:rsidRPr="00271246" w:rsidRDefault="00CD474A">
      <w:pPr>
        <w:pStyle w:val="Heading9"/>
        <w:rPr>
          <w:lang w:val="es-ES_tradnl"/>
        </w:rPr>
      </w:pPr>
      <w:r w:rsidRPr="00271246">
        <w:rPr>
          <w:lang w:val="es-ES_tradnl"/>
        </w:rPr>
        <w:t>4.2.12</w:t>
      </w:r>
    </w:p>
    <w:p w14:paraId="621B61A3" w14:textId="77777777" w:rsidR="00CD474A" w:rsidRPr="00271246" w:rsidRDefault="00CD474A" w:rsidP="001C4F90">
      <w:pPr>
        <w:rPr>
          <w:lang w:val="es-ES_tradnl"/>
        </w:rPr>
      </w:pPr>
      <w:r w:rsidRPr="00271246">
        <w:rPr>
          <w:lang w:val="es-ES_tradnl"/>
        </w:rPr>
        <w:t>Véanse las Reglas de Procedimiento relativas al §</w:t>
      </w:r>
      <w:r w:rsidR="001C4F90" w:rsidRPr="00271246">
        <w:rPr>
          <w:lang w:val="es-ES_tradnl"/>
        </w:rPr>
        <w:t> </w:t>
      </w:r>
      <w:r w:rsidRPr="00271246">
        <w:rPr>
          <w:lang w:val="es-ES_tradnl"/>
        </w:rPr>
        <w:t>4.1.8.</w:t>
      </w:r>
    </w:p>
    <w:p w14:paraId="4F7DA492" w14:textId="77777777" w:rsidR="00CD474A" w:rsidRPr="00271246" w:rsidRDefault="00CD474A">
      <w:pPr>
        <w:pStyle w:val="Heading9"/>
        <w:rPr>
          <w:lang w:val="es-ES_tradnl"/>
        </w:rPr>
      </w:pPr>
      <w:r w:rsidRPr="00271246">
        <w:rPr>
          <w:lang w:val="es-ES_tradnl"/>
        </w:rPr>
        <w:t>4.2.15</w:t>
      </w:r>
    </w:p>
    <w:p w14:paraId="221F66A2"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4.1.11.</w:t>
      </w:r>
    </w:p>
    <w:p w14:paraId="29B1166A" w14:textId="77777777" w:rsidR="00CD474A" w:rsidRPr="00271246" w:rsidRDefault="00CD474A">
      <w:pPr>
        <w:pStyle w:val="Heading9"/>
        <w:rPr>
          <w:lang w:val="es-ES_tradnl"/>
        </w:rPr>
      </w:pPr>
      <w:r w:rsidRPr="00271246">
        <w:rPr>
          <w:lang w:val="es-ES_tradnl"/>
        </w:rPr>
        <w:t>4.2.19</w:t>
      </w:r>
    </w:p>
    <w:p w14:paraId="09B5B7E1"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4.1.15.</w:t>
      </w:r>
    </w:p>
    <w:p w14:paraId="1B5BDE46" w14:textId="77777777" w:rsidR="00CD474A" w:rsidRPr="00271246" w:rsidRDefault="00CD474A">
      <w:pPr>
        <w:pStyle w:val="Heading9"/>
        <w:rPr>
          <w:lang w:val="es-ES_tradnl"/>
        </w:rPr>
      </w:pPr>
      <w:r w:rsidRPr="00271246">
        <w:rPr>
          <w:lang w:val="es-ES_tradnl"/>
        </w:rPr>
        <w:t>4.2.24</w:t>
      </w:r>
    </w:p>
    <w:p w14:paraId="2E6AEB5D"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4.1.23.</w:t>
      </w:r>
    </w:p>
    <w:p w14:paraId="56D410A5" w14:textId="77777777" w:rsidR="00CD474A" w:rsidRPr="00271246" w:rsidRDefault="00CD474A">
      <w:pPr>
        <w:pStyle w:val="Heading8"/>
        <w:rPr>
          <w:lang w:val="es-ES_tradnl"/>
        </w:rPr>
      </w:pPr>
      <w:r w:rsidRPr="00271246">
        <w:rPr>
          <w:lang w:val="es-ES_tradnl"/>
        </w:rPr>
        <w:t>Art. 5</w:t>
      </w:r>
    </w:p>
    <w:p w14:paraId="208F7D2F" w14:textId="77777777" w:rsidR="00CD474A" w:rsidRPr="00271246" w:rsidRDefault="00CD474A">
      <w:pPr>
        <w:pStyle w:val="Heading2"/>
        <w:spacing w:before="240"/>
        <w:jc w:val="center"/>
        <w:rPr>
          <w:lang w:val="es-ES_tradnl"/>
        </w:rPr>
      </w:pPr>
      <w:r w:rsidRPr="00271246">
        <w:rPr>
          <w:lang w:val="es-ES_tradnl"/>
        </w:rPr>
        <w:t>Notificación, examen e inscripción</w:t>
      </w:r>
    </w:p>
    <w:p w14:paraId="3BC2357D" w14:textId="77777777" w:rsidR="00CD474A" w:rsidRPr="00271246" w:rsidRDefault="00CD474A">
      <w:pPr>
        <w:pStyle w:val="Heading9"/>
        <w:rPr>
          <w:lang w:val="es-ES_tradnl"/>
        </w:rPr>
      </w:pPr>
      <w:r w:rsidRPr="00271246">
        <w:rPr>
          <w:lang w:val="es-ES_tradnl"/>
        </w:rPr>
        <w:t xml:space="preserve">5.2.1 </w:t>
      </w:r>
      <w:r w:rsidRPr="00271246">
        <w:rPr>
          <w:i/>
          <w:lang w:val="es-ES_tradnl"/>
        </w:rPr>
        <w:t>b)</w:t>
      </w:r>
    </w:p>
    <w:p w14:paraId="248AC5D8" w14:textId="2CE02CBA" w:rsidR="00CD474A" w:rsidRPr="00271246" w:rsidRDefault="00CD474A" w:rsidP="000F76F2">
      <w:pPr>
        <w:rPr>
          <w:lang w:val="es-ES_tradnl"/>
        </w:rPr>
      </w:pPr>
      <w:r w:rsidRPr="00271246">
        <w:rPr>
          <w:lang w:val="es-ES_tradnl"/>
        </w:rPr>
        <w:t>1</w:t>
      </w:r>
      <w:r w:rsidRPr="00271246">
        <w:rPr>
          <w:lang w:val="es-ES_tradnl"/>
        </w:rPr>
        <w:tab/>
        <w:t>La Junta ha considerado la cuestión de si el examen de la conformidad con el Plan</w:t>
      </w:r>
      <w:r w:rsidRPr="00271246">
        <w:rPr>
          <w:rStyle w:val="FootnoteReference"/>
          <w:sz w:val="20"/>
          <w:lang w:val="es-ES_tradnl"/>
        </w:rPr>
        <w:footnoteReference w:customMarkFollows="1" w:id="5"/>
        <w:t>3</w:t>
      </w:r>
      <w:r w:rsidRPr="00271246">
        <w:rPr>
          <w:lang w:val="es-ES_tradnl"/>
        </w:rPr>
        <w:t xml:space="preserve"> se aplica únicamente a las columnas de los Artículos</w:t>
      </w:r>
      <w:r w:rsidR="00C53076">
        <w:rPr>
          <w:lang w:val="es-ES_tradnl"/>
        </w:rPr>
        <w:t> </w:t>
      </w:r>
      <w:r w:rsidRPr="00271246">
        <w:rPr>
          <w:lang w:val="es-ES_tradnl"/>
        </w:rPr>
        <w:t>9 y 9A del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actualizado o si incluye también un examen con respecto a los criterios técnicos indicados en el Anexo</w:t>
      </w:r>
      <w:r w:rsidR="00FC5406" w:rsidRPr="00271246">
        <w:rPr>
          <w:lang w:val="es-ES_tradnl"/>
        </w:rPr>
        <w:t xml:space="preserve"> </w:t>
      </w:r>
      <w:r w:rsidRPr="00271246">
        <w:rPr>
          <w:lang w:val="es-ES_tradnl"/>
        </w:rPr>
        <w:t>3 al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que se utilizaron para establecer los Planes. La Junta ha llegado a la conclusión de que algunos de los criterios técnicos del Anexo</w:t>
      </w:r>
      <w:r w:rsidR="00FC5406" w:rsidRPr="00271246">
        <w:rPr>
          <w:lang w:val="es-ES_tradnl"/>
        </w:rPr>
        <w:t xml:space="preserve"> </w:t>
      </w:r>
      <w:r w:rsidRPr="00271246">
        <w:rPr>
          <w:lang w:val="es-ES_tradnl"/>
        </w:rPr>
        <w:t>3 tienen que tenerse en cuenta en este examen. Por tanto, el examen de la conformidad con el Plan se efectúa en dos</w:t>
      </w:r>
      <w:r w:rsidR="00FC5406" w:rsidRPr="00271246">
        <w:rPr>
          <w:lang w:val="es-ES_tradnl"/>
        </w:rPr>
        <w:t> </w:t>
      </w:r>
      <w:r w:rsidRPr="00271246">
        <w:rPr>
          <w:lang w:val="es-ES_tradnl"/>
        </w:rPr>
        <w:t>pasos, que son:</w:t>
      </w:r>
    </w:p>
    <w:p w14:paraId="7AD4A33E" w14:textId="77777777" w:rsidR="00CD474A" w:rsidRPr="00271246" w:rsidRDefault="00CD474A" w:rsidP="00DF3A07">
      <w:pPr>
        <w:pStyle w:val="enumlev1"/>
        <w:rPr>
          <w:lang w:val="es-ES_tradnl"/>
        </w:rPr>
      </w:pPr>
      <w:r w:rsidRPr="00271246">
        <w:rPr>
          <w:i/>
          <w:lang w:val="es-ES_tradnl"/>
        </w:rPr>
        <w:t>a)</w:t>
      </w:r>
      <w:r w:rsidRPr="00271246">
        <w:rPr>
          <w:lang w:val="es-ES_tradnl"/>
        </w:rPr>
        <w:tab/>
        <w:t xml:space="preserve">Asegurarse de que las características notificadas son las especificadas en las columnas del Plan actualizado en cuestión (véase el § 3.1 del Artículo 3); si las características son diferentes, se lleva a cabo el examen según el § 5.2.1 </w:t>
      </w:r>
      <w:r w:rsidRPr="00271246">
        <w:rPr>
          <w:i/>
          <w:iCs/>
          <w:lang w:val="es-ES_tradnl"/>
        </w:rPr>
        <w:t>d</w:t>
      </w:r>
      <w:r w:rsidRPr="00271246">
        <w:rPr>
          <w:i/>
          <w:lang w:val="es-ES_tradnl"/>
        </w:rPr>
        <w:t>)</w:t>
      </w:r>
      <w:r w:rsidRPr="00271246">
        <w:rPr>
          <w:lang w:val="es-ES_tradnl"/>
        </w:rPr>
        <w:t>. Para los elementos indicados a continuación puede notificarse cualquier característica para la que se haya aplicado con éxito el procedimiento del Artículo 4.</w:t>
      </w:r>
    </w:p>
    <w:p w14:paraId="4A876F11" w14:textId="77777777" w:rsidR="00377CC7" w:rsidRDefault="00377CC7" w:rsidP="00721395">
      <w:pPr>
        <w:rPr>
          <w:lang w:val="es-ES_tradnl"/>
        </w:rPr>
      </w:pPr>
      <w:r>
        <w:rPr>
          <w:lang w:val="es-ES_tradnl"/>
        </w:rPr>
        <w:br w:type="page"/>
      </w:r>
    </w:p>
    <w:p w14:paraId="48BCCE98" w14:textId="77777777" w:rsidR="00CD474A" w:rsidRPr="00271246" w:rsidRDefault="00CD474A" w:rsidP="00271246">
      <w:pPr>
        <w:pStyle w:val="enumlev1"/>
        <w:rPr>
          <w:lang w:val="es-ES_tradnl"/>
        </w:rPr>
      </w:pPr>
      <w:r w:rsidRPr="00271246">
        <w:rPr>
          <w:i/>
          <w:lang w:val="es-ES_tradnl"/>
        </w:rPr>
        <w:lastRenderedPageBreak/>
        <w:t>b)</w:t>
      </w:r>
      <w:r w:rsidRPr="00271246">
        <w:rPr>
          <w:lang w:val="es-ES_tradnl"/>
        </w:rPr>
        <w:tab/>
        <w:t>Asegurarse de que no se rebasan los criterios de protección resultantes del Plan</w:t>
      </w:r>
      <w:r w:rsidR="00271246" w:rsidRPr="00271246">
        <w:rPr>
          <w:position w:val="6"/>
          <w:sz w:val="20"/>
          <w:lang w:val="es-ES_tradnl"/>
        </w:rPr>
        <w:t>3</w:t>
      </w:r>
      <w:r w:rsidRPr="00271246">
        <w:rPr>
          <w:lang w:val="es-ES_tradnl"/>
        </w:rPr>
        <w:t xml:space="preserve"> para la Región 2 o de los Planes y Listas para las Regiones 1 y 3 según el caso, y con tal fin se examinan las siguientes características</w:t>
      </w:r>
      <w:r w:rsidR="0067205D" w:rsidRPr="00271246">
        <w:rPr>
          <w:lang w:val="es-ES_tradnl"/>
        </w:rPr>
        <w:t xml:space="preserve"> </w:t>
      </w:r>
      <w:r w:rsidRPr="00271246">
        <w:rPr>
          <w:lang w:val="es-ES_tradnl"/>
        </w:rPr>
        <w:t>de la red de satélite:</w:t>
      </w:r>
    </w:p>
    <w:p w14:paraId="0E4E7AE2" w14:textId="77777777" w:rsidR="00CD474A" w:rsidRPr="00271246" w:rsidRDefault="00CD474A" w:rsidP="0067205D">
      <w:pPr>
        <w:pStyle w:val="enumlev2"/>
        <w:rPr>
          <w:lang w:val="es-ES_tradnl"/>
        </w:rPr>
      </w:pPr>
      <w:r w:rsidRPr="00271246">
        <w:rPr>
          <w:lang w:val="es-ES_tradnl"/>
        </w:rPr>
        <w:t>i)</w:t>
      </w:r>
      <w:r w:rsidRPr="00271246">
        <w:rPr>
          <w:lang w:val="es-ES_tradnl"/>
        </w:rPr>
        <w:tab/>
        <w:t>Para una estación espacial:</w:t>
      </w:r>
    </w:p>
    <w:p w14:paraId="73CCE586" w14:textId="77777777" w:rsidR="00CD474A" w:rsidRPr="00271246" w:rsidRDefault="00CD474A" w:rsidP="00271246">
      <w:pPr>
        <w:pStyle w:val="enumlev3"/>
        <w:rPr>
          <w:lang w:val="es-ES_tradnl"/>
        </w:rPr>
      </w:pPr>
      <w:r w:rsidRPr="00271246">
        <w:rPr>
          <w:lang w:val="es-ES_tradnl"/>
        </w:rPr>
        <w:t>–</w:t>
      </w:r>
      <w:r w:rsidRPr="00271246">
        <w:rPr>
          <w:lang w:val="es-ES_tradnl"/>
        </w:rPr>
        <w:tab/>
        <w:t>identificación del haz de la estación espacial (como se indica en las Columnas 1 y</w:t>
      </w:r>
      <w:r w:rsidR="00271246" w:rsidRPr="00271246">
        <w:rPr>
          <w:lang w:val="es-ES_tradnl"/>
        </w:rPr>
        <w:t> </w:t>
      </w:r>
      <w:r w:rsidRPr="00271246">
        <w:rPr>
          <w:lang w:val="es-ES_tradnl"/>
        </w:rPr>
        <w:t>2 de los Artículos 9 y 9A, respectivamente, del Apéndice </w:t>
      </w:r>
      <w:r w:rsidRPr="00271246">
        <w:rPr>
          <w:rStyle w:val="Appref"/>
          <w:b/>
          <w:color w:val="000000"/>
          <w:lang w:val="es-ES_tradnl"/>
        </w:rPr>
        <w:t>30A</w:t>
      </w:r>
      <w:r w:rsidRPr="00271246">
        <w:rPr>
          <w:lang w:val="es-ES_tradnl"/>
        </w:rPr>
        <w:t>);</w:t>
      </w:r>
    </w:p>
    <w:p w14:paraId="168E3314" w14:textId="77777777" w:rsidR="00CD474A" w:rsidRPr="00271246" w:rsidRDefault="00CD474A">
      <w:pPr>
        <w:pStyle w:val="enumlev3"/>
        <w:rPr>
          <w:lang w:val="es-ES_tradnl"/>
        </w:rPr>
      </w:pPr>
      <w:r w:rsidRPr="00271246">
        <w:rPr>
          <w:lang w:val="es-ES_tradnl"/>
        </w:rPr>
        <w:t>–</w:t>
      </w:r>
      <w:r w:rsidRPr="00271246">
        <w:rPr>
          <w:lang w:val="es-ES_tradnl"/>
        </w:rPr>
        <w:tab/>
        <w:t>posición orbital nominal (como se indica en las Columnas 2 y 3 de los Artículos 9 y 9A, respectivamente, del Apéndice </w:t>
      </w:r>
      <w:r w:rsidRPr="00271246">
        <w:rPr>
          <w:rStyle w:val="Appref"/>
          <w:b/>
          <w:color w:val="000000"/>
          <w:lang w:val="es-ES_tradnl"/>
        </w:rPr>
        <w:t>30A</w:t>
      </w:r>
      <w:r w:rsidRPr="00271246">
        <w:rPr>
          <w:lang w:val="es-ES_tradnl"/>
        </w:rPr>
        <w:t>);</w:t>
      </w:r>
    </w:p>
    <w:p w14:paraId="684A413B" w14:textId="77777777" w:rsidR="00CD474A" w:rsidRPr="00271246" w:rsidRDefault="00CD474A" w:rsidP="00271246">
      <w:pPr>
        <w:pStyle w:val="enumlev3"/>
        <w:rPr>
          <w:lang w:val="es-ES_tradnl"/>
        </w:rPr>
      </w:pPr>
      <w:r w:rsidRPr="00271246">
        <w:rPr>
          <w:lang w:val="es-ES_tradnl"/>
        </w:rPr>
        <w:t>–</w:t>
      </w:r>
      <w:r w:rsidRPr="00271246">
        <w:rPr>
          <w:lang w:val="es-ES_tradnl"/>
        </w:rPr>
        <w:tab/>
        <w:t>número de canal/frecuencia (como se indica en la Columna 3 del Artículo</w:t>
      </w:r>
      <w:r w:rsidR="00FC5406" w:rsidRPr="00271246">
        <w:rPr>
          <w:lang w:val="es-ES_tradnl"/>
        </w:rPr>
        <w:t xml:space="preserve"> </w:t>
      </w:r>
      <w:r w:rsidRPr="00271246">
        <w:rPr>
          <w:lang w:val="es-ES_tradnl"/>
        </w:rPr>
        <w:t xml:space="preserve">9 y en la Columna 5 de los Cuadros titulados </w:t>
      </w:r>
      <w:r w:rsidRPr="0071532F">
        <w:rPr>
          <w:i/>
          <w:iCs/>
          <w:lang w:val="es-ES_tradnl"/>
        </w:rPr>
        <w:t>«Margen de protección equivalente mínimo en el Plan para los enlaces de conexión en las Regiones 1 y 3 en la banda de frecuencias 14,5-14,8 GHz (ordenado por posición orbital»</w:t>
      </w:r>
      <w:r w:rsidRPr="00271246">
        <w:rPr>
          <w:lang w:val="es-ES_tradnl"/>
        </w:rPr>
        <w:t xml:space="preserve"> y </w:t>
      </w:r>
      <w:r w:rsidRPr="0071532F">
        <w:rPr>
          <w:i/>
          <w:iCs/>
          <w:lang w:val="es-ES_tradnl"/>
        </w:rPr>
        <w:t>«Margen de protección equivalente mínimo en el Plan para los enlaces de conexión en las Regiones 1 y 3 en la banda de frecuencias 17,3-18,1 GHz (ordenado por posición orbital)»</w:t>
      </w:r>
      <w:r w:rsidRPr="00271246">
        <w:rPr>
          <w:lang w:val="es-ES_tradnl"/>
        </w:rPr>
        <w:t xml:space="preserve"> del Artículo 9A del Apéndice</w:t>
      </w:r>
      <w:r w:rsidR="00271246" w:rsidRPr="00271246">
        <w:rPr>
          <w:lang w:val="es-ES_tradnl"/>
        </w:rPr>
        <w:t> </w:t>
      </w:r>
      <w:r w:rsidRPr="00271246">
        <w:rPr>
          <w:rStyle w:val="Appref"/>
          <w:b/>
          <w:color w:val="000000"/>
          <w:lang w:val="es-ES_tradnl"/>
        </w:rPr>
        <w:t>30A</w:t>
      </w:r>
      <w:r w:rsidRPr="00271246">
        <w:rPr>
          <w:lang w:val="es-ES_tradnl"/>
        </w:rPr>
        <w:t>);</w:t>
      </w:r>
    </w:p>
    <w:p w14:paraId="03B572C4" w14:textId="77777777" w:rsidR="00CD474A" w:rsidRPr="00271246" w:rsidRDefault="00CD474A" w:rsidP="00271246">
      <w:pPr>
        <w:pStyle w:val="enumlev3"/>
        <w:rPr>
          <w:lang w:val="es-ES_tradnl"/>
        </w:rPr>
      </w:pPr>
      <w:r w:rsidRPr="00271246">
        <w:rPr>
          <w:lang w:val="es-ES_tradnl"/>
        </w:rPr>
        <w:t>–</w:t>
      </w:r>
      <w:r w:rsidRPr="00271246">
        <w:rPr>
          <w:lang w:val="es-ES_tradnl"/>
        </w:rPr>
        <w:tab/>
        <w:t>coordenadas del punto de intersección del eje del haz con la Tierra (como se indica en la Columna 4 de los Artículos</w:t>
      </w:r>
      <w:r w:rsidR="00271246" w:rsidRPr="00271246">
        <w:rPr>
          <w:lang w:val="es-ES_tradnl"/>
        </w:rPr>
        <w:t> </w:t>
      </w:r>
      <w:r w:rsidRPr="00271246">
        <w:rPr>
          <w:lang w:val="es-ES_tradnl"/>
        </w:rPr>
        <w:t>9 y 9A, del Apéndice</w:t>
      </w:r>
      <w:r w:rsidR="00FC5406" w:rsidRPr="00271246">
        <w:rPr>
          <w:lang w:val="es-ES_tradnl"/>
        </w:rPr>
        <w:t> </w:t>
      </w:r>
      <w:r w:rsidRPr="00271246">
        <w:rPr>
          <w:rStyle w:val="Appref"/>
          <w:b/>
          <w:color w:val="000000"/>
          <w:lang w:val="es-ES_tradnl"/>
        </w:rPr>
        <w:t>30A</w:t>
      </w:r>
      <w:r w:rsidRPr="00271246">
        <w:rPr>
          <w:lang w:val="es-ES_tradnl"/>
        </w:rPr>
        <w:t>);</w:t>
      </w:r>
    </w:p>
    <w:p w14:paraId="6300861E" w14:textId="77777777" w:rsidR="00CD474A" w:rsidRPr="00271246" w:rsidRDefault="00CD474A">
      <w:pPr>
        <w:pStyle w:val="enumlev3"/>
        <w:rPr>
          <w:lang w:val="es-ES_tradnl"/>
        </w:rPr>
      </w:pPr>
      <w:r w:rsidRPr="00271246">
        <w:rPr>
          <w:lang w:val="es-ES_tradnl"/>
        </w:rPr>
        <w:t>–</w:t>
      </w:r>
      <w:r w:rsidRPr="00271246">
        <w:rPr>
          <w:lang w:val="es-ES_tradnl"/>
        </w:rPr>
        <w:tab/>
        <w:t>en el caso de un haz elíptico:</w:t>
      </w:r>
    </w:p>
    <w:p w14:paraId="26262097" w14:textId="77777777" w:rsidR="00CD474A" w:rsidRPr="00271246" w:rsidRDefault="00CD474A" w:rsidP="00271246">
      <w:pPr>
        <w:pStyle w:val="enumlev4"/>
        <w:rPr>
          <w:lang w:val="es-ES_tradnl"/>
        </w:rPr>
      </w:pPr>
      <w:r w:rsidRPr="00271246">
        <w:rPr>
          <w:lang w:val="es-ES_tradnl"/>
        </w:rPr>
        <w:t>–</w:t>
      </w:r>
      <w:r w:rsidRPr="00271246">
        <w:rPr>
          <w:lang w:val="es-ES_tradnl"/>
        </w:rPr>
        <w:tab/>
        <w:t>abertura angular del haz de la antena (como se indica en la Columna 5 de los Artículos</w:t>
      </w:r>
      <w:r w:rsidR="00271246" w:rsidRPr="00271246">
        <w:rPr>
          <w:lang w:val="es-ES_tradnl"/>
        </w:rPr>
        <w:t> </w:t>
      </w:r>
      <w:r w:rsidRPr="00271246">
        <w:rPr>
          <w:lang w:val="es-ES_tradnl"/>
        </w:rPr>
        <w:t>9 y 9A, del Apéndice </w:t>
      </w:r>
      <w:r w:rsidRPr="00271246">
        <w:rPr>
          <w:rStyle w:val="Appref"/>
          <w:b/>
          <w:color w:val="000000"/>
          <w:lang w:val="es-ES_tradnl"/>
        </w:rPr>
        <w:t>30A</w:t>
      </w:r>
      <w:r w:rsidRPr="00271246">
        <w:rPr>
          <w:lang w:val="es-ES_tradnl"/>
        </w:rPr>
        <w:t>);</w:t>
      </w:r>
    </w:p>
    <w:p w14:paraId="1FBD05B8" w14:textId="77777777" w:rsidR="00CD474A" w:rsidRPr="00271246" w:rsidRDefault="00CD474A">
      <w:pPr>
        <w:pStyle w:val="enumlev4"/>
        <w:rPr>
          <w:lang w:val="es-ES_tradnl"/>
        </w:rPr>
      </w:pPr>
      <w:r w:rsidRPr="00271246">
        <w:rPr>
          <w:lang w:val="es-ES_tradnl"/>
        </w:rPr>
        <w:t>–</w:t>
      </w:r>
      <w:r w:rsidRPr="00271246">
        <w:rPr>
          <w:lang w:val="es-ES_tradnl"/>
        </w:rPr>
        <w:tab/>
        <w:t>orientación de la elipse (come se indica en las Columnas 6 y 5 de los Artículos 9 y 9A, respectivamente, del Apéndice </w:t>
      </w:r>
      <w:r w:rsidRPr="00271246">
        <w:rPr>
          <w:rStyle w:val="Appref"/>
          <w:b/>
          <w:color w:val="000000"/>
          <w:lang w:val="es-ES_tradnl"/>
        </w:rPr>
        <w:t>30A</w:t>
      </w:r>
      <w:r w:rsidRPr="00271246">
        <w:rPr>
          <w:lang w:val="es-ES_tradnl"/>
        </w:rPr>
        <w:t>);</w:t>
      </w:r>
    </w:p>
    <w:p w14:paraId="3191148C" w14:textId="77777777" w:rsidR="00CD474A" w:rsidRPr="00271246" w:rsidRDefault="00CD474A">
      <w:pPr>
        <w:pStyle w:val="enumlev4"/>
        <w:rPr>
          <w:lang w:val="es-ES_tradnl"/>
        </w:rPr>
      </w:pPr>
      <w:r w:rsidRPr="00271246">
        <w:rPr>
          <w:lang w:val="es-ES_tradnl"/>
        </w:rPr>
        <w:t>–</w:t>
      </w:r>
      <w:r w:rsidRPr="00271246">
        <w:rPr>
          <w:lang w:val="es-ES_tradnl"/>
        </w:rPr>
        <w:tab/>
        <w:t>precisión de rotación de la antena (igual o mejor que la de los § 3.7.4 (Regiones 1 y 3) ó 4.6.4 (Región 2) del Anexo 3 al Apéndice </w:t>
      </w:r>
      <w:r w:rsidRPr="00271246">
        <w:rPr>
          <w:rStyle w:val="Appref"/>
          <w:b/>
          <w:color w:val="000000"/>
          <w:lang w:val="es-ES_tradnl"/>
        </w:rPr>
        <w:t>30A</w:t>
      </w:r>
      <w:r w:rsidRPr="00271246">
        <w:rPr>
          <w:lang w:val="es-ES_tradnl"/>
        </w:rPr>
        <w:t>);</w:t>
      </w:r>
    </w:p>
    <w:p w14:paraId="25CE1B3F" w14:textId="77777777" w:rsidR="00CD474A" w:rsidRPr="00271246" w:rsidRDefault="00CD474A" w:rsidP="00FC5406">
      <w:pPr>
        <w:pStyle w:val="enumlev3"/>
        <w:rPr>
          <w:lang w:val="es-ES_tradnl"/>
        </w:rPr>
      </w:pPr>
      <w:r w:rsidRPr="00271246">
        <w:rPr>
          <w:lang w:val="es-ES_tradnl"/>
        </w:rPr>
        <w:t>–</w:t>
      </w:r>
      <w:r w:rsidRPr="00271246">
        <w:rPr>
          <w:lang w:val="es-ES_tradnl"/>
        </w:rPr>
        <w:tab/>
        <w:t>polarización (como se indica en las Columnas 7 y 10 de los Artículos 9 y 9A, respectivamente, del Apéndice </w:t>
      </w:r>
      <w:r w:rsidRPr="00271246">
        <w:rPr>
          <w:rStyle w:val="Appref"/>
          <w:b/>
          <w:color w:val="000000"/>
          <w:lang w:val="es-ES_tradnl"/>
        </w:rPr>
        <w:t>30A</w:t>
      </w:r>
      <w:r w:rsidRPr="00271246">
        <w:rPr>
          <w:lang w:val="es-ES_tradnl"/>
        </w:rPr>
        <w:t>);</w:t>
      </w:r>
    </w:p>
    <w:p w14:paraId="6EF8184D" w14:textId="77777777" w:rsidR="00CD474A" w:rsidRPr="00271246" w:rsidRDefault="00CD474A">
      <w:pPr>
        <w:pStyle w:val="enumlev3"/>
        <w:rPr>
          <w:lang w:val="es-ES_tradnl"/>
        </w:rPr>
      </w:pPr>
      <w:r w:rsidRPr="00271246">
        <w:rPr>
          <w:lang w:val="es-ES_tradnl"/>
        </w:rPr>
        <w:t>–</w:t>
      </w:r>
      <w:r w:rsidRPr="00271246">
        <w:rPr>
          <w:lang w:val="es-ES_tradnl"/>
        </w:rPr>
        <w:tab/>
        <w:t>zona de servicio (los puntos de prueba estarán situados dentro de la zona de servicio);</w:t>
      </w:r>
    </w:p>
    <w:p w14:paraId="3EC928B3" w14:textId="77777777" w:rsidR="00CD474A" w:rsidRDefault="00CD474A" w:rsidP="00FC5406">
      <w:pPr>
        <w:pStyle w:val="enumlev3"/>
        <w:rPr>
          <w:lang w:val="es-ES_tradnl"/>
        </w:rPr>
      </w:pPr>
      <w:r w:rsidRPr="00271246">
        <w:rPr>
          <w:lang w:val="es-ES_tradnl"/>
        </w:rPr>
        <w:t>–</w:t>
      </w:r>
      <w:r w:rsidRPr="00271246">
        <w:rPr>
          <w:lang w:val="es-ES_tradnl"/>
        </w:rPr>
        <w:tab/>
        <w:t xml:space="preserve">clase de emisión y anchura de banda (como se indica en la Columna 13 del Artículo 9A en el caso del Plan de las Regiones 1 y 3 del Apéndice </w:t>
      </w:r>
      <w:r w:rsidRPr="00271246">
        <w:rPr>
          <w:rStyle w:val="Appref"/>
          <w:b/>
          <w:color w:val="000000"/>
          <w:lang w:val="es-ES_tradnl"/>
        </w:rPr>
        <w:t>30A</w:t>
      </w:r>
      <w:r w:rsidRPr="00271246">
        <w:rPr>
          <w:lang w:val="es-ES_tradnl"/>
        </w:rPr>
        <w:t>, o si no como se indica en los § 3.1 y 3.8 del Anexo 5 al Apéndice</w:t>
      </w:r>
      <w:r w:rsidR="00FC5406" w:rsidRPr="00271246">
        <w:rPr>
          <w:lang w:val="es-ES_tradnl"/>
        </w:rPr>
        <w:t> </w:t>
      </w:r>
      <w:r w:rsidRPr="00271246">
        <w:rPr>
          <w:rStyle w:val="Appref"/>
          <w:b/>
          <w:color w:val="000000"/>
          <w:lang w:val="es-ES_tradnl"/>
        </w:rPr>
        <w:t>30</w:t>
      </w:r>
      <w:r w:rsidRPr="00271246">
        <w:rPr>
          <w:lang w:val="es-ES_tradnl"/>
        </w:rPr>
        <w:t>);</w:t>
      </w:r>
    </w:p>
    <w:p w14:paraId="7E0C6260" w14:textId="77777777" w:rsidR="00146F16" w:rsidRDefault="00146F16" w:rsidP="00FC5406">
      <w:pPr>
        <w:pStyle w:val="enumlev3"/>
        <w:rPr>
          <w:lang w:val="es-ES_tradnl"/>
        </w:rPr>
      </w:pPr>
    </w:p>
    <w:p w14:paraId="5D0344E6" w14:textId="77777777" w:rsidR="00146F16" w:rsidRDefault="00146F16" w:rsidP="00721395">
      <w:pPr>
        <w:rPr>
          <w:lang w:val="es-ES_tradnl"/>
        </w:rPr>
        <w:sectPr w:rsidR="00146F16" w:rsidSect="00F07DAE">
          <w:headerReference w:type="even" r:id="rId16"/>
          <w:headerReference w:type="default" r:id="rId17"/>
          <w:footnotePr>
            <w:pos w:val="beneathText"/>
            <w:numFmt w:val="chicago"/>
          </w:footnotePr>
          <w:pgSz w:w="11907" w:h="16840" w:code="9"/>
          <w:pgMar w:top="1701" w:right="851" w:bottom="1134" w:left="1985" w:header="720" w:footer="482" w:gutter="0"/>
          <w:cols w:space="720"/>
          <w:vAlign w:val="both"/>
        </w:sectPr>
      </w:pPr>
    </w:p>
    <w:p w14:paraId="02C5F841" w14:textId="77777777" w:rsidR="00CD474A" w:rsidRPr="00271246" w:rsidRDefault="00CD474A" w:rsidP="00FC5406">
      <w:pPr>
        <w:pStyle w:val="enumlev3"/>
        <w:rPr>
          <w:lang w:val="es-ES_tradnl"/>
        </w:rPr>
      </w:pPr>
      <w:r w:rsidRPr="00271246">
        <w:rPr>
          <w:lang w:val="es-ES_tradnl"/>
        </w:rPr>
        <w:lastRenderedPageBreak/>
        <w:t>–</w:t>
      </w:r>
      <w:r w:rsidRPr="00271246">
        <w:rPr>
          <w:lang w:val="es-ES_tradnl"/>
        </w:rPr>
        <w:tab/>
        <w:t>características de la antena (iguales o mejores que las indicadas en las Columnas 6 ó</w:t>
      </w:r>
      <w:r w:rsidR="00FC5406" w:rsidRPr="00271246">
        <w:rPr>
          <w:lang w:val="es-ES_tradnl"/>
        </w:rPr>
        <w:t xml:space="preserve"> </w:t>
      </w:r>
      <w:r w:rsidRPr="00271246">
        <w:rPr>
          <w:lang w:val="es-ES_tradnl"/>
        </w:rPr>
        <w:t xml:space="preserve">7, según proceda, del Artículo 9A del Apéndice </w:t>
      </w:r>
      <w:r w:rsidRPr="00271246">
        <w:rPr>
          <w:rStyle w:val="Appref"/>
          <w:b/>
          <w:color w:val="000000"/>
          <w:lang w:val="es-ES_tradnl"/>
        </w:rPr>
        <w:t>30A</w:t>
      </w:r>
      <w:r w:rsidRPr="00271246">
        <w:rPr>
          <w:lang w:val="es-ES_tradnl"/>
        </w:rPr>
        <w:t xml:space="preserve"> en el caso del Plan de las Regiones 1 y</w:t>
      </w:r>
      <w:r w:rsidR="00FC5406" w:rsidRPr="00271246">
        <w:rPr>
          <w:lang w:val="es-ES_tradnl"/>
        </w:rPr>
        <w:t xml:space="preserve"> </w:t>
      </w:r>
      <w:r w:rsidRPr="00271246">
        <w:rPr>
          <w:lang w:val="es-ES_tradnl"/>
        </w:rPr>
        <w:t>3, o por otra parte, iguales o mejores que las del § 4.6 del Anexo 3 del Apéndice </w:t>
      </w:r>
      <w:r w:rsidRPr="00271246">
        <w:rPr>
          <w:rStyle w:val="Appref"/>
          <w:b/>
          <w:color w:val="000000"/>
          <w:lang w:val="es-ES_tradnl"/>
        </w:rPr>
        <w:t>30A</w:t>
      </w:r>
      <w:r w:rsidRPr="00271246">
        <w:rPr>
          <w:lang w:val="es-ES_tradnl"/>
        </w:rPr>
        <w:t>);</w:t>
      </w:r>
    </w:p>
    <w:p w14:paraId="7FD1936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precisión de puntería de la antena (igual o mejor que la del § 3.7.4 (Regiones</w:t>
      </w:r>
      <w:r w:rsidR="00271246" w:rsidRPr="00271246">
        <w:rPr>
          <w:lang w:val="es-ES_tradnl"/>
        </w:rPr>
        <w:t> </w:t>
      </w:r>
      <w:r w:rsidRPr="00271246">
        <w:rPr>
          <w:lang w:val="es-ES_tradnl"/>
        </w:rPr>
        <w:t>1 y 3) ó del § 4.6.4 (Región 2) del Anexo 3 al Apéndice </w:t>
      </w:r>
      <w:r w:rsidRPr="00271246">
        <w:rPr>
          <w:rStyle w:val="Appref"/>
          <w:b/>
          <w:color w:val="000000"/>
          <w:lang w:val="es-ES_tradnl"/>
        </w:rPr>
        <w:t>30A</w:t>
      </w:r>
      <w:r w:rsidRPr="00271246">
        <w:rPr>
          <w:lang w:val="es-ES_tradnl"/>
        </w:rPr>
        <w:t>);</w:t>
      </w:r>
    </w:p>
    <w:p w14:paraId="2611B72F"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temperatura de ruido del sistema (véase la Nota 7 del Artículo 9A y el §</w:t>
      </w:r>
      <w:r w:rsidR="00271246" w:rsidRPr="00271246">
        <w:rPr>
          <w:lang w:val="es-ES_tradnl"/>
        </w:rPr>
        <w:t> </w:t>
      </w:r>
      <w:r w:rsidRPr="00271246">
        <w:rPr>
          <w:lang w:val="es-ES_tradnl"/>
        </w:rPr>
        <w:t>3.8 del Anexo 3 al Apéndice</w:t>
      </w:r>
      <w:r w:rsidR="00FC5406" w:rsidRPr="00271246">
        <w:rPr>
          <w:lang w:val="es-ES_tradnl"/>
        </w:rPr>
        <w:t xml:space="preserve"> </w:t>
      </w:r>
      <w:r w:rsidRPr="00271246">
        <w:rPr>
          <w:rStyle w:val="Appref"/>
          <w:b/>
          <w:color w:val="000000"/>
          <w:lang w:val="es-ES_tradnl"/>
        </w:rPr>
        <w:t>30A</w:t>
      </w:r>
      <w:r w:rsidRPr="00271246">
        <w:rPr>
          <w:lang w:val="es-ES_tradnl"/>
        </w:rPr>
        <w:t>, según proceda para las Regiones 1 y 3 y el §</w:t>
      </w:r>
      <w:r w:rsidR="00271246" w:rsidRPr="00271246">
        <w:rPr>
          <w:lang w:val="es-ES_tradnl"/>
        </w:rPr>
        <w:t> </w:t>
      </w:r>
      <w:r w:rsidRPr="00271246">
        <w:rPr>
          <w:lang w:val="es-ES_tradnl"/>
        </w:rPr>
        <w:t>4.7 del mismo Anexo para la Región</w:t>
      </w:r>
      <w:r w:rsidR="00FC5406" w:rsidRPr="00271246">
        <w:rPr>
          <w:lang w:val="es-ES_tradnl"/>
        </w:rPr>
        <w:t> </w:t>
      </w:r>
      <w:r w:rsidRPr="00271246">
        <w:rPr>
          <w:lang w:val="es-ES_tradnl"/>
        </w:rPr>
        <w:t>2);</w:t>
      </w:r>
    </w:p>
    <w:p w14:paraId="10AD56E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tolerancia de mantenimiento en posición de la estación (igual o mejor que la del § 3.16 del Anexo 3 al Apéndice</w:t>
      </w:r>
      <w:r w:rsidR="00FC5406" w:rsidRPr="00271246">
        <w:rPr>
          <w:lang w:val="es-ES_tradnl"/>
        </w:rPr>
        <w:t> </w:t>
      </w:r>
      <w:r w:rsidRPr="00271246">
        <w:rPr>
          <w:rStyle w:val="Appref"/>
          <w:b/>
          <w:color w:val="000000"/>
          <w:lang w:val="es-ES_tradnl"/>
        </w:rPr>
        <w:t>30A</w:t>
      </w:r>
      <w:r w:rsidRPr="00271246">
        <w:rPr>
          <w:lang w:val="es-ES_tradnl"/>
        </w:rPr>
        <w:t>);</w:t>
      </w:r>
    </w:p>
    <w:p w14:paraId="64EC7532"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características de modulación (igual que la de la Columna 13 del Artículo 9A del Apéndice</w:t>
      </w:r>
      <w:r w:rsidR="00271246" w:rsidRPr="00271246">
        <w:rPr>
          <w:lang w:val="es-ES_tradnl"/>
        </w:rPr>
        <w:t xml:space="preserve"> </w:t>
      </w:r>
      <w:r w:rsidRPr="00271246">
        <w:rPr>
          <w:rStyle w:val="Appref"/>
          <w:b/>
          <w:color w:val="000000"/>
          <w:lang w:val="es-ES_tradnl"/>
        </w:rPr>
        <w:t>30A</w:t>
      </w:r>
      <w:r w:rsidRPr="00271246">
        <w:rPr>
          <w:lang w:val="es-ES_tradnl"/>
        </w:rPr>
        <w:t xml:space="preserve"> en el caso del Plan de las Regiones 1 y 3, o si no como se indica en el §</w:t>
      </w:r>
      <w:r w:rsidR="00FC5406" w:rsidRPr="00271246">
        <w:rPr>
          <w:lang w:val="es-ES_tradnl"/>
        </w:rPr>
        <w:t> </w:t>
      </w:r>
      <w:r w:rsidRPr="00271246">
        <w:rPr>
          <w:lang w:val="es-ES_tradnl"/>
        </w:rPr>
        <w:t>3.1 del Anexo</w:t>
      </w:r>
      <w:r w:rsidR="00FC5406" w:rsidRPr="00271246">
        <w:rPr>
          <w:lang w:val="es-ES_tradnl"/>
        </w:rPr>
        <w:t> </w:t>
      </w:r>
      <w:r w:rsidRPr="00271246">
        <w:rPr>
          <w:lang w:val="es-ES_tradnl"/>
        </w:rPr>
        <w:t>5 al Apéndice</w:t>
      </w:r>
      <w:r w:rsidR="00FC5406" w:rsidRPr="00271246">
        <w:rPr>
          <w:lang w:val="es-ES_tradnl"/>
        </w:rPr>
        <w:t> </w:t>
      </w:r>
      <w:r w:rsidRPr="00271246">
        <w:rPr>
          <w:rStyle w:val="Appref"/>
          <w:b/>
          <w:color w:val="000000"/>
          <w:lang w:val="es-ES_tradnl"/>
        </w:rPr>
        <w:t>30</w:t>
      </w:r>
      <w:r w:rsidRPr="00271246">
        <w:rPr>
          <w:lang w:val="es-ES_tradnl"/>
        </w:rPr>
        <w:t>);</w:t>
      </w:r>
    </w:p>
    <w:p w14:paraId="5E58FAB8"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gama de control automático de ganancia (igual que la del § 3.10 del Anexo 3 al Apéndice</w:t>
      </w:r>
      <w:r w:rsidR="00271246" w:rsidRPr="00271246">
        <w:rPr>
          <w:lang w:val="es-ES_tradnl"/>
        </w:rPr>
        <w:t xml:space="preserve"> </w:t>
      </w:r>
      <w:r w:rsidRPr="00271246">
        <w:rPr>
          <w:rStyle w:val="Appref"/>
          <w:b/>
          <w:color w:val="000000"/>
          <w:lang w:val="es-ES_tradnl"/>
        </w:rPr>
        <w:t>30A</w:t>
      </w:r>
      <w:r w:rsidRPr="00271246">
        <w:rPr>
          <w:lang w:val="es-ES_tradnl"/>
        </w:rPr>
        <w:t xml:space="preserve"> para las Regiones 1 y 3, y que la del § 4.9 del mismo Anexo para la Región 2).</w:t>
      </w:r>
    </w:p>
    <w:p w14:paraId="169752D7" w14:textId="77777777" w:rsidR="00CD474A" w:rsidRPr="00271246" w:rsidRDefault="00CD474A">
      <w:pPr>
        <w:pStyle w:val="enumlev2"/>
        <w:rPr>
          <w:lang w:val="es-ES_tradnl"/>
        </w:rPr>
      </w:pPr>
      <w:r w:rsidRPr="00271246">
        <w:rPr>
          <w:lang w:val="es-ES_tradnl"/>
        </w:rPr>
        <w:t>ii)</w:t>
      </w:r>
      <w:r w:rsidRPr="00271246">
        <w:rPr>
          <w:lang w:val="es-ES_tradnl"/>
        </w:rPr>
        <w:tab/>
        <w:t>Para una estación terrena transmisora asociada:</w:t>
      </w:r>
    </w:p>
    <w:p w14:paraId="4651CE75"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p.i.r.e.: Columnas 8 y 11 de los Artículos 9 y 9A, respectivamente, del Apéndice </w:t>
      </w:r>
      <w:r w:rsidRPr="00271246">
        <w:rPr>
          <w:rStyle w:val="Appref"/>
          <w:b/>
          <w:color w:val="000000"/>
          <w:lang w:val="es-ES_tradnl"/>
        </w:rPr>
        <w:t>30A</w:t>
      </w:r>
      <w:r w:rsidRPr="00271246">
        <w:rPr>
          <w:lang w:val="es-ES_tradnl"/>
        </w:rPr>
        <w:t>;</w:t>
      </w:r>
    </w:p>
    <w:p w14:paraId="4B6A3BD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diámetro de la Antena: § 3.5.1 ó 4.4.1 del Anexo 3 al Apéndice</w:t>
      </w:r>
      <w:r w:rsidR="00FC5406" w:rsidRPr="00271246">
        <w:rPr>
          <w:lang w:val="es-ES_tradnl"/>
        </w:rPr>
        <w:t> </w:t>
      </w:r>
      <w:r w:rsidRPr="00271246">
        <w:rPr>
          <w:rStyle w:val="Appref"/>
          <w:b/>
          <w:color w:val="000000"/>
          <w:lang w:val="es-ES_tradnl"/>
        </w:rPr>
        <w:t>30A</w:t>
      </w:r>
      <w:r w:rsidRPr="00271246">
        <w:rPr>
          <w:lang w:val="es-ES_tradnl"/>
        </w:rPr>
        <w:t>;</w:t>
      </w:r>
    </w:p>
    <w:p w14:paraId="45877390"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 xml:space="preserve">diagramas de referencia: Fig. 6 o Fig. A del Anexo 3 al Apéndice </w:t>
      </w:r>
      <w:r w:rsidRPr="00271246">
        <w:rPr>
          <w:rStyle w:val="Appref"/>
          <w:b/>
          <w:color w:val="000000"/>
          <w:lang w:val="es-ES_tradnl"/>
        </w:rPr>
        <w:t>30A</w:t>
      </w:r>
      <w:r w:rsidRPr="00271246">
        <w:rPr>
          <w:lang w:val="es-ES_tradnl"/>
        </w:rPr>
        <w:t xml:space="preserve"> (como se indica en la Columna 9 del Artículo 9A del Apéndice </w:t>
      </w:r>
      <w:r w:rsidRPr="00271246">
        <w:rPr>
          <w:rStyle w:val="Appref"/>
          <w:b/>
          <w:color w:val="000000"/>
          <w:lang w:val="es-ES_tradnl"/>
        </w:rPr>
        <w:t>30A</w:t>
      </w:r>
      <w:r w:rsidRPr="00271246">
        <w:rPr>
          <w:lang w:val="es-ES_tradnl"/>
        </w:rPr>
        <w:t xml:space="preserve"> para el Plan de las Regiones</w:t>
      </w:r>
      <w:r w:rsidR="00271246" w:rsidRPr="00271246">
        <w:rPr>
          <w:lang w:val="es-ES_tradnl"/>
        </w:rPr>
        <w:t> </w:t>
      </w:r>
      <w:r w:rsidRPr="00271246">
        <w:rPr>
          <w:lang w:val="es-ES_tradnl"/>
        </w:rPr>
        <w:t>1 y</w:t>
      </w:r>
      <w:r w:rsidR="00271246" w:rsidRPr="00271246">
        <w:rPr>
          <w:lang w:val="es-ES_tradnl"/>
        </w:rPr>
        <w:t> </w:t>
      </w:r>
      <w:r w:rsidRPr="00271246">
        <w:rPr>
          <w:lang w:val="es-ES_tradnl"/>
        </w:rPr>
        <w:t>3);</w:t>
      </w:r>
    </w:p>
    <w:p w14:paraId="786932D3" w14:textId="77777777" w:rsidR="00CD474A" w:rsidRPr="00271246" w:rsidRDefault="00CD474A" w:rsidP="00271246">
      <w:pPr>
        <w:pStyle w:val="enumlev3"/>
        <w:rPr>
          <w:lang w:val="es-ES_tradnl"/>
        </w:rPr>
      </w:pPr>
      <w:r w:rsidRPr="00271246">
        <w:rPr>
          <w:lang w:val="es-ES_tradnl"/>
        </w:rPr>
        <w:t>–</w:t>
      </w:r>
      <w:r w:rsidRPr="00271246">
        <w:rPr>
          <w:lang w:val="es-ES_tradnl"/>
        </w:rPr>
        <w:tab/>
        <w:t>potencia de transmisión: § 3.6 ó 4.5 del Anexo 3 al Apéndice</w:t>
      </w:r>
      <w:r w:rsidR="00271246" w:rsidRPr="00271246">
        <w:rPr>
          <w:lang w:val="es-ES_tradnl"/>
        </w:rPr>
        <w:t> </w:t>
      </w:r>
      <w:r w:rsidRPr="00271246">
        <w:rPr>
          <w:rStyle w:val="Appref"/>
          <w:b/>
          <w:color w:val="000000"/>
          <w:lang w:val="es-ES_tradnl"/>
        </w:rPr>
        <w:t>30A</w:t>
      </w:r>
      <w:r w:rsidRPr="00271246">
        <w:rPr>
          <w:lang w:val="es-ES_tradnl"/>
        </w:rPr>
        <w:t>;</w:t>
      </w:r>
    </w:p>
    <w:p w14:paraId="76CFCED9" w14:textId="77777777" w:rsidR="00CD474A" w:rsidRPr="00271246" w:rsidRDefault="00CD474A">
      <w:pPr>
        <w:pStyle w:val="enumlev3"/>
        <w:rPr>
          <w:lang w:val="es-ES_tradnl"/>
        </w:rPr>
      </w:pPr>
      <w:r w:rsidRPr="00271246">
        <w:rPr>
          <w:lang w:val="es-ES_tradnl"/>
        </w:rPr>
        <w:t>–</w:t>
      </w:r>
      <w:r w:rsidRPr="00271246">
        <w:rPr>
          <w:lang w:val="es-ES_tradnl"/>
        </w:rPr>
        <w:tab/>
        <w:t>ubicación de la estación terrena asociada que ha de asociarse con los puntos de prueba dentro de la zona de servicio;</w:t>
      </w:r>
    </w:p>
    <w:p w14:paraId="1D3F40F6" w14:textId="77777777" w:rsidR="00CD474A" w:rsidRPr="00271246" w:rsidRDefault="00CD474A" w:rsidP="00DF3A07">
      <w:pPr>
        <w:pStyle w:val="enumlev3"/>
        <w:rPr>
          <w:lang w:val="es-ES_tradnl"/>
        </w:rPr>
      </w:pPr>
      <w:r w:rsidRPr="00271246">
        <w:rPr>
          <w:lang w:val="es-ES_tradnl"/>
        </w:rPr>
        <w:t>–</w:t>
      </w:r>
      <w:r w:rsidRPr="00271246">
        <w:rPr>
          <w:lang w:val="es-ES_tradnl"/>
        </w:rPr>
        <w:tab/>
        <w:t>dispersión de energía (igual que en el § 3.18 del Anexo 5 al Apéndice</w:t>
      </w:r>
      <w:r w:rsidR="00DF3A07" w:rsidRPr="00271246">
        <w:rPr>
          <w:lang w:val="es-ES_tradnl"/>
        </w:rPr>
        <w:t> </w:t>
      </w:r>
      <w:r w:rsidRPr="00271246">
        <w:rPr>
          <w:rStyle w:val="Appref"/>
          <w:b/>
          <w:color w:val="000000"/>
          <w:lang w:val="es-ES_tradnl"/>
        </w:rPr>
        <w:t>30</w:t>
      </w:r>
      <w:r w:rsidRPr="00271246">
        <w:rPr>
          <w:lang w:val="es-ES_tradnl"/>
        </w:rPr>
        <w:t>).</w:t>
      </w:r>
    </w:p>
    <w:p w14:paraId="1EABE706" w14:textId="77777777" w:rsidR="00CD474A" w:rsidRPr="00271246" w:rsidRDefault="00CD474A" w:rsidP="00343FF3">
      <w:pPr>
        <w:spacing w:before="120"/>
        <w:rPr>
          <w:lang w:val="es-ES_tradnl"/>
        </w:rPr>
      </w:pPr>
      <w:r w:rsidRPr="00271246">
        <w:rPr>
          <w:lang w:val="es-ES_tradnl"/>
        </w:rPr>
        <w:t>En relación con la potencia de transmisión, la Junta ha observado que según los §</w:t>
      </w:r>
      <w:r w:rsidR="00271246" w:rsidRPr="00271246">
        <w:rPr>
          <w:lang w:val="es-ES_tradnl"/>
        </w:rPr>
        <w:t> </w:t>
      </w:r>
      <w:r w:rsidRPr="00271246">
        <w:rPr>
          <w:lang w:val="es-ES_tradnl"/>
        </w:rPr>
        <w:t>3.11 y 4.10 del Anexo</w:t>
      </w:r>
      <w:r w:rsidR="00DF3A07" w:rsidRPr="00271246">
        <w:rPr>
          <w:lang w:val="es-ES_tradnl"/>
        </w:rPr>
        <w:t xml:space="preserve"> </w:t>
      </w:r>
      <w:r w:rsidRPr="00271246">
        <w:rPr>
          <w:lang w:val="es-ES_tradnl"/>
        </w:rPr>
        <w:t xml:space="preserve">3 al Apéndice </w:t>
      </w:r>
      <w:r w:rsidRPr="00271246">
        <w:rPr>
          <w:rStyle w:val="Appref"/>
          <w:b/>
          <w:color w:val="000000"/>
          <w:lang w:val="es-ES_tradnl"/>
        </w:rPr>
        <w:t>30A</w:t>
      </w:r>
      <w:r w:rsidRPr="00271246">
        <w:rPr>
          <w:lang w:val="es-ES_tradnl"/>
        </w:rPr>
        <w:t>, el control de potencia debe permanecer dentro de los límites indicados en esos puntos.</w:t>
      </w:r>
    </w:p>
    <w:p w14:paraId="43CA99DC" w14:textId="3223131B" w:rsidR="005D151F" w:rsidRDefault="00CD474A" w:rsidP="005D151F">
      <w:pPr>
        <w:rPr>
          <w:lang w:val="es-ES_tradnl"/>
        </w:rPr>
      </w:pPr>
      <w:r w:rsidRPr="00271246">
        <w:rPr>
          <w:lang w:val="es-ES_tradnl"/>
        </w:rPr>
        <w:t>2</w:t>
      </w:r>
      <w:r w:rsidRPr="00271246">
        <w:rPr>
          <w:lang w:val="es-ES_tradnl"/>
        </w:rPr>
        <w:tab/>
        <w:t>La Junta ha considerado la cuestión de si el examen referente a la conformidad con las Listas para las Regiones 1 y 3 se refieren únicamente a las columnas de los Cuadros de la Parte</w:t>
      </w:r>
      <w:r w:rsidR="00FC5406" w:rsidRPr="00271246">
        <w:rPr>
          <w:lang w:val="es-ES_tradnl"/>
        </w:rPr>
        <w:t xml:space="preserve"> </w:t>
      </w:r>
      <w:r w:rsidRPr="00271246">
        <w:rPr>
          <w:lang w:val="es-ES_tradnl"/>
        </w:rPr>
        <w:t>II del Anexo</w:t>
      </w:r>
      <w:r w:rsidR="00FC5406" w:rsidRPr="00271246">
        <w:rPr>
          <w:lang w:val="es-ES_tradnl"/>
        </w:rPr>
        <w:t xml:space="preserve"> </w:t>
      </w:r>
      <w:r w:rsidRPr="00271246">
        <w:rPr>
          <w:lang w:val="es-ES_tradnl"/>
        </w:rPr>
        <w:t xml:space="preserve">2 a la Resolución </w:t>
      </w:r>
      <w:r w:rsidRPr="00271246">
        <w:rPr>
          <w:rStyle w:val="Resref"/>
          <w:b/>
          <w:bCs/>
          <w:color w:val="000000"/>
          <w:lang w:val="es-ES_tradnl"/>
        </w:rPr>
        <w:t>542 (CMR</w:t>
      </w:r>
      <w:r w:rsidRPr="00271246">
        <w:rPr>
          <w:rStyle w:val="Resref"/>
          <w:b/>
          <w:bCs/>
          <w:color w:val="000000"/>
          <w:lang w:val="es-ES_tradnl"/>
        </w:rPr>
        <w:noBreakHyphen/>
        <w:t>2000)</w:t>
      </w:r>
      <w:r w:rsidR="005D151F" w:rsidRPr="005D151F">
        <w:rPr>
          <w:rStyle w:val="FootnoteReference"/>
          <w:b/>
          <w:bCs/>
          <w:color w:val="000000"/>
          <w:lang w:val="es-ES_tradnl"/>
        </w:rPr>
        <w:footnoteReference w:customMarkFollows="1" w:id="6"/>
        <w:sym w:font="Symbol" w:char="F02A"/>
      </w:r>
      <w:r w:rsidRPr="00271246">
        <w:rPr>
          <w:lang w:val="es-ES_tradnl"/>
        </w:rPr>
        <w:t xml:space="preserve">, actualizados, o si también incluye un examen con respecto a las características técnicas publicadas por la Oficina para cada red en las Listas de la correspondiente Parte B de la Sección especial de la Circular </w:t>
      </w:r>
      <w:r w:rsidR="00995666">
        <w:rPr>
          <w:lang w:val="es-ES_tradnl"/>
        </w:rPr>
        <w:br/>
      </w:r>
      <w:r w:rsidR="005D151F">
        <w:rPr>
          <w:lang w:val="es-ES_tradnl"/>
        </w:rPr>
        <w:br w:type="page"/>
      </w:r>
    </w:p>
    <w:p w14:paraId="4E7D6E1A" w14:textId="77777777" w:rsidR="00CD474A" w:rsidRPr="00271246" w:rsidRDefault="00CD474A" w:rsidP="005D151F">
      <w:pPr>
        <w:rPr>
          <w:lang w:val="es-ES_tradnl"/>
        </w:rPr>
      </w:pPr>
      <w:r w:rsidRPr="00271246">
        <w:rPr>
          <w:lang w:val="es-ES_tradnl"/>
        </w:rPr>
        <w:lastRenderedPageBreak/>
        <w:t>semanal o de la IFIC. La Junta llegó a la conclusión de que todas las características técnicas publicadas en la Parte B de la Sección especial para una red determinada deben tenerse en</w:t>
      </w:r>
      <w:r w:rsidR="005D151F">
        <w:rPr>
          <w:lang w:val="es-ES_tradnl"/>
        </w:rPr>
        <w:t xml:space="preserve"> </w:t>
      </w:r>
      <w:r w:rsidRPr="00271246">
        <w:rPr>
          <w:lang w:val="es-ES_tradnl"/>
        </w:rPr>
        <w:t>cuenta en este examen. Por lo tanto, el examen desde el punto de vista de conformidad con las Listas se lleva a cabo en dos pasos:</w:t>
      </w:r>
    </w:p>
    <w:p w14:paraId="3CF5CBD7" w14:textId="77777777" w:rsidR="00CD474A" w:rsidRPr="00271246" w:rsidRDefault="00CD474A" w:rsidP="00FC5406">
      <w:pPr>
        <w:pStyle w:val="enumlev1"/>
        <w:rPr>
          <w:lang w:val="es-ES_tradnl"/>
        </w:rPr>
      </w:pPr>
      <w:r w:rsidRPr="00271246">
        <w:rPr>
          <w:i/>
          <w:iCs/>
          <w:lang w:val="es-ES_tradnl"/>
        </w:rPr>
        <w:t>a)</w:t>
      </w:r>
      <w:r w:rsidRPr="00271246">
        <w:rPr>
          <w:lang w:val="es-ES_tradnl"/>
        </w:rPr>
        <w:tab/>
        <w:t>asegurarse de que las características notificadas son las especificadas en las columnas de la Lista correspondiente, actualizada, y las especificadas en la Parte B de la Sección especial de una red determinada. Si las características son distintas, se lleva a cabo el examen con arreglo al § 5.2.1</w:t>
      </w:r>
      <w:r w:rsidR="00FC5406" w:rsidRPr="00271246">
        <w:rPr>
          <w:lang w:val="es-ES_tradnl"/>
        </w:rPr>
        <w:t> </w:t>
      </w:r>
      <w:r w:rsidRPr="00271246">
        <w:rPr>
          <w:i/>
          <w:iCs/>
          <w:lang w:val="es-ES_tradnl"/>
        </w:rPr>
        <w:t>d)</w:t>
      </w:r>
      <w:r w:rsidRPr="00271246">
        <w:rPr>
          <w:lang w:val="es-ES_tradnl"/>
        </w:rPr>
        <w:t>;</w:t>
      </w:r>
    </w:p>
    <w:p w14:paraId="3C99BC44" w14:textId="77777777" w:rsidR="00CD474A" w:rsidRPr="00271246" w:rsidRDefault="00CD474A" w:rsidP="00FC5406">
      <w:pPr>
        <w:pStyle w:val="enumlev1"/>
        <w:rPr>
          <w:lang w:val="es-ES_tradnl"/>
        </w:rPr>
      </w:pPr>
      <w:r w:rsidRPr="00271246">
        <w:rPr>
          <w:i/>
          <w:iCs/>
          <w:lang w:val="es-ES_tradnl"/>
        </w:rPr>
        <w:t>b)</w:t>
      </w:r>
      <w:r w:rsidRPr="00271246">
        <w:rPr>
          <w:lang w:val="es-ES_tradnl"/>
        </w:rPr>
        <w:tab/>
        <w:t>asegurarse de que los criterios de protección resultantes del Plan y la Lista para las Regiones 1 y</w:t>
      </w:r>
      <w:r w:rsidR="00FC5406" w:rsidRPr="00271246">
        <w:rPr>
          <w:lang w:val="es-ES_tradnl"/>
        </w:rPr>
        <w:t xml:space="preserve"> </w:t>
      </w:r>
      <w:r w:rsidRPr="00271246">
        <w:rPr>
          <w:lang w:val="es-ES_tradnl"/>
        </w:rPr>
        <w:t>3 correspondientes no se rebasan. Para ello, se examinan las características especificadas en las columnas de la Lista correspondiente, actualizada, y las especi</w:t>
      </w:r>
      <w:r w:rsidR="00FC5406" w:rsidRPr="00271246">
        <w:rPr>
          <w:lang w:val="es-ES_tradnl"/>
        </w:rPr>
        <w:softHyphen/>
      </w:r>
      <w:r w:rsidRPr="00271246">
        <w:rPr>
          <w:lang w:val="es-ES_tradnl"/>
        </w:rPr>
        <w:t>ficadas en la Parte B de la Sección especial de una red determinada.</w:t>
      </w:r>
    </w:p>
    <w:p w14:paraId="70D84947" w14:textId="77777777" w:rsidR="00CD474A" w:rsidRPr="00271246" w:rsidRDefault="00CD474A" w:rsidP="00FC5406">
      <w:pPr>
        <w:rPr>
          <w:lang w:val="es-ES_tradnl"/>
        </w:rPr>
      </w:pPr>
      <w:r w:rsidRPr="00271246">
        <w:rPr>
          <w:lang w:val="es-ES_tradnl"/>
        </w:rPr>
        <w:t>3</w:t>
      </w:r>
      <w:r w:rsidRPr="00271246">
        <w:rPr>
          <w:lang w:val="es-ES_tradnl"/>
        </w:rPr>
        <w:tab/>
        <w:t>Véanse también las Reglas de Procedimiento relativas al ámbito de aplicación del Artículo 5 del Apéndice</w:t>
      </w:r>
      <w:r w:rsidR="00FC5406" w:rsidRPr="00271246">
        <w:rPr>
          <w:lang w:val="es-ES_tradnl"/>
        </w:rPr>
        <w:t> </w:t>
      </w:r>
      <w:r w:rsidRPr="00271246">
        <w:rPr>
          <w:rStyle w:val="Appref"/>
          <w:b/>
          <w:color w:val="000000"/>
          <w:lang w:val="es-ES_tradnl"/>
        </w:rPr>
        <w:t>30A</w:t>
      </w:r>
      <w:r w:rsidRPr="00271246">
        <w:rPr>
          <w:lang w:val="es-ES_tradnl"/>
        </w:rPr>
        <w:t>.</w:t>
      </w:r>
    </w:p>
    <w:p w14:paraId="34801B0F" w14:textId="77777777" w:rsidR="00CD474A" w:rsidRPr="00271246" w:rsidRDefault="00CD474A">
      <w:pPr>
        <w:pStyle w:val="Heading9"/>
        <w:spacing w:before="240"/>
        <w:rPr>
          <w:lang w:val="es-ES_tradnl"/>
        </w:rPr>
      </w:pPr>
      <w:r w:rsidRPr="00271246">
        <w:rPr>
          <w:lang w:val="es-ES_tradnl"/>
        </w:rPr>
        <w:t xml:space="preserve">5.2.1 </w:t>
      </w:r>
      <w:r w:rsidRPr="00271246">
        <w:rPr>
          <w:i/>
          <w:lang w:val="es-ES_tradnl"/>
        </w:rPr>
        <w:t>d</w:t>
      </w:r>
      <w:r w:rsidR="00FC5406" w:rsidRPr="00271246">
        <w:rPr>
          <w:rFonts w:ascii="Tms Rmn" w:hAnsi="Tms Rmn"/>
          <w:iCs/>
          <w:sz w:val="12"/>
          <w:lang w:val="es-ES_tradnl"/>
        </w:rPr>
        <w:t> </w:t>
      </w:r>
      <w:r w:rsidRPr="00271246">
        <w:rPr>
          <w:i/>
          <w:lang w:val="es-ES_tradnl"/>
        </w:rPr>
        <w:t>)</w:t>
      </w:r>
    </w:p>
    <w:p w14:paraId="319AE870" w14:textId="77777777" w:rsidR="00CD474A" w:rsidRPr="00271246" w:rsidRDefault="00CD474A" w:rsidP="00DF3A07">
      <w:pPr>
        <w:rPr>
          <w:lang w:val="es-ES_tradnl"/>
        </w:rPr>
      </w:pPr>
      <w:r w:rsidRPr="00271246">
        <w:rPr>
          <w:lang w:val="es-ES_tradnl"/>
        </w:rPr>
        <w:t>1</w:t>
      </w:r>
      <w:r w:rsidRPr="00271246">
        <w:rPr>
          <w:lang w:val="es-ES_tradnl"/>
        </w:rPr>
        <w:tab/>
        <w:t>Si una administración notifica una asignación con características de modulación diferentes de las</w:t>
      </w:r>
      <w:r w:rsidR="00FC5406" w:rsidRPr="00271246">
        <w:rPr>
          <w:lang w:val="es-ES_tradnl"/>
        </w:rPr>
        <w:t xml:space="preserve"> </w:t>
      </w:r>
      <w:r w:rsidRPr="00271246">
        <w:rPr>
          <w:lang w:val="es-ES_tradnl"/>
        </w:rPr>
        <w:t>previstas en el § 1</w:t>
      </w:r>
      <w:r w:rsidR="00DF3A07" w:rsidRPr="00271246">
        <w:rPr>
          <w:lang w:val="es-ES_tradnl"/>
        </w:rPr>
        <w:t xml:space="preserve"> </w:t>
      </w:r>
      <w:r w:rsidRPr="00271246">
        <w:rPr>
          <w:i/>
          <w:lang w:val="es-ES_tradnl"/>
        </w:rPr>
        <w:t>b)</w:t>
      </w:r>
      <w:r w:rsidRPr="00271246">
        <w:rPr>
          <w:lang w:val="es-ES_tradnl"/>
        </w:rPr>
        <w:t xml:space="preserve"> de las Reglas de Procedimiento relacionadas con el § 5.2.1 </w:t>
      </w:r>
      <w:r w:rsidRPr="00271246">
        <w:rPr>
          <w:i/>
          <w:lang w:val="es-ES_tradnl"/>
        </w:rPr>
        <w:t>b)</w:t>
      </w:r>
      <w:r w:rsidRPr="00271246">
        <w:rPr>
          <w:lang w:val="es-ES_tradnl"/>
        </w:rPr>
        <w:t xml:space="preserve"> del Artículo 5 al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y las atribuidas al § 5.2.1 </w:t>
      </w:r>
      <w:r w:rsidRPr="00271246">
        <w:rPr>
          <w:i/>
          <w:lang w:val="es-ES_tradnl"/>
        </w:rPr>
        <w:t>d)</w:t>
      </w:r>
      <w:r w:rsidRPr="00271246">
        <w:rPr>
          <w:iCs/>
          <w:lang w:val="es-ES_tradnl"/>
        </w:rPr>
        <w:t>,</w:t>
      </w:r>
      <w:r w:rsidRPr="00271246">
        <w:rPr>
          <w:lang w:val="es-ES_tradnl"/>
        </w:rPr>
        <w:t xml:space="preserve"> del mismo Artículo, la Oficina emprende un estudio para determinar si las nuevas características propuestas aumen</w:t>
      </w:r>
      <w:r w:rsidR="00FC5406" w:rsidRPr="00271246">
        <w:rPr>
          <w:lang w:val="es-ES_tradnl"/>
        </w:rPr>
        <w:softHyphen/>
      </w:r>
      <w:r w:rsidRPr="00271246">
        <w:rPr>
          <w:lang w:val="es-ES_tradnl"/>
        </w:rPr>
        <w:t>tarían el nivel de la interferencia causada a otras asignaciones inscritas en el Plan Regional correspondiente, en la Lista o las Listas de las Regiones 1 y 3 en el mismo servicio de un Plan entre regiones o en otro servicio que comparta las mismas bandas de frecuencias.</w:t>
      </w:r>
    </w:p>
    <w:p w14:paraId="1ED3F04C" w14:textId="77777777" w:rsidR="00CD474A" w:rsidRPr="00271246" w:rsidRDefault="00CD474A" w:rsidP="00DF3A07">
      <w:pPr>
        <w:spacing w:line="270" w:lineRule="exact"/>
        <w:rPr>
          <w:lang w:val="es-ES_tradnl"/>
        </w:rPr>
      </w:pPr>
      <w:r w:rsidRPr="00271246">
        <w:rPr>
          <w:lang w:val="es-ES_tradnl"/>
        </w:rPr>
        <w:t>1.1</w:t>
      </w:r>
      <w:r w:rsidRPr="00271246">
        <w:rPr>
          <w:lang w:val="es-ES_tradnl"/>
        </w:rPr>
        <w:tab/>
        <w:t>Con respecto a la compatibilidad de las características nuevas propuestas con otras asignaciones del mismo Plan y la misma Lista regional, según proceda, el incremento de la interferencia se verificará comparando los valores del margen de protección equivalente/ margen de protección global equivalente de esas otras asignaciones, resultantes de las carac</w:t>
      </w:r>
      <w:r w:rsidRPr="00271246">
        <w:rPr>
          <w:lang w:val="es-ES_tradnl"/>
        </w:rPr>
        <w:softHyphen/>
        <w:t>terísticas nuevas propuestas por un lado, y los obtenidos con las características anteriores</w:t>
      </w:r>
      <w:r w:rsidRPr="00271246">
        <w:rPr>
          <w:rStyle w:val="FootnoteReference"/>
          <w:sz w:val="20"/>
          <w:lang w:val="es-ES_tradnl"/>
        </w:rPr>
        <w:footnoteReference w:customMarkFollows="1" w:id="7"/>
        <w:t>4</w:t>
      </w:r>
      <w:r w:rsidRPr="00271246">
        <w:rPr>
          <w:lang w:val="es-ES_tradnl"/>
        </w:rPr>
        <w:t xml:space="preserve"> de la red en cuestión, por otro. Los cálculos del margen de protección equivalente/margen de protección global equivalente se efectúan bajo las mismas hipótesis y condiciones técnicas, teniendo en cuenta el límite de separación orbital de </w:t>
      </w:r>
      <w:r w:rsidRPr="00271246">
        <w:rPr>
          <w:rFonts w:ascii="Symbol" w:hAnsi="Symbol"/>
          <w:lang w:val="es-ES_tradnl"/>
        </w:rPr>
        <w:sym w:font="Symbol" w:char="F0B1"/>
      </w:r>
      <w:r w:rsidR="00DF3A07" w:rsidRPr="00271246">
        <w:rPr>
          <w:rFonts w:ascii="Tms Rmn" w:hAnsi="Tms Rmn"/>
          <w:sz w:val="12"/>
          <w:lang w:val="es-ES_tradnl"/>
        </w:rPr>
        <w:t> </w:t>
      </w:r>
      <w:r w:rsidRPr="00271246">
        <w:rPr>
          <w:lang w:val="es-ES_tradnl"/>
        </w:rPr>
        <w:t>9</w:t>
      </w:r>
      <w:r w:rsidR="00DF3A07" w:rsidRPr="00271246">
        <w:rPr>
          <w:rFonts w:ascii="Symbol" w:hAnsi="Symbol"/>
          <w:lang w:val="es-ES_tradnl"/>
        </w:rPr>
        <w:t></w:t>
      </w:r>
      <w:r w:rsidRPr="00271246">
        <w:rPr>
          <w:lang w:val="es-ES_tradnl"/>
        </w:rPr>
        <w:t xml:space="preserve"> para las asignaciones que figuran en el Plan y en la Lista para las Regiones 1 y 3. Quizás hiciese falta además un análisis más detallado de la situación de interferencia, utilizando valores de la relación </w:t>
      </w:r>
      <w:r w:rsidRPr="00271246">
        <w:rPr>
          <w:i/>
          <w:iCs/>
          <w:lang w:val="es-ES_tradnl"/>
        </w:rPr>
        <w:t>C</w:t>
      </w:r>
      <w:r w:rsidRPr="00271246">
        <w:rPr>
          <w:lang w:val="es-ES_tradnl"/>
        </w:rPr>
        <w:t>/</w:t>
      </w:r>
      <w:r w:rsidRPr="00271246">
        <w:rPr>
          <w:i/>
          <w:iCs/>
          <w:lang w:val="es-ES_tradnl"/>
        </w:rPr>
        <w:t>I</w:t>
      </w:r>
      <w:r w:rsidRPr="00271246">
        <w:rPr>
          <w:lang w:val="es-ES_tradnl"/>
        </w:rPr>
        <w:t xml:space="preserve"> de una sola entrada para identificar las asignaciones de la red en cuestión que provocan el incremento de la interferencia.</w:t>
      </w:r>
    </w:p>
    <w:p w14:paraId="7818394D" w14:textId="75936FCC" w:rsidR="00CF2153" w:rsidRDefault="00CD474A" w:rsidP="00DF3A07">
      <w:pPr>
        <w:rPr>
          <w:lang w:val="es-ES_tradnl"/>
        </w:rPr>
      </w:pPr>
      <w:r w:rsidRPr="00271246">
        <w:rPr>
          <w:lang w:val="es-ES_tradnl"/>
        </w:rPr>
        <w:t xml:space="preserve">Además, en el caso de las Regiones 1 y 3, las asignaciones notificadas con características nuevas para la red en cuestión se examinan respecto a su conformidad con el límite estricto de densidad de flujo de potencia definido en el § 4 del Anexo 1 al Apéndice </w:t>
      </w:r>
      <w:r w:rsidRPr="00271246">
        <w:rPr>
          <w:rStyle w:val="Appref"/>
          <w:b/>
          <w:color w:val="000000"/>
          <w:lang w:val="es-ES_tradnl"/>
        </w:rPr>
        <w:t>30A</w:t>
      </w:r>
      <w:r w:rsidRPr="00271246">
        <w:rPr>
          <w:lang w:val="es-ES_tradnl"/>
        </w:rPr>
        <w:t>, o, como puede ocurrir, respecto a su conformidad con el nivel de densidad de flujo de potencia de las asignaciones correspondientes en el Plan o los Planes o en la Lista o las Listas si esas asignaciones fueron adoptadas por la CMR</w:t>
      </w:r>
      <w:r w:rsidR="00DF3A07" w:rsidRPr="00271246">
        <w:rPr>
          <w:lang w:val="es-ES_tradnl"/>
        </w:rPr>
        <w:t>-</w:t>
      </w:r>
      <w:r w:rsidRPr="00271246">
        <w:rPr>
          <w:lang w:val="es-ES_tradnl"/>
        </w:rPr>
        <w:t>2000 con nivel o niveles de densidad de flujo de potencia superiores al límite estricto de densidad de flujo de potencia antes mencionado.</w:t>
      </w:r>
    </w:p>
    <w:p w14:paraId="223D0009" w14:textId="77777777" w:rsidR="004D3A2D" w:rsidRDefault="004D3A2D" w:rsidP="00DF3A07">
      <w:pPr>
        <w:rPr>
          <w:lang w:val="es-ES_tradnl"/>
        </w:rPr>
        <w:sectPr w:rsidR="004D3A2D" w:rsidSect="00146F16">
          <w:headerReference w:type="even" r:id="rId18"/>
          <w:headerReference w:type="default" r:id="rId19"/>
          <w:footnotePr>
            <w:pos w:val="beneathText"/>
            <w:numFmt w:val="chicago"/>
          </w:footnotePr>
          <w:pgSz w:w="11907" w:h="16840" w:code="9"/>
          <w:pgMar w:top="1701" w:right="851" w:bottom="1134" w:left="1985" w:header="720" w:footer="482" w:gutter="0"/>
          <w:cols w:space="720"/>
          <w:vAlign w:val="both"/>
        </w:sectPr>
      </w:pPr>
    </w:p>
    <w:p w14:paraId="47443573" w14:textId="77777777" w:rsidR="00CD474A" w:rsidRPr="00271246" w:rsidRDefault="00CD474A" w:rsidP="00271246">
      <w:pPr>
        <w:spacing w:line="260" w:lineRule="exact"/>
        <w:rPr>
          <w:lang w:val="es-ES_tradnl"/>
        </w:rPr>
      </w:pPr>
      <w:r w:rsidRPr="00271246">
        <w:rPr>
          <w:lang w:val="es-ES_tradnl"/>
        </w:rPr>
        <w:lastRenderedPageBreak/>
        <w:t>1.2</w:t>
      </w:r>
      <w:r w:rsidRPr="00271246">
        <w:rPr>
          <w:lang w:val="es-ES_tradnl"/>
        </w:rPr>
        <w:tab/>
        <w:t>Con respecto a la compatibilidad con otras asignaciones interregionales en el mismo servicio o asignaciones en otro servicio compartiendo las mismas bandas de frecuencias, según proceda, el incremento de la interferencia se verificará calculando los valores de</w:t>
      </w:r>
      <w:r w:rsidR="00DF3A07" w:rsidRPr="00271246">
        <w:rPr>
          <w:lang w:val="es-ES_tradnl"/>
        </w:rPr>
        <w:t xml:space="preserve"> </w:t>
      </w:r>
      <w:r w:rsidRPr="00271246">
        <w:rPr>
          <w:rFonts w:ascii="Symbol" w:hAnsi="Symbol"/>
          <w:lang w:val="es-ES_tradnl"/>
        </w:rPr>
        <w:sym w:font="Symbol" w:char="F044"/>
      </w:r>
      <w:r w:rsidRPr="00271246">
        <w:rPr>
          <w:i/>
          <w:iCs/>
          <w:lang w:val="es-ES_tradnl"/>
        </w:rPr>
        <w:t>T</w:t>
      </w:r>
      <w:r w:rsidRPr="00271246">
        <w:rPr>
          <w:lang w:val="es-ES_tradnl"/>
        </w:rPr>
        <w:t>/</w:t>
      </w:r>
      <w:r w:rsidRPr="00271246">
        <w:rPr>
          <w:i/>
          <w:iCs/>
          <w:lang w:val="es-ES_tradnl"/>
        </w:rPr>
        <w:t>T</w:t>
      </w:r>
      <w:r w:rsidRPr="00271246">
        <w:rPr>
          <w:lang w:val="es-ES_tradnl"/>
        </w:rPr>
        <w:t xml:space="preserve">, conforme al método del Apéndice </w:t>
      </w:r>
      <w:r w:rsidRPr="00271246">
        <w:rPr>
          <w:rStyle w:val="Appref"/>
          <w:b/>
          <w:bCs/>
          <w:color w:val="000000"/>
          <w:lang w:val="es-ES_tradnl"/>
        </w:rPr>
        <w:t>8</w:t>
      </w:r>
      <w:r w:rsidRPr="00271246">
        <w:rPr>
          <w:lang w:val="es-ES_tradnl"/>
        </w:rPr>
        <w:t xml:space="preserve">, producido por las características nuevas propuestas y comparando los valores de </w:t>
      </w:r>
      <w:r w:rsidRPr="00271246">
        <w:rPr>
          <w:rFonts w:ascii="Symbol" w:hAnsi="Symbol"/>
          <w:lang w:val="es-ES_tradnl"/>
        </w:rPr>
        <w:sym w:font="Symbol" w:char="F044"/>
      </w:r>
      <w:r w:rsidRPr="00271246">
        <w:rPr>
          <w:i/>
          <w:iCs/>
          <w:lang w:val="es-ES_tradnl"/>
        </w:rPr>
        <w:t>T</w:t>
      </w:r>
      <w:r w:rsidRPr="00271246">
        <w:rPr>
          <w:lang w:val="es-ES_tradnl"/>
        </w:rPr>
        <w:t>/</w:t>
      </w:r>
      <w:r w:rsidRPr="00271246">
        <w:rPr>
          <w:i/>
          <w:iCs/>
          <w:lang w:val="es-ES_tradnl"/>
        </w:rPr>
        <w:t>T</w:t>
      </w:r>
      <w:r w:rsidRPr="00271246">
        <w:rPr>
          <w:lang w:val="es-ES_tradnl"/>
        </w:rPr>
        <w:t xml:space="preserve"> resultantes con los obtenidos con las caracterís</w:t>
      </w:r>
      <w:r w:rsidRPr="00271246">
        <w:rPr>
          <w:lang w:val="es-ES_tradnl"/>
        </w:rPr>
        <w:softHyphen/>
        <w:t>ticas anteriores</w:t>
      </w:r>
      <w:r w:rsidR="00271246" w:rsidRPr="00271246">
        <w:rPr>
          <w:position w:val="6"/>
          <w:sz w:val="20"/>
          <w:lang w:val="es-ES_tradnl"/>
        </w:rPr>
        <w:t>4</w:t>
      </w:r>
      <w:r w:rsidRPr="00271246">
        <w:rPr>
          <w:lang w:val="es-ES_tradnl"/>
        </w:rPr>
        <w:t xml:space="preserve"> de la asignación presentada.</w:t>
      </w:r>
    </w:p>
    <w:p w14:paraId="1EC367DA" w14:textId="77777777" w:rsidR="00CD474A" w:rsidRPr="00271246" w:rsidRDefault="00CD474A">
      <w:pPr>
        <w:rPr>
          <w:lang w:val="es-ES_tradnl"/>
        </w:rPr>
      </w:pPr>
      <w:r w:rsidRPr="00271246">
        <w:rPr>
          <w:lang w:val="es-ES_tradnl"/>
        </w:rPr>
        <w:t>1.3</w:t>
      </w:r>
      <w:r w:rsidRPr="00271246">
        <w:rPr>
          <w:lang w:val="es-ES_tradnl"/>
        </w:rPr>
        <w:tab/>
        <w:t xml:space="preserve">Si los resultados de los cálculos descritos en los § 1.1 y 1.2 anteriores indicaran que las características nuevas propuestas aumentan la interferencia a otras asignaciones, la Oficina llegaría a una conclusión desfavorable con respecto al § 5.2.1 </w:t>
      </w:r>
      <w:r w:rsidRPr="00271246">
        <w:rPr>
          <w:i/>
          <w:iCs/>
          <w:lang w:val="es-ES_tradnl"/>
        </w:rPr>
        <w:t>d)</w:t>
      </w:r>
      <w:r w:rsidRPr="00271246">
        <w:rPr>
          <w:lang w:val="es-ES_tradnl"/>
        </w:rPr>
        <w:t xml:space="preserve"> del Artículo 5 del Apéndice </w:t>
      </w:r>
      <w:r w:rsidRPr="00271246">
        <w:rPr>
          <w:rStyle w:val="Appref"/>
          <w:b/>
          <w:color w:val="000000"/>
          <w:lang w:val="es-ES_tradnl"/>
        </w:rPr>
        <w:t>30A</w:t>
      </w:r>
      <w:r w:rsidRPr="00271246">
        <w:rPr>
          <w:lang w:val="es-ES_tradnl"/>
        </w:rPr>
        <w:t xml:space="preserve"> y procedería en consecuencia.</w:t>
      </w:r>
    </w:p>
    <w:p w14:paraId="4973DF53" w14:textId="77777777" w:rsidR="00CD474A" w:rsidRPr="00271246" w:rsidRDefault="00CD474A" w:rsidP="00DF3A07">
      <w:pPr>
        <w:rPr>
          <w:lang w:val="es-ES_tradnl"/>
        </w:rPr>
      </w:pPr>
      <w:r w:rsidRPr="00271246">
        <w:rPr>
          <w:lang w:val="es-ES_tradnl"/>
        </w:rPr>
        <w:t>2</w:t>
      </w:r>
      <w:r w:rsidRPr="00271246">
        <w:rPr>
          <w:lang w:val="es-ES_tradnl"/>
        </w:rPr>
        <w:tab/>
        <w:t xml:space="preserve">Con respecto al cuarto inciso del § 5.2.1 </w:t>
      </w:r>
      <w:r w:rsidRPr="00271246">
        <w:rPr>
          <w:i/>
          <w:iCs/>
          <w:lang w:val="es-ES_tradnl"/>
        </w:rPr>
        <w:t>d)</w:t>
      </w:r>
      <w:r w:rsidRPr="00271246">
        <w:rPr>
          <w:lang w:val="es-ES_tradnl"/>
        </w:rPr>
        <w:t>, en el caso de las administraciones de la Región 2, se examinará la posición orbital para verificar si se respeta el concepto de agrupación (§</w:t>
      </w:r>
      <w:r w:rsidR="00DF3A07" w:rsidRPr="00271246">
        <w:rPr>
          <w:lang w:val="es-ES_tradnl"/>
        </w:rPr>
        <w:t> </w:t>
      </w:r>
      <w:r w:rsidRPr="00271246">
        <w:rPr>
          <w:lang w:val="es-ES_tradnl"/>
        </w:rPr>
        <w:t>B del Anexo</w:t>
      </w:r>
      <w:r w:rsidR="00DF3A07" w:rsidRPr="00271246">
        <w:rPr>
          <w:lang w:val="es-ES_tradnl"/>
        </w:rPr>
        <w:t xml:space="preserve"> </w:t>
      </w:r>
      <w:r w:rsidRPr="00271246">
        <w:rPr>
          <w:lang w:val="es-ES_tradnl"/>
        </w:rPr>
        <w:t>7 al Apéndice</w:t>
      </w:r>
      <w:r w:rsidR="00DF3A07" w:rsidRPr="00271246">
        <w:rPr>
          <w:lang w:val="es-ES_tradnl"/>
        </w:rPr>
        <w:t xml:space="preserve"> </w:t>
      </w:r>
      <w:r w:rsidRPr="00271246">
        <w:rPr>
          <w:rStyle w:val="Appref"/>
          <w:b/>
          <w:color w:val="000000"/>
          <w:lang w:val="es-ES_tradnl"/>
        </w:rPr>
        <w:t>30</w:t>
      </w:r>
      <w:r w:rsidRPr="00271246">
        <w:rPr>
          <w:lang w:val="es-ES_tradnl"/>
        </w:rPr>
        <w:t xml:space="preserve"> y § 4.13.1 del Anexo</w:t>
      </w:r>
      <w:r w:rsidR="00DF3A07" w:rsidRPr="00271246">
        <w:rPr>
          <w:lang w:val="es-ES_tradnl"/>
        </w:rPr>
        <w:t xml:space="preserve"> </w:t>
      </w:r>
      <w:r w:rsidRPr="00271246">
        <w:rPr>
          <w:lang w:val="es-ES_tradnl"/>
        </w:rPr>
        <w:t>3 al Apéndice</w:t>
      </w:r>
      <w:r w:rsidR="00DF3A07" w:rsidRPr="00271246">
        <w:rPr>
          <w:lang w:val="es-ES_tradnl"/>
        </w:rPr>
        <w:t xml:space="preserve"> </w:t>
      </w:r>
      <w:r w:rsidRPr="00271246">
        <w:rPr>
          <w:rStyle w:val="Appref"/>
          <w:b/>
          <w:color w:val="000000"/>
          <w:lang w:val="es-ES_tradnl"/>
        </w:rPr>
        <w:t>30A)</w:t>
      </w:r>
      <w:r w:rsidRPr="00271246">
        <w:rPr>
          <w:lang w:val="es-ES_tradnl"/>
        </w:rPr>
        <w:t xml:space="preserve"> como sigue:</w:t>
      </w:r>
    </w:p>
    <w:p w14:paraId="7D4B57C7" w14:textId="77777777" w:rsidR="00CD474A" w:rsidRPr="00271246" w:rsidRDefault="00CD474A">
      <w:pPr>
        <w:pStyle w:val="enumlev1"/>
        <w:rPr>
          <w:lang w:val="es-ES_tradnl"/>
        </w:rPr>
      </w:pPr>
      <w:r w:rsidRPr="00271246">
        <w:rPr>
          <w:lang w:val="es-ES_tradnl"/>
        </w:rPr>
        <w:t>–</w:t>
      </w:r>
      <w:r w:rsidRPr="00271246">
        <w:rPr>
          <w:lang w:val="es-ES_tradnl"/>
        </w:rPr>
        <w:tab/>
        <w:t>si la posición orbital es idéntica a la indicada en el Plan no hace falta ningún otro acuerdo;</w:t>
      </w:r>
    </w:p>
    <w:p w14:paraId="4E736B52" w14:textId="77777777" w:rsidR="00CD474A" w:rsidRPr="00271246" w:rsidRDefault="00CD474A" w:rsidP="00DF3A07">
      <w:pPr>
        <w:pStyle w:val="enumlev1"/>
        <w:rPr>
          <w:lang w:val="es-ES_tradnl"/>
        </w:rPr>
      </w:pPr>
      <w:r w:rsidRPr="00271246">
        <w:rPr>
          <w:lang w:val="es-ES_tradnl"/>
        </w:rPr>
        <w:t>–</w:t>
      </w:r>
      <w:r w:rsidRPr="00271246">
        <w:rPr>
          <w:lang w:val="es-ES_tradnl"/>
        </w:rPr>
        <w:tab/>
        <w:t>si la posición es diferente de la indicada en el Plan pero se encuentra en la misma agrupación, hace falta el acuerdo de las administraciones que poseen asignaciones en la misma agrupación. Las agrupaciones se enumeran en el Adjunto 1 a las Reglas de Proce</w:t>
      </w:r>
      <w:r w:rsidRPr="00271246">
        <w:rPr>
          <w:lang w:val="es-ES_tradnl"/>
        </w:rPr>
        <w:softHyphen/>
        <w:t>dimiento relativas al Apéndice</w:t>
      </w:r>
      <w:r w:rsidR="00DF3A07" w:rsidRPr="00271246">
        <w:rPr>
          <w:lang w:val="es-ES_tradnl"/>
        </w:rPr>
        <w:t xml:space="preserve"> </w:t>
      </w:r>
      <w:r w:rsidRPr="00271246">
        <w:rPr>
          <w:rStyle w:val="Appref"/>
          <w:b/>
          <w:color w:val="000000"/>
          <w:lang w:val="es-ES_tradnl"/>
        </w:rPr>
        <w:t>30</w:t>
      </w:r>
      <w:r w:rsidRPr="00271246">
        <w:rPr>
          <w:lang w:val="es-ES_tradnl"/>
        </w:rPr>
        <w:t xml:space="preserve">. En los Apéndices </w:t>
      </w:r>
      <w:r w:rsidRPr="00271246">
        <w:rPr>
          <w:rStyle w:val="Appref"/>
          <w:b/>
          <w:color w:val="000000"/>
          <w:lang w:val="es-ES_tradnl"/>
        </w:rPr>
        <w:t>30</w:t>
      </w:r>
      <w:r w:rsidRPr="00271246">
        <w:rPr>
          <w:lang w:val="es-ES_tradnl"/>
        </w:rPr>
        <w:t xml:space="preserve"> y </w:t>
      </w:r>
      <w:r w:rsidRPr="00271246">
        <w:rPr>
          <w:rStyle w:val="Appref"/>
          <w:b/>
          <w:color w:val="000000"/>
          <w:lang w:val="es-ES_tradnl"/>
        </w:rPr>
        <w:t>30A</w:t>
      </w:r>
      <w:r w:rsidRPr="00271246">
        <w:rPr>
          <w:lang w:val="es-ES_tradnl"/>
        </w:rPr>
        <w:t>, ningún punto indica el procedimiento que ha de seguirse para obtener el mencionado acuerdo. La tarea de la Oficina a este respecto consiste en cerciorarse de que en las notificaciones se indica el acuerdo de las administraciones interesadas; de no ser así, debe considerar que la asignación no es conforme al Plan.</w:t>
      </w:r>
    </w:p>
    <w:p w14:paraId="3CE916B6" w14:textId="77777777" w:rsidR="00CD474A" w:rsidRPr="00271246" w:rsidRDefault="00CD474A">
      <w:pPr>
        <w:pStyle w:val="Heading9"/>
        <w:rPr>
          <w:lang w:val="es-ES_tradnl"/>
        </w:rPr>
      </w:pPr>
      <w:r w:rsidRPr="00271246">
        <w:rPr>
          <w:lang w:val="es-ES_tradnl"/>
        </w:rPr>
        <w:t>5.2.2.1</w:t>
      </w:r>
    </w:p>
    <w:p w14:paraId="55190980" w14:textId="77777777" w:rsidR="00CD474A" w:rsidRPr="00271246" w:rsidRDefault="00CD474A" w:rsidP="00271246">
      <w:pPr>
        <w:rPr>
          <w:lang w:val="es-ES_tradnl"/>
        </w:rPr>
      </w:pPr>
      <w:r w:rsidRPr="00271246">
        <w:rPr>
          <w:lang w:val="es-ES_tradnl"/>
        </w:rPr>
        <w:t>Este punto se refiere implícitamente a los casos en que la Oficina llega a una conclusión favo</w:t>
      </w:r>
      <w:r w:rsidRPr="00271246">
        <w:rPr>
          <w:lang w:val="es-ES_tradnl"/>
        </w:rPr>
        <w:softHyphen/>
        <w:t>rable respecto a los §</w:t>
      </w:r>
      <w:r w:rsidR="00271246" w:rsidRPr="00271246">
        <w:rPr>
          <w:lang w:val="es-ES_tradnl"/>
        </w:rPr>
        <w:t> </w:t>
      </w:r>
      <w:r w:rsidRPr="00271246">
        <w:rPr>
          <w:lang w:val="es-ES_tradnl"/>
        </w:rPr>
        <w:t xml:space="preserve">5.2.1 </w:t>
      </w:r>
      <w:r w:rsidRPr="00271246">
        <w:rPr>
          <w:i/>
          <w:lang w:val="es-ES_tradnl"/>
        </w:rPr>
        <w:t>a)</w:t>
      </w:r>
      <w:r w:rsidRPr="00271246">
        <w:rPr>
          <w:iCs/>
          <w:lang w:val="es-ES_tradnl"/>
        </w:rPr>
        <w:t>,</w:t>
      </w:r>
      <w:r w:rsidRPr="00271246">
        <w:rPr>
          <w:lang w:val="es-ES_tradnl"/>
        </w:rPr>
        <w:t xml:space="preserve"> 5.2.1 </w:t>
      </w:r>
      <w:r w:rsidRPr="00271246">
        <w:rPr>
          <w:i/>
          <w:lang w:val="es-ES_tradnl"/>
        </w:rPr>
        <w:t>c)</w:t>
      </w:r>
      <w:r w:rsidRPr="00271246">
        <w:rPr>
          <w:lang w:val="es-ES_tradnl"/>
        </w:rPr>
        <w:t xml:space="preserve"> y 5.2.1 </w:t>
      </w:r>
      <w:r w:rsidRPr="00271246">
        <w:rPr>
          <w:i/>
          <w:iCs/>
          <w:lang w:val="es-ES_tradnl"/>
        </w:rPr>
        <w:t>f</w:t>
      </w:r>
      <w:r w:rsidR="00271246" w:rsidRPr="00271246">
        <w:rPr>
          <w:lang w:val="es-ES_tradnl"/>
        </w:rPr>
        <w:t> </w:t>
      </w:r>
      <w:r w:rsidRPr="00271246">
        <w:rPr>
          <w:i/>
          <w:iCs/>
          <w:lang w:val="es-ES_tradnl"/>
        </w:rPr>
        <w:t>)</w:t>
      </w:r>
      <w:r w:rsidRPr="00271246">
        <w:rPr>
          <w:lang w:val="es-ES_tradnl"/>
        </w:rPr>
        <w:t xml:space="preserve"> y a una conclusión desfavorable en relación con el §</w:t>
      </w:r>
      <w:r w:rsidR="00271246" w:rsidRPr="00271246">
        <w:rPr>
          <w:lang w:val="es-ES_tradnl"/>
        </w:rPr>
        <w:t> </w:t>
      </w:r>
      <w:r w:rsidRPr="00271246">
        <w:rPr>
          <w:lang w:val="es-ES_tradnl"/>
        </w:rPr>
        <w:t>5.2.1</w:t>
      </w:r>
      <w:r w:rsidR="00DF3A07" w:rsidRPr="00271246">
        <w:rPr>
          <w:lang w:val="es-ES_tradnl"/>
        </w:rPr>
        <w:t> </w:t>
      </w:r>
      <w:r w:rsidRPr="00271246">
        <w:rPr>
          <w:i/>
          <w:lang w:val="es-ES_tradnl"/>
        </w:rPr>
        <w:t>b)</w:t>
      </w:r>
      <w:r w:rsidRPr="00271246">
        <w:rPr>
          <w:lang w:val="es-ES_tradnl"/>
        </w:rPr>
        <w:t>, aunque favorable respecto del §</w:t>
      </w:r>
      <w:r w:rsidR="00271246" w:rsidRPr="00271246">
        <w:rPr>
          <w:lang w:val="es-ES_tradnl"/>
        </w:rPr>
        <w:t> </w:t>
      </w:r>
      <w:r w:rsidRPr="00271246">
        <w:rPr>
          <w:lang w:val="es-ES_tradnl"/>
        </w:rPr>
        <w:t>5.2.1</w:t>
      </w:r>
      <w:r w:rsidR="00FC5406" w:rsidRPr="00271246">
        <w:rPr>
          <w:lang w:val="es-ES_tradnl"/>
        </w:rPr>
        <w:t> </w:t>
      </w:r>
      <w:r w:rsidRPr="00271246">
        <w:rPr>
          <w:i/>
          <w:lang w:val="es-ES_tradnl"/>
        </w:rPr>
        <w:t>d)</w:t>
      </w:r>
      <w:r w:rsidRPr="00271246">
        <w:rPr>
          <w:lang w:val="es-ES_tradnl"/>
        </w:rPr>
        <w:t>.</w:t>
      </w:r>
    </w:p>
    <w:p w14:paraId="3C8E54FB" w14:textId="77777777" w:rsidR="00CD474A" w:rsidRPr="00271246" w:rsidRDefault="00CD474A" w:rsidP="00271246">
      <w:pPr>
        <w:rPr>
          <w:lang w:val="es-ES_tradnl"/>
        </w:rPr>
      </w:pPr>
      <w:r w:rsidRPr="00271246">
        <w:rPr>
          <w:lang w:val="es-ES_tradnl"/>
        </w:rPr>
        <w:t xml:space="preserve">Sin embargo, considerando las Reglas de Procedimiento relativas al ámbito de aplicación del Artículo 5 del Apéndice </w:t>
      </w:r>
      <w:r w:rsidRPr="00271246">
        <w:rPr>
          <w:rStyle w:val="Appref"/>
          <w:b/>
          <w:color w:val="000000"/>
          <w:lang w:val="es-ES_tradnl"/>
        </w:rPr>
        <w:t>30A</w:t>
      </w:r>
      <w:r w:rsidRPr="00271246">
        <w:rPr>
          <w:lang w:val="es-ES_tradnl"/>
        </w:rPr>
        <w:t xml:space="preserve">, la Junta ha llegado a la conclusión de que el § 5.2.2.1 se refiere a los casos en que la Oficina llega a una conclusión favorable con respecto al § 5.2.1 </w:t>
      </w:r>
      <w:r w:rsidRPr="00271246">
        <w:rPr>
          <w:i/>
          <w:iCs/>
          <w:lang w:val="es-ES_tradnl"/>
        </w:rPr>
        <w:t>a)</w:t>
      </w:r>
      <w:r w:rsidRPr="00271246">
        <w:rPr>
          <w:lang w:val="es-ES_tradnl"/>
        </w:rPr>
        <w:t xml:space="preserve"> y al § 5.2.1 </w:t>
      </w:r>
      <w:r w:rsidRPr="00271246">
        <w:rPr>
          <w:i/>
          <w:iCs/>
          <w:lang w:val="es-ES_tradnl"/>
        </w:rPr>
        <w:t>c)</w:t>
      </w:r>
      <w:r w:rsidRPr="00271246">
        <w:rPr>
          <w:lang w:val="es-ES_tradnl"/>
        </w:rPr>
        <w:t xml:space="preserve"> y a una conclusión desfavorable con respecto al § 5.2.1 </w:t>
      </w:r>
      <w:r w:rsidRPr="00271246">
        <w:rPr>
          <w:i/>
          <w:iCs/>
          <w:lang w:val="es-ES_tradnl"/>
        </w:rPr>
        <w:t>b)</w:t>
      </w:r>
      <w:r w:rsidRPr="00271246">
        <w:rPr>
          <w:lang w:val="es-ES_tradnl"/>
        </w:rPr>
        <w:t xml:space="preserve"> pero una conclusión favorable con respecto al §</w:t>
      </w:r>
      <w:r w:rsidR="00271246" w:rsidRPr="00271246">
        <w:rPr>
          <w:lang w:val="es-ES_tradnl"/>
        </w:rPr>
        <w:t> </w:t>
      </w:r>
      <w:r w:rsidRPr="00271246">
        <w:rPr>
          <w:lang w:val="es-ES_tradnl"/>
        </w:rPr>
        <w:t>5.2.1</w:t>
      </w:r>
      <w:r w:rsidR="00FC5406" w:rsidRPr="00271246">
        <w:rPr>
          <w:lang w:val="es-ES_tradnl"/>
        </w:rPr>
        <w:t> </w:t>
      </w:r>
      <w:r w:rsidRPr="00271246">
        <w:rPr>
          <w:i/>
          <w:iCs/>
          <w:lang w:val="es-ES_tradnl"/>
        </w:rPr>
        <w:t>d)</w:t>
      </w:r>
      <w:r w:rsidRPr="00271246">
        <w:rPr>
          <w:lang w:val="es-ES_tradnl"/>
        </w:rPr>
        <w:t>.</w:t>
      </w:r>
    </w:p>
    <w:p w14:paraId="3B5F0716" w14:textId="12206995" w:rsidR="00CD474A" w:rsidRDefault="00CD474A" w:rsidP="002B76B7">
      <w:pPr>
        <w:rPr>
          <w:lang w:val="es-ES_tradnl"/>
        </w:rPr>
      </w:pPr>
      <w:r w:rsidRPr="00271246">
        <w:rPr>
          <w:lang w:val="es-ES_tradnl"/>
        </w:rPr>
        <w:t>En este caso, la asignación de frecuencia se deberá inscribir en el Registro.</w:t>
      </w:r>
    </w:p>
    <w:p w14:paraId="012068B5" w14:textId="0DCFB784" w:rsidR="00F66CAB" w:rsidRPr="00F66CAB" w:rsidRDefault="00F66CAB" w:rsidP="00F66CAB">
      <w:pPr>
        <w:pStyle w:val="Heading9"/>
        <w:rPr>
          <w:lang w:val="es-ES"/>
        </w:rPr>
      </w:pPr>
      <w:r w:rsidRPr="00F66CAB">
        <w:rPr>
          <w:lang w:val="es-ES"/>
        </w:rPr>
        <w:t>5.3.1</w:t>
      </w:r>
    </w:p>
    <w:p w14:paraId="4F4596DF" w14:textId="77777777" w:rsidR="00F66CAB" w:rsidRPr="00F66CAB" w:rsidRDefault="00F66CAB" w:rsidP="00F66CAB">
      <w:pPr>
        <w:rPr>
          <w:lang w:val="es-ES"/>
        </w:rPr>
      </w:pPr>
      <w:r w:rsidRPr="00F66CAB">
        <w:rPr>
          <w:lang w:val="es-ES"/>
        </w:rPr>
        <w:t xml:space="preserve">Véase la Regla de Procedimiento relativa al § 5.3.1 del Artículo 5 del Apéndice </w:t>
      </w:r>
      <w:r w:rsidRPr="00F66CAB">
        <w:rPr>
          <w:b/>
          <w:bCs/>
          <w:lang w:val="es-ES"/>
        </w:rPr>
        <w:t>30</w:t>
      </w:r>
      <w:r w:rsidRPr="00F66CAB">
        <w:rPr>
          <w:lang w:val="es-ES"/>
        </w:rPr>
        <w:t>.</w:t>
      </w:r>
    </w:p>
    <w:p w14:paraId="6130F1CA" w14:textId="77777777" w:rsidR="00F66CAB" w:rsidRDefault="00F66CAB" w:rsidP="002B76B7">
      <w:pPr>
        <w:rPr>
          <w:lang w:val="es-ES_tradnl"/>
        </w:rPr>
      </w:pPr>
    </w:p>
    <w:p w14:paraId="41501264" w14:textId="77777777" w:rsidR="00F66CAB" w:rsidRDefault="00F66CAB" w:rsidP="002B76B7">
      <w:pPr>
        <w:rPr>
          <w:lang w:val="es-ES_tradnl"/>
        </w:rPr>
      </w:pPr>
    </w:p>
    <w:p w14:paraId="70FB8BCF" w14:textId="77777777" w:rsidR="004D3A2D" w:rsidRDefault="004D3A2D" w:rsidP="002B76B7">
      <w:pPr>
        <w:rPr>
          <w:lang w:val="es-ES_tradnl"/>
        </w:rPr>
        <w:sectPr w:rsidR="004D3A2D" w:rsidSect="00732E78">
          <w:headerReference w:type="default" r:id="rId20"/>
          <w:footnotePr>
            <w:pos w:val="beneathText"/>
            <w:numFmt w:val="chicago"/>
          </w:footnotePr>
          <w:pgSz w:w="11907" w:h="16840" w:code="9"/>
          <w:pgMar w:top="1701" w:right="851" w:bottom="1134" w:left="1985" w:header="720" w:footer="482" w:gutter="0"/>
          <w:cols w:space="720"/>
          <w:vAlign w:val="both"/>
        </w:sectPr>
      </w:pPr>
    </w:p>
    <w:p w14:paraId="479FB208" w14:textId="77777777" w:rsidR="00CD474A" w:rsidRPr="00271246" w:rsidRDefault="00CD474A" w:rsidP="00FC5406">
      <w:pPr>
        <w:pStyle w:val="Heading8"/>
        <w:spacing w:before="240"/>
        <w:rPr>
          <w:lang w:val="es-ES_tradnl"/>
        </w:rPr>
      </w:pPr>
      <w:r w:rsidRPr="00271246">
        <w:rPr>
          <w:lang w:val="es-ES_tradnl"/>
        </w:rPr>
        <w:lastRenderedPageBreak/>
        <w:t>Art. 6</w:t>
      </w:r>
    </w:p>
    <w:p w14:paraId="547DAAFB" w14:textId="77777777" w:rsidR="00CD474A" w:rsidRPr="00271246" w:rsidRDefault="00CD474A" w:rsidP="002B76B7">
      <w:pPr>
        <w:pStyle w:val="Heading2"/>
        <w:spacing w:before="360"/>
        <w:ind w:left="0" w:firstLine="0"/>
        <w:jc w:val="center"/>
        <w:rPr>
          <w:lang w:val="es-ES_tradnl"/>
        </w:rPr>
      </w:pPr>
      <w:r w:rsidRPr="00271246">
        <w:rPr>
          <w:lang w:val="es-ES_tradnl"/>
        </w:rPr>
        <w:t>Coordinación, notificación e inscripción de asignaciones terrenales</w:t>
      </w:r>
      <w:r w:rsidRPr="00271246">
        <w:rPr>
          <w:lang w:val="es-ES_tradnl"/>
        </w:rPr>
        <w:br/>
        <w:t>de recepción cuando están implicados enlaces de conexión del SFS</w:t>
      </w:r>
    </w:p>
    <w:p w14:paraId="7415435C" w14:textId="77777777" w:rsidR="00CD474A" w:rsidRPr="00271246" w:rsidRDefault="00CD474A">
      <w:pPr>
        <w:pStyle w:val="Heading9"/>
        <w:rPr>
          <w:lang w:val="es-ES_tradnl"/>
        </w:rPr>
      </w:pPr>
      <w:r w:rsidRPr="00271246">
        <w:rPr>
          <w:lang w:val="es-ES_tradnl"/>
        </w:rPr>
        <w:t>6.1</w:t>
      </w:r>
    </w:p>
    <w:p w14:paraId="6EC61B01" w14:textId="536A900D" w:rsidR="00CD474A" w:rsidRPr="00271246" w:rsidRDefault="00CD474A" w:rsidP="005D151F">
      <w:pPr>
        <w:rPr>
          <w:lang w:val="es-ES_tradnl"/>
        </w:rPr>
      </w:pPr>
      <w:r w:rsidRPr="00271246">
        <w:rPr>
          <w:lang w:val="es-ES_tradnl"/>
        </w:rPr>
        <w:t>1</w:t>
      </w:r>
      <w:r w:rsidRPr="00271246">
        <w:rPr>
          <w:lang w:val="es-ES_tradnl"/>
        </w:rPr>
        <w:tab/>
        <w:t>Los puntos del Artículo 6 no mencionan los sistemas provisionales realizados de conformidad con la Resolución</w:t>
      </w:r>
      <w:r w:rsidR="00DF3A07" w:rsidRPr="00271246">
        <w:rPr>
          <w:lang w:val="es-ES_tradnl"/>
        </w:rPr>
        <w:t xml:space="preserve"> </w:t>
      </w:r>
      <w:r w:rsidRPr="00271246">
        <w:rPr>
          <w:rStyle w:val="Resref"/>
          <w:b/>
          <w:bCs/>
          <w:color w:val="000000"/>
          <w:lang w:val="es-ES_tradnl"/>
        </w:rPr>
        <w:t>42 (Rev.CMR-</w:t>
      </w:r>
      <w:r w:rsidR="002F5650">
        <w:rPr>
          <w:rStyle w:val="Resref"/>
          <w:b/>
          <w:bCs/>
          <w:color w:val="000000"/>
          <w:lang w:val="es-ES_tradnl"/>
        </w:rPr>
        <w:t>19</w:t>
      </w:r>
      <w:r w:rsidRPr="00271246">
        <w:rPr>
          <w:rStyle w:val="Resref"/>
          <w:b/>
          <w:bCs/>
          <w:color w:val="000000"/>
          <w:lang w:val="es-ES_tradnl"/>
        </w:rPr>
        <w:t>)</w:t>
      </w:r>
      <w:r w:rsidRPr="00271246">
        <w:rPr>
          <w:lang w:val="es-ES_tradnl"/>
        </w:rPr>
        <w:t>. Estos sistemas pueden realizarse en la banda de frecuencias 17,7-17,8 GHz en la Región 2, compartida con igualdad de derechos con servicios terrenales:</w:t>
      </w:r>
    </w:p>
    <w:p w14:paraId="4106D57F" w14:textId="77777777" w:rsidR="00CD474A" w:rsidRPr="00271246" w:rsidRDefault="00CD474A">
      <w:pPr>
        <w:rPr>
          <w:lang w:val="es-ES_tradnl"/>
        </w:rPr>
      </w:pPr>
      <w:r w:rsidRPr="00271246">
        <w:rPr>
          <w:lang w:val="es-ES_tradnl"/>
        </w:rPr>
        <w:t>Esta utilización puede afectar a estaciones terrenales.</w:t>
      </w:r>
    </w:p>
    <w:p w14:paraId="3E3944C6" w14:textId="77777777" w:rsidR="00CD474A" w:rsidRPr="00271246" w:rsidRDefault="00CD474A">
      <w:pPr>
        <w:rPr>
          <w:lang w:val="es-ES_tradnl"/>
        </w:rPr>
      </w:pPr>
      <w:r w:rsidRPr="00271246">
        <w:rPr>
          <w:lang w:val="es-ES_tradnl"/>
        </w:rPr>
        <w:t>2</w:t>
      </w:r>
      <w:r w:rsidRPr="00271246">
        <w:rPr>
          <w:lang w:val="es-ES_tradnl"/>
        </w:rPr>
        <w:tab/>
        <w:t xml:space="preserve">Este punto alude a </w:t>
      </w:r>
      <w:r w:rsidRPr="00E47ED5">
        <w:rPr>
          <w:i/>
          <w:iCs/>
          <w:lang w:val="es-ES_tradnl"/>
        </w:rPr>
        <w:t>«una estación terrena de enlace de conexión situada en el territorio de otra administración e incluida en la zona de servicio de una asignación a una estación espacial de enlace de conexión del servicio de radiodifusión por satélite que está conforme al Plan regional de enlaces de conexión adecuado»</w:t>
      </w:r>
      <w:r w:rsidRPr="00271246">
        <w:rPr>
          <w:lang w:val="es-ES_tradnl"/>
        </w:rPr>
        <w:t>. Se considera que esta estación terrena es una estación terrena típica situada en la ubicación más desfavorable.</w:t>
      </w:r>
    </w:p>
    <w:p w14:paraId="36103F64" w14:textId="77777777" w:rsidR="00CD474A" w:rsidRPr="00271246" w:rsidRDefault="00CD474A" w:rsidP="00B2383C">
      <w:pPr>
        <w:spacing w:before="120"/>
        <w:rPr>
          <w:lang w:val="es-ES_tradnl"/>
        </w:rPr>
      </w:pPr>
      <w:r w:rsidRPr="00271246">
        <w:rPr>
          <w:lang w:val="es-ES_tradnl"/>
        </w:rPr>
        <w:t>3</w:t>
      </w:r>
      <w:r w:rsidRPr="00271246">
        <w:rPr>
          <w:lang w:val="es-ES_tradnl"/>
        </w:rPr>
        <w:tab/>
        <w:t>Para evaluar la interferencia, una Administración A que proyecta utilizar estaciones terrenales necesita tener conocimiento de las estaciones terrenas fijas existentes o proyectadas. Para tenerlas en cuenta las administraciones pueden calcular la zona de coordi</w:t>
      </w:r>
      <w:r w:rsidR="00FC5406" w:rsidRPr="00271246">
        <w:rPr>
          <w:lang w:val="es-ES_tradnl"/>
        </w:rPr>
        <w:softHyphen/>
      </w:r>
      <w:r w:rsidRPr="00271246">
        <w:rPr>
          <w:lang w:val="es-ES_tradnl"/>
        </w:rPr>
        <w:t>nación como se indica en el §</w:t>
      </w:r>
      <w:r w:rsidR="00DF3A07" w:rsidRPr="00271246">
        <w:rPr>
          <w:lang w:val="es-ES_tradnl"/>
        </w:rPr>
        <w:t> </w:t>
      </w:r>
      <w:r w:rsidRPr="00271246">
        <w:rPr>
          <w:lang w:val="es-ES_tradnl"/>
        </w:rPr>
        <w:t xml:space="preserve">1.4.6 del Apéndice </w:t>
      </w:r>
      <w:r w:rsidRPr="00271246">
        <w:rPr>
          <w:rStyle w:val="Appref"/>
          <w:b/>
          <w:color w:val="000000"/>
          <w:lang w:val="es-ES_tradnl"/>
        </w:rPr>
        <w:t>7</w:t>
      </w:r>
      <w:r w:rsidRPr="00271246">
        <w:rPr>
          <w:lang w:val="es-ES_tradnl"/>
        </w:rPr>
        <w:t xml:space="preserve"> en torno a la zona de servicio mencionada en el §</w:t>
      </w:r>
      <w:r w:rsidR="00FC5406" w:rsidRPr="00271246">
        <w:rPr>
          <w:lang w:val="es-ES_tradnl"/>
        </w:rPr>
        <w:t> </w:t>
      </w:r>
      <w:r w:rsidRPr="00271246">
        <w:rPr>
          <w:lang w:val="es-ES_tradnl"/>
        </w:rPr>
        <w:t>6.1.</w:t>
      </w:r>
    </w:p>
    <w:p w14:paraId="285CA28A" w14:textId="77777777" w:rsidR="00CD474A" w:rsidRPr="00271246" w:rsidRDefault="00CD474A">
      <w:pPr>
        <w:pStyle w:val="Heading9"/>
        <w:rPr>
          <w:lang w:val="es-ES_tradnl"/>
        </w:rPr>
      </w:pPr>
      <w:r w:rsidRPr="00271246">
        <w:rPr>
          <w:lang w:val="es-ES_tradnl"/>
        </w:rPr>
        <w:t>6.2</w:t>
      </w:r>
    </w:p>
    <w:p w14:paraId="04D45F5A" w14:textId="77777777" w:rsidR="00CD474A" w:rsidRPr="00271246" w:rsidRDefault="00CD474A">
      <w:pPr>
        <w:rPr>
          <w:lang w:val="es-ES_tradnl"/>
        </w:rPr>
      </w:pPr>
      <w:r w:rsidRPr="00271246">
        <w:rPr>
          <w:lang w:val="es-ES_tradnl"/>
        </w:rPr>
        <w:t>1</w:t>
      </w:r>
      <w:r w:rsidRPr="00271246">
        <w:rPr>
          <w:lang w:val="es-ES_tradnl"/>
        </w:rPr>
        <w:tab/>
        <w:t>Este punto se refiere a la necesidad de que la Administración B comunique la situación real de sus estaciones terrenales de enlace de conexión, sin especificar cuáles de ellas deben tenerse en cuenta. Como no se da ninguna indicación, la Junta entiende que la administración puede comunicar ubicaciones de estaciones terrenas sin ninguna limitación.</w:t>
      </w:r>
    </w:p>
    <w:p w14:paraId="625AC3A7" w14:textId="77777777" w:rsidR="00CD474A" w:rsidRPr="00271246" w:rsidRDefault="00CD474A">
      <w:pPr>
        <w:rPr>
          <w:lang w:val="es-ES_tradnl"/>
        </w:rPr>
      </w:pPr>
      <w:r w:rsidRPr="00271246">
        <w:rPr>
          <w:lang w:val="es-ES_tradnl"/>
        </w:rPr>
        <w:t>2</w:t>
      </w:r>
      <w:r w:rsidRPr="00271246">
        <w:rPr>
          <w:lang w:val="es-ES_tradnl"/>
        </w:rPr>
        <w:tab/>
        <w:t>Las ubicaciones reales de las estaciones terrenas así comunicadas a la Adminis</w:t>
      </w:r>
      <w:r w:rsidRPr="00271246">
        <w:rPr>
          <w:lang w:val="es-ES_tradnl"/>
        </w:rPr>
        <w:softHyphen/>
        <w:t>tración A y a la Oficina serán examinadas para verificar su conformidad con las caracte</w:t>
      </w:r>
      <w:r w:rsidRPr="00271246">
        <w:rPr>
          <w:lang w:val="es-ES_tradnl"/>
        </w:rPr>
        <w:softHyphen/>
        <w:t>rísticas indicadas en los comentarios al § 5.2.1 </w:t>
      </w:r>
      <w:r w:rsidRPr="00271246">
        <w:rPr>
          <w:i/>
          <w:lang w:val="es-ES_tradnl"/>
        </w:rPr>
        <w:t>b)</w:t>
      </w:r>
      <w:r w:rsidRPr="00271246">
        <w:rPr>
          <w:lang w:val="es-ES_tradnl"/>
        </w:rPr>
        <w:t xml:space="preserve"> de este Apéndice o aquellas a las que haya aplicado satisfactoriamente el procedimiento del Artículo 4. Este examen conducirá a lo siguiente:</w:t>
      </w:r>
    </w:p>
    <w:p w14:paraId="5EC3CAB8" w14:textId="48903131" w:rsidR="00CF2153" w:rsidRDefault="00CD474A">
      <w:pPr>
        <w:pStyle w:val="enumlev1"/>
        <w:rPr>
          <w:lang w:val="es-ES_tradnl"/>
        </w:rPr>
      </w:pPr>
      <w:r w:rsidRPr="00271246">
        <w:rPr>
          <w:lang w:val="es-ES_tradnl"/>
        </w:rPr>
        <w:t>–</w:t>
      </w:r>
      <w:r w:rsidRPr="00271246">
        <w:rPr>
          <w:lang w:val="es-ES_tradnl"/>
        </w:rPr>
        <w:tab/>
        <w:t>las estaciones terrenas conformes a las anteriores características serán inscritas en el Plan sin aplicar el procedimiento del Artículo 4, y se informará de ello a la administración A;</w:t>
      </w:r>
    </w:p>
    <w:p w14:paraId="5EBC024F" w14:textId="1B079170" w:rsidR="00721395" w:rsidRDefault="00721395">
      <w:pPr>
        <w:pStyle w:val="enumlev1"/>
        <w:rPr>
          <w:lang w:val="es-ES_tradnl"/>
        </w:rPr>
      </w:pPr>
      <w:r>
        <w:rPr>
          <w:lang w:val="es-ES_tradnl"/>
        </w:rPr>
        <w:br w:type="page"/>
      </w:r>
    </w:p>
    <w:p w14:paraId="53A9B65E" w14:textId="77777777" w:rsidR="00CD474A" w:rsidRPr="00271246" w:rsidRDefault="00CD474A" w:rsidP="00283739">
      <w:pPr>
        <w:pStyle w:val="enumlev1"/>
        <w:rPr>
          <w:lang w:val="es-ES_tradnl"/>
        </w:rPr>
      </w:pPr>
      <w:r w:rsidRPr="00271246">
        <w:rPr>
          <w:lang w:val="es-ES_tradnl"/>
        </w:rPr>
        <w:lastRenderedPageBreak/>
        <w:t>–</w:t>
      </w:r>
      <w:r w:rsidRPr="00271246">
        <w:rPr>
          <w:lang w:val="es-ES_tradnl"/>
        </w:rPr>
        <w:tab/>
        <w:t>las estaciones terrenas no conformes a las características indicadas en los comentarios al</w:t>
      </w:r>
      <w:r w:rsidR="00DF3A07" w:rsidRPr="00271246">
        <w:rPr>
          <w:lang w:val="es-ES_tradnl"/>
        </w:rPr>
        <w:t> </w:t>
      </w:r>
      <w:r w:rsidRPr="00271246">
        <w:rPr>
          <w:lang w:val="es-ES_tradnl"/>
        </w:rPr>
        <w:t>§</w:t>
      </w:r>
      <w:r w:rsidR="00FC5406" w:rsidRPr="00271246">
        <w:rPr>
          <w:lang w:val="es-ES_tradnl"/>
        </w:rPr>
        <w:t> </w:t>
      </w:r>
      <w:r w:rsidRPr="00271246">
        <w:rPr>
          <w:lang w:val="es-ES_tradnl"/>
        </w:rPr>
        <w:t xml:space="preserve">5.2.1 </w:t>
      </w:r>
      <w:r w:rsidRPr="00271246">
        <w:rPr>
          <w:i/>
          <w:lang w:val="es-ES_tradnl"/>
        </w:rPr>
        <w:t>b)</w:t>
      </w:r>
      <w:r w:rsidRPr="00271246">
        <w:rPr>
          <w:lang w:val="es-ES_tradnl"/>
        </w:rPr>
        <w:t xml:space="preserve"> y para las que no se haya aplicado el procedimiento del Artículo 4 se inscribirán en el Plan una vez aplicado con éxito el procedimiento del Artículo 4, y al aplicar éste se tendrá en cuenta la utilización proyectada del servicio terrenal por la Administración A.</w:t>
      </w:r>
    </w:p>
    <w:p w14:paraId="30C60812" w14:textId="77777777" w:rsidR="00CD474A" w:rsidRPr="00271246" w:rsidRDefault="00CD474A">
      <w:pPr>
        <w:rPr>
          <w:lang w:val="es-ES_tradnl"/>
        </w:rPr>
      </w:pPr>
      <w:r w:rsidRPr="00271246">
        <w:rPr>
          <w:lang w:val="es-ES_tradnl"/>
        </w:rPr>
        <w:t>3</w:t>
      </w:r>
      <w:r w:rsidRPr="00271246">
        <w:rPr>
          <w:lang w:val="es-ES_tradnl"/>
        </w:rPr>
        <w:tab/>
        <w:t>De acuerdo con esta disposición se llega a la conclusión de que no pueden utilizarse estaciones terrenas transportables en la banda 17,7-17,8 GHz en la Región 2.</w:t>
      </w:r>
    </w:p>
    <w:p w14:paraId="38305ECD" w14:textId="77777777" w:rsidR="00CD474A" w:rsidRPr="00271246" w:rsidRDefault="00CD474A">
      <w:pPr>
        <w:pStyle w:val="Heading9"/>
        <w:rPr>
          <w:lang w:val="es-ES_tradnl"/>
        </w:rPr>
      </w:pPr>
      <w:r w:rsidRPr="00271246">
        <w:rPr>
          <w:lang w:val="es-ES_tradnl"/>
        </w:rPr>
        <w:t>6.5</w:t>
      </w:r>
    </w:p>
    <w:p w14:paraId="32B1A428" w14:textId="77777777" w:rsidR="00CD474A" w:rsidRDefault="00CD474A" w:rsidP="00DF3A07">
      <w:pPr>
        <w:rPr>
          <w:lang w:val="es-ES_tradnl"/>
        </w:rPr>
      </w:pPr>
      <w:r w:rsidRPr="00271246">
        <w:rPr>
          <w:lang w:val="es-ES_tradnl"/>
        </w:rPr>
        <w:t>Este punto implica que estas estaciones terrenas de enlace de conexión no se inscribirán en el Plan. Por esta razón, la Oficina recomendará en tales casos a la administración que aplique el procedimiento del Artículo</w:t>
      </w:r>
      <w:r w:rsidR="00DF3A07" w:rsidRPr="00271246">
        <w:rPr>
          <w:lang w:val="es-ES_tradnl"/>
        </w:rPr>
        <w:t xml:space="preserve"> </w:t>
      </w:r>
      <w:r w:rsidRPr="00271246">
        <w:rPr>
          <w:lang w:val="es-ES_tradnl"/>
        </w:rPr>
        <w:t>4 a fin de que sus estaciones terrenas puedan inscribirse en el Plan.</w:t>
      </w:r>
    </w:p>
    <w:p w14:paraId="7A5542E4" w14:textId="77777777" w:rsidR="009A2458" w:rsidRPr="00271246" w:rsidRDefault="009A2458" w:rsidP="00DF3A07">
      <w:pPr>
        <w:rPr>
          <w:lang w:val="es-ES_tradnl"/>
        </w:rPr>
      </w:pPr>
    </w:p>
    <w:p w14:paraId="63F36985" w14:textId="77777777" w:rsidR="00CD474A" w:rsidRPr="00271246" w:rsidRDefault="00CD474A" w:rsidP="00110DFE">
      <w:pPr>
        <w:pStyle w:val="Heading8"/>
        <w:rPr>
          <w:lang w:val="es-ES_tradnl"/>
        </w:rPr>
      </w:pPr>
      <w:r w:rsidRPr="00271246">
        <w:rPr>
          <w:lang w:val="es-ES_tradnl"/>
        </w:rPr>
        <w:t>Art. 7</w:t>
      </w:r>
    </w:p>
    <w:p w14:paraId="0C240F1A" w14:textId="77777777" w:rsidR="00CD474A" w:rsidRPr="00271246" w:rsidRDefault="00CD474A">
      <w:pPr>
        <w:pStyle w:val="Heading2"/>
        <w:spacing w:before="240"/>
        <w:ind w:left="0" w:firstLine="0"/>
        <w:jc w:val="center"/>
        <w:rPr>
          <w:lang w:val="es-ES_tradnl"/>
        </w:rPr>
      </w:pPr>
      <w:r w:rsidRPr="00271246">
        <w:rPr>
          <w:lang w:val="es-ES_tradnl"/>
        </w:rPr>
        <w:t>Coordinación, notificación e inscripción de asignaciones del SFS cuando</w:t>
      </w:r>
      <w:r w:rsidRPr="00271246">
        <w:rPr>
          <w:lang w:val="es-ES_tradnl"/>
        </w:rPr>
        <w:br/>
        <w:t>están implicadas asignaciones a enlaces de conexión del SRS</w:t>
      </w:r>
    </w:p>
    <w:p w14:paraId="5E640E9E" w14:textId="77777777" w:rsidR="00CD474A" w:rsidRPr="00271246" w:rsidRDefault="00CD474A">
      <w:pPr>
        <w:pStyle w:val="Heading9"/>
        <w:rPr>
          <w:lang w:val="es-ES_tradnl"/>
        </w:rPr>
      </w:pPr>
      <w:r w:rsidRPr="00271246">
        <w:rPr>
          <w:lang w:val="es-ES_tradnl"/>
        </w:rPr>
        <w:t>7.7</w:t>
      </w:r>
    </w:p>
    <w:p w14:paraId="3F91A9C0" w14:textId="77777777" w:rsidR="00CD474A" w:rsidRPr="00271246" w:rsidRDefault="00CD474A">
      <w:pPr>
        <w:rPr>
          <w:lang w:val="es-ES_tradnl"/>
        </w:rPr>
      </w:pPr>
      <w:r w:rsidRPr="00271246">
        <w:rPr>
          <w:lang w:val="es-ES_tradnl"/>
        </w:rPr>
        <w:t>Se aplican los comentarios al § 6.5.</w:t>
      </w:r>
    </w:p>
    <w:p w14:paraId="522A093C" w14:textId="77777777" w:rsidR="00CD474A" w:rsidRPr="00271246" w:rsidRDefault="00CD474A">
      <w:pPr>
        <w:pStyle w:val="Heading8"/>
        <w:rPr>
          <w:lang w:val="es-ES_tradnl"/>
        </w:rPr>
      </w:pPr>
      <w:r w:rsidRPr="00271246">
        <w:rPr>
          <w:lang w:val="es-ES_tradnl"/>
        </w:rPr>
        <w:t>An. 1</w:t>
      </w:r>
    </w:p>
    <w:p w14:paraId="31B11E83" w14:textId="77777777" w:rsidR="00CD474A" w:rsidRPr="00271246" w:rsidRDefault="00CD474A" w:rsidP="00FC5406">
      <w:pPr>
        <w:pStyle w:val="Heading2"/>
        <w:spacing w:before="240"/>
        <w:ind w:left="0" w:firstLine="0"/>
        <w:jc w:val="center"/>
        <w:rPr>
          <w:lang w:val="es-ES_tradnl"/>
        </w:rPr>
      </w:pPr>
      <w:r w:rsidRPr="00271246">
        <w:rPr>
          <w:lang w:val="es-ES_tradnl"/>
        </w:rPr>
        <w:t>Límites para determinar si un servicio de una administración resulta</w:t>
      </w:r>
      <w:r w:rsidRPr="00271246">
        <w:rPr>
          <w:lang w:val="es-ES_tradnl"/>
        </w:rPr>
        <w:br/>
        <w:t>afectado por una modificación propuesta del Plan para la Región 2</w:t>
      </w:r>
      <w:r w:rsidR="00FC5406" w:rsidRPr="00271246">
        <w:rPr>
          <w:lang w:val="es-ES_tradnl"/>
        </w:rPr>
        <w:br/>
      </w:r>
      <w:r w:rsidRPr="00271246">
        <w:rPr>
          <w:lang w:val="es-ES_tradnl"/>
        </w:rPr>
        <w:t>o</w:t>
      </w:r>
      <w:r w:rsidR="00FC5406" w:rsidRPr="00271246">
        <w:rPr>
          <w:lang w:val="es-ES_tradnl"/>
        </w:rPr>
        <w:t xml:space="preserve"> </w:t>
      </w:r>
      <w:r w:rsidRPr="00271246">
        <w:rPr>
          <w:lang w:val="es-ES_tradnl"/>
        </w:rPr>
        <w:t>por asignaciones nuevas o modificadas propuestas para las</w:t>
      </w:r>
      <w:r w:rsidR="00FC5406" w:rsidRPr="00271246">
        <w:rPr>
          <w:lang w:val="es-ES_tradnl"/>
        </w:rPr>
        <w:br/>
      </w:r>
      <w:r w:rsidRPr="00271246">
        <w:rPr>
          <w:lang w:val="es-ES_tradnl"/>
        </w:rPr>
        <w:t>Listas</w:t>
      </w:r>
      <w:r w:rsidR="00FC5406" w:rsidRPr="00271246">
        <w:rPr>
          <w:lang w:val="es-ES_tradnl"/>
        </w:rPr>
        <w:t xml:space="preserve"> </w:t>
      </w:r>
      <w:r w:rsidRPr="00271246">
        <w:rPr>
          <w:lang w:val="es-ES_tradnl"/>
        </w:rPr>
        <w:t>de los enlaces de conexión de las Regiones 1 y 3</w:t>
      </w:r>
    </w:p>
    <w:p w14:paraId="72EC47A7" w14:textId="77777777" w:rsidR="00CD474A" w:rsidRPr="00271246" w:rsidRDefault="00CD474A">
      <w:pPr>
        <w:pStyle w:val="Heading9"/>
        <w:rPr>
          <w:lang w:val="es-ES_tradnl"/>
        </w:rPr>
      </w:pPr>
      <w:r w:rsidRPr="00271246">
        <w:rPr>
          <w:lang w:val="es-ES_tradnl"/>
        </w:rPr>
        <w:t>3</w:t>
      </w:r>
    </w:p>
    <w:p w14:paraId="6D85B71E" w14:textId="77777777" w:rsidR="00CD474A" w:rsidRPr="00271246" w:rsidRDefault="00CD474A">
      <w:pPr>
        <w:rPr>
          <w:lang w:val="es-ES_tradnl"/>
        </w:rPr>
      </w:pPr>
      <w:r w:rsidRPr="00271246">
        <w:rPr>
          <w:lang w:val="es-ES_tradnl"/>
        </w:rPr>
        <w:t>Véanse los comentarios a las Reglas de Procedimiento relativas al § 2 del Anexo 1 al Apéndice </w:t>
      </w:r>
      <w:r w:rsidRPr="00271246">
        <w:rPr>
          <w:rStyle w:val="Appref"/>
          <w:b/>
          <w:color w:val="000000"/>
          <w:lang w:val="es-ES_tradnl"/>
        </w:rPr>
        <w:t>30</w:t>
      </w:r>
      <w:r w:rsidRPr="00271246">
        <w:rPr>
          <w:lang w:val="es-ES_tradnl"/>
        </w:rPr>
        <w:t>.</w:t>
      </w:r>
    </w:p>
    <w:p w14:paraId="3DCEF801" w14:textId="77777777" w:rsidR="00CD474A" w:rsidRPr="00271246" w:rsidRDefault="00CD474A">
      <w:pPr>
        <w:pStyle w:val="Heading9"/>
        <w:rPr>
          <w:lang w:val="es-ES_tradnl"/>
        </w:rPr>
      </w:pPr>
      <w:r w:rsidRPr="00271246">
        <w:rPr>
          <w:lang w:val="es-ES_tradnl"/>
        </w:rPr>
        <w:t>4</w:t>
      </w:r>
    </w:p>
    <w:p w14:paraId="480D0CD0" w14:textId="77777777" w:rsidR="00CD474A" w:rsidRPr="00271246" w:rsidRDefault="00CD474A">
      <w:pPr>
        <w:pStyle w:val="Headingi"/>
        <w:rPr>
          <w:lang w:val="es-ES_tradnl"/>
        </w:rPr>
      </w:pPr>
      <w:r w:rsidRPr="00271246">
        <w:rPr>
          <w:lang w:val="es-ES_tradnl"/>
        </w:rPr>
        <w:t>a)</w:t>
      </w:r>
      <w:r w:rsidRPr="00271246">
        <w:rPr>
          <w:lang w:val="es-ES_tradnl"/>
        </w:rPr>
        <w:tab/>
        <w:t>Puntos de prueba</w:t>
      </w:r>
    </w:p>
    <w:p w14:paraId="37B16839" w14:textId="77777777" w:rsidR="00CD474A" w:rsidRDefault="00CD474A">
      <w:pPr>
        <w:rPr>
          <w:lang w:val="es-ES_tradnl"/>
        </w:rPr>
      </w:pPr>
      <w:r w:rsidRPr="00271246">
        <w:rPr>
          <w:lang w:val="es-ES_tradnl"/>
        </w:rPr>
        <w:t>Véanse los comentarios a las Reglas de Procedimiento relativas al apartado </w:t>
      </w:r>
      <w:r w:rsidRPr="00271246">
        <w:rPr>
          <w:i/>
          <w:iCs/>
          <w:lang w:val="es-ES_tradnl"/>
        </w:rPr>
        <w:t>a)</w:t>
      </w:r>
      <w:r w:rsidRPr="00271246">
        <w:rPr>
          <w:lang w:val="es-ES_tradnl"/>
        </w:rPr>
        <w:t xml:space="preserve"> del § 1 del Anexo 1 al Apéndice </w:t>
      </w:r>
      <w:r w:rsidRPr="00271246">
        <w:rPr>
          <w:rStyle w:val="Appref"/>
          <w:b/>
          <w:color w:val="000000"/>
          <w:lang w:val="es-ES_tradnl"/>
        </w:rPr>
        <w:t>30</w:t>
      </w:r>
      <w:r w:rsidRPr="00271246">
        <w:rPr>
          <w:lang w:val="es-ES_tradnl"/>
        </w:rPr>
        <w:t>.</w:t>
      </w:r>
    </w:p>
    <w:p w14:paraId="2BF81253" w14:textId="77777777" w:rsidR="007B4293" w:rsidRDefault="007B4293" w:rsidP="00721395">
      <w:pPr>
        <w:rPr>
          <w:lang w:val="es-ES_tradnl"/>
        </w:rPr>
      </w:pPr>
      <w:r>
        <w:rPr>
          <w:lang w:val="es-ES_tradnl"/>
        </w:rPr>
        <w:br w:type="page"/>
      </w:r>
    </w:p>
    <w:p w14:paraId="66E3B5CB" w14:textId="77777777" w:rsidR="00C21064" w:rsidRPr="000D685E" w:rsidRDefault="00C21064" w:rsidP="00C21064">
      <w:pPr>
        <w:pStyle w:val="enumlev1"/>
        <w:ind w:left="1134" w:hanging="1134"/>
        <w:rPr>
          <w:i/>
          <w:lang w:val="es-ES_tradnl"/>
        </w:rPr>
      </w:pPr>
      <w:r w:rsidRPr="000D685E">
        <w:rPr>
          <w:i/>
          <w:lang w:val="es-ES_tradnl"/>
        </w:rPr>
        <w:lastRenderedPageBreak/>
        <w:t>b)</w:t>
      </w:r>
      <w:r w:rsidRPr="000D685E">
        <w:rPr>
          <w:i/>
          <w:lang w:val="es-ES_tradnl"/>
        </w:rPr>
        <w:tab/>
        <w:t>Aplicación del límite de densidad de flujo de potencia que figura en el primer apartado del § 4 del Anexo 1 al Apéndice </w:t>
      </w:r>
      <w:r w:rsidRPr="000D685E">
        <w:rPr>
          <w:b/>
          <w:i/>
          <w:color w:val="000000"/>
          <w:lang w:val="es-ES_tradnl"/>
        </w:rPr>
        <w:t>30A</w:t>
      </w:r>
    </w:p>
    <w:p w14:paraId="48C21D10" w14:textId="694935BF" w:rsidR="00EE6FB6" w:rsidRPr="000D685E" w:rsidRDefault="00C21064" w:rsidP="007B4293">
      <w:pPr>
        <w:pStyle w:val="enumlev1"/>
        <w:ind w:left="0" w:firstLine="0"/>
        <w:rPr>
          <w:sz w:val="16"/>
          <w:szCs w:val="16"/>
          <w:lang w:val="es-ES_tradnl"/>
        </w:rPr>
      </w:pPr>
      <w:r w:rsidRPr="000D685E">
        <w:rPr>
          <w:lang w:val="es-ES_tradnl"/>
        </w:rPr>
        <w:t xml:space="preserve">El límite de densidad de flujo de potencia de </w:t>
      </w:r>
      <w:r w:rsidR="009A2458" w:rsidRPr="009A2458">
        <w:rPr>
          <w:lang w:val="es-ES_tradnl"/>
        </w:rPr>
        <w:t>−</w:t>
      </w:r>
      <w:r w:rsidRPr="000D685E">
        <w:rPr>
          <w:lang w:val="es-ES_tradnl"/>
        </w:rPr>
        <w:t>76 dB(W/(m</w:t>
      </w:r>
      <w:r w:rsidRPr="000D685E">
        <w:rPr>
          <w:vertAlign w:val="superscript"/>
          <w:lang w:val="es-ES_tradnl"/>
        </w:rPr>
        <w:t>2</w:t>
      </w:r>
      <w:r w:rsidRPr="000D685E">
        <w:rPr>
          <w:lang w:val="es-ES_tradnl"/>
        </w:rPr>
        <w:t> </w:t>
      </w:r>
      <w:r w:rsidRPr="00BF736E">
        <w:rPr>
          <w:rFonts w:ascii="Symbol" w:hAnsi="Symbol"/>
        </w:rPr>
        <w:t></w:t>
      </w:r>
      <w:r w:rsidRPr="000D685E">
        <w:rPr>
          <w:lang w:val="es-ES_tradnl"/>
        </w:rPr>
        <w:t xml:space="preserve"> 27 MHz)) indicado en el primer apartado del § 4 del Anexo 1 al Apéndice </w:t>
      </w:r>
      <w:r w:rsidRPr="000D685E">
        <w:rPr>
          <w:b/>
          <w:color w:val="000000"/>
          <w:lang w:val="es-ES_tradnl"/>
        </w:rPr>
        <w:t>30A</w:t>
      </w:r>
      <w:r w:rsidRPr="000D685E">
        <w:rPr>
          <w:lang w:val="es-ES_tradnl"/>
        </w:rPr>
        <w:t xml:space="preserve"> se estableció para proteger a las asignaciones de enlaces de conexión del SRS contra la interferencia que pueden causar las redes de enlaces de conexión del SRS situadas fuera de un arco de </w:t>
      </w:r>
      <w:r w:rsidRPr="00BF736E">
        <w:rPr>
          <w:rFonts w:ascii="Symbol" w:hAnsi="Symbol"/>
        </w:rPr>
        <w:t></w:t>
      </w:r>
      <w:r w:rsidRPr="000D685E">
        <w:rPr>
          <w:rFonts w:ascii="Tms Rmn" w:hAnsi="Tms Rmn"/>
          <w:sz w:val="12"/>
          <w:lang w:val="es-ES_tradnl"/>
        </w:rPr>
        <w:t> </w:t>
      </w:r>
      <w:r w:rsidRPr="000D685E">
        <w:rPr>
          <w:lang w:val="es-ES_tradnl"/>
        </w:rPr>
        <w:t>9° en torno a una red de enlaces de conexión del SRS deseada, en las condiciones más desfavorables de mantenimiento en posición de la estación. Por lo tanto, parece que este límite de densidad de flujo de potencia tiene que considerarse como un límite estricto que no deberá rebasarse</w:t>
      </w:r>
      <w:r w:rsidR="000D685E" w:rsidRPr="000D685E">
        <w:rPr>
          <w:lang w:val="es-ES_tradnl"/>
        </w:rPr>
        <w:t>.</w:t>
      </w:r>
    </w:p>
    <w:p w14:paraId="59E1D35D" w14:textId="77777777" w:rsidR="00CD474A" w:rsidRPr="00271246" w:rsidRDefault="00CD474A">
      <w:pPr>
        <w:pStyle w:val="Headingi"/>
        <w:ind w:left="1134" w:hanging="1134"/>
        <w:rPr>
          <w:lang w:val="es-ES_tradnl"/>
        </w:rPr>
      </w:pPr>
      <w:r w:rsidRPr="00271246">
        <w:rPr>
          <w:lang w:val="es-ES_tradnl"/>
        </w:rPr>
        <w:t>c)</w:t>
      </w:r>
      <w:r w:rsidRPr="00271246">
        <w:rPr>
          <w:lang w:val="es-ES_tradnl"/>
        </w:rPr>
        <w:tab/>
        <w:t>Aplicación del criterio de degradación del margen de protección equivalente que aparece en el tercer apartado del § 4 del Anexo 1 al Apéndice </w:t>
      </w:r>
      <w:r w:rsidRPr="00271246">
        <w:rPr>
          <w:rStyle w:val="Appref"/>
          <w:b/>
          <w:color w:val="000000"/>
          <w:lang w:val="es-ES_tradnl"/>
        </w:rPr>
        <w:t>30A</w:t>
      </w:r>
    </w:p>
    <w:p w14:paraId="47768DD9" w14:textId="08EB3396" w:rsidR="00CD474A" w:rsidRPr="00271246" w:rsidRDefault="00CD474A" w:rsidP="00271246">
      <w:pPr>
        <w:rPr>
          <w:lang w:val="es-ES_tradnl"/>
        </w:rPr>
      </w:pPr>
      <w:r w:rsidRPr="00271246">
        <w:rPr>
          <w:lang w:val="es-ES_tradnl"/>
        </w:rPr>
        <w:t>1</w:t>
      </w:r>
      <w:r w:rsidRPr="00271246">
        <w:rPr>
          <w:lang w:val="es-ES_tradnl"/>
        </w:rPr>
        <w:tab/>
        <w:t xml:space="preserve">De conformidad con el tercer apartado del § 4 del Anexo 1 al Apéndice </w:t>
      </w:r>
      <w:r w:rsidRPr="00271246">
        <w:rPr>
          <w:rStyle w:val="Appref"/>
          <w:b/>
          <w:color w:val="000000"/>
          <w:lang w:val="es-ES_tradnl"/>
        </w:rPr>
        <w:t>30A</w:t>
      </w:r>
      <w:r w:rsidRPr="00271246">
        <w:rPr>
          <w:lang w:val="es-ES_tradnl"/>
        </w:rPr>
        <w:t>, una administración que tenga asignaciones en el Plan de 14</w:t>
      </w:r>
      <w:r w:rsidR="009A2458">
        <w:rPr>
          <w:lang w:val="es-ES_tradnl"/>
        </w:rPr>
        <w:t> </w:t>
      </w:r>
      <w:r w:rsidRPr="00271246">
        <w:rPr>
          <w:lang w:val="es-ES_tradnl"/>
        </w:rPr>
        <w:t>GHz o 17</w:t>
      </w:r>
      <w:r w:rsidR="009A2458">
        <w:rPr>
          <w:lang w:val="es-ES_tradnl"/>
        </w:rPr>
        <w:t> </w:t>
      </w:r>
      <w:r w:rsidRPr="00271246">
        <w:rPr>
          <w:lang w:val="es-ES_tradnl"/>
        </w:rPr>
        <w:t>GHz o en la Lista de 14 GHz o 17 GHz o asignaciones para las cuales ya se ha iniciado el procedimiento del Artículo 4 del Apéndice</w:t>
      </w:r>
      <w:r w:rsidR="00271246" w:rsidRPr="00271246">
        <w:rPr>
          <w:lang w:val="es-ES_tradnl"/>
        </w:rPr>
        <w:t xml:space="preserve"> </w:t>
      </w:r>
      <w:r w:rsidRPr="00271246">
        <w:rPr>
          <w:rStyle w:val="Appref"/>
          <w:b/>
          <w:color w:val="000000"/>
          <w:lang w:val="es-ES_tradnl"/>
        </w:rPr>
        <w:t>30A</w:t>
      </w:r>
      <w:r w:rsidRPr="00271246">
        <w:rPr>
          <w:lang w:val="es-ES_tradnl"/>
        </w:rPr>
        <w:t>, se considera afectada por una asignación nueva o modificada propuesta en la Lista de 14 GHz o 17 GHz si se cumplen las siguientes condiciones:</w:t>
      </w:r>
    </w:p>
    <w:p w14:paraId="2A2C895D" w14:textId="77777777" w:rsidR="00CD474A" w:rsidRPr="00271246" w:rsidRDefault="00CD474A">
      <w:pPr>
        <w:pStyle w:val="enumlev1"/>
        <w:rPr>
          <w:lang w:val="es-ES_tradnl"/>
        </w:rPr>
      </w:pPr>
      <w:r w:rsidRPr="00271246">
        <w:rPr>
          <w:lang w:val="es-ES_tradnl"/>
        </w:rPr>
        <w:sym w:font="Symbol" w:char="F02D"/>
      </w:r>
      <w:r w:rsidRPr="00271246">
        <w:rPr>
          <w:lang w:val="es-ES_tradnl"/>
        </w:rPr>
        <w:tab/>
        <w:t>la separación orbital entre ambas asignaciones es inferior a 9° en las condiciones más desfavorables de mantenimiento en posición de la estación; y</w:t>
      </w:r>
    </w:p>
    <w:p w14:paraId="099E6BDC" w14:textId="77777777" w:rsidR="00CD474A" w:rsidRPr="00271246" w:rsidRDefault="00CD474A">
      <w:pPr>
        <w:pStyle w:val="enumlev1"/>
        <w:rPr>
          <w:lang w:val="es-ES_tradnl"/>
        </w:rPr>
      </w:pPr>
      <w:r w:rsidRPr="00271246">
        <w:rPr>
          <w:lang w:val="es-ES_tradnl"/>
        </w:rPr>
        <w:sym w:font="Symbol" w:char="F02D"/>
      </w:r>
      <w:r w:rsidRPr="00271246">
        <w:rPr>
          <w:lang w:val="es-ES_tradnl"/>
        </w:rPr>
        <w:tab/>
        <w:t>se produce una superposición de frecuencias entre las anchuras de banda asignadas a cada una de las asignaciones; y</w:t>
      </w:r>
    </w:p>
    <w:p w14:paraId="1D9C9DCE" w14:textId="77777777" w:rsidR="00CD474A" w:rsidRPr="00271246" w:rsidRDefault="00CD474A">
      <w:pPr>
        <w:pStyle w:val="enumlev1"/>
        <w:rPr>
          <w:lang w:val="es-ES_tradnl"/>
        </w:rPr>
      </w:pPr>
      <w:r w:rsidRPr="00271246">
        <w:rPr>
          <w:lang w:val="es-ES_tradnl"/>
        </w:rPr>
        <w:sym w:font="Symbol" w:char="F02D"/>
      </w:r>
      <w:r w:rsidRPr="00271246">
        <w:rPr>
          <w:lang w:val="es-ES_tradnl"/>
        </w:rPr>
        <w:tab/>
        <w:t>el margen de protección equivalente de referencia de al menos uno de los puntos de prueba</w:t>
      </w:r>
      <w:r w:rsidRPr="00271246">
        <w:rPr>
          <w:rStyle w:val="FootnoteReference"/>
          <w:sz w:val="20"/>
          <w:lang w:val="es-ES_tradnl"/>
        </w:rPr>
        <w:footnoteReference w:customMarkFollows="1" w:id="8"/>
        <w:t>5</w:t>
      </w:r>
      <w:r w:rsidRPr="00271246">
        <w:rPr>
          <w:lang w:val="es-ES_tradnl"/>
        </w:rPr>
        <w:t xml:space="preserve"> de dicha asignación deseada se reduce más de 0,45 dB por debajo de 0 dB o, si ya es negativo, más de 0,45 dB por debajo del valor del margen de protección equi</w:t>
      </w:r>
      <w:r w:rsidRPr="00271246">
        <w:rPr>
          <w:lang w:val="es-ES_tradnl"/>
        </w:rPr>
        <w:softHyphen/>
        <w:t>valente de referencia.</w:t>
      </w:r>
    </w:p>
    <w:p w14:paraId="1C5EBB3C" w14:textId="77777777" w:rsidR="00CD474A" w:rsidRPr="00271246" w:rsidRDefault="00CD474A">
      <w:pPr>
        <w:pStyle w:val="Headingi"/>
        <w:rPr>
          <w:lang w:val="es-ES_tradnl"/>
        </w:rPr>
      </w:pPr>
      <w:r w:rsidRPr="00271246">
        <w:rPr>
          <w:lang w:val="es-ES_tradnl"/>
        </w:rPr>
        <w:t>d)</w:t>
      </w:r>
      <w:r w:rsidRPr="00271246">
        <w:rPr>
          <w:lang w:val="es-ES_tradnl"/>
        </w:rPr>
        <w:tab/>
        <w:t>Margen de protección de referencia</w:t>
      </w:r>
    </w:p>
    <w:p w14:paraId="7941A6A3" w14:textId="056280C1" w:rsidR="00CD474A" w:rsidRDefault="00CD474A">
      <w:pPr>
        <w:rPr>
          <w:lang w:val="es-ES_tradnl"/>
        </w:rPr>
      </w:pPr>
      <w:r w:rsidRPr="00271246">
        <w:rPr>
          <w:lang w:val="es-ES_tradnl"/>
        </w:rPr>
        <w:t xml:space="preserve">Véanse los comentarios al § </w:t>
      </w:r>
      <w:r w:rsidRPr="00271246">
        <w:rPr>
          <w:i/>
          <w:iCs/>
          <w:lang w:val="es-ES_tradnl"/>
        </w:rPr>
        <w:t>d)</w:t>
      </w:r>
      <w:r w:rsidRPr="00271246">
        <w:rPr>
          <w:lang w:val="es-ES_tradnl"/>
        </w:rPr>
        <w:t xml:space="preserve"> de las Reglas de Procedimiento relativas al § 1 del Anexo 1 al Apéndice </w:t>
      </w:r>
      <w:r w:rsidRPr="00271246">
        <w:rPr>
          <w:rStyle w:val="Appref"/>
          <w:b/>
          <w:color w:val="000000"/>
          <w:lang w:val="es-ES_tradnl"/>
        </w:rPr>
        <w:t>30</w:t>
      </w:r>
      <w:r w:rsidRPr="00271246">
        <w:rPr>
          <w:lang w:val="es-ES_tradnl"/>
        </w:rPr>
        <w:t>.</w:t>
      </w:r>
    </w:p>
    <w:p w14:paraId="2EF20E22" w14:textId="6B8D1108" w:rsidR="00721395" w:rsidRDefault="00721395">
      <w:pPr>
        <w:rPr>
          <w:lang w:val="es-ES_tradnl"/>
        </w:rPr>
      </w:pPr>
      <w:r>
        <w:rPr>
          <w:lang w:val="es-ES_tradnl"/>
        </w:rPr>
        <w:br w:type="page"/>
      </w:r>
    </w:p>
    <w:p w14:paraId="66A2C41B" w14:textId="77777777" w:rsidR="00CD474A" w:rsidRPr="00271246" w:rsidRDefault="00CD474A">
      <w:pPr>
        <w:pStyle w:val="Heading8"/>
        <w:spacing w:before="600"/>
        <w:rPr>
          <w:lang w:val="es-ES_tradnl"/>
        </w:rPr>
      </w:pPr>
      <w:r w:rsidRPr="00271246">
        <w:rPr>
          <w:lang w:val="es-ES_tradnl"/>
        </w:rPr>
        <w:lastRenderedPageBreak/>
        <w:t>An. 3</w:t>
      </w:r>
    </w:p>
    <w:p w14:paraId="0D4A3A9F" w14:textId="77777777" w:rsidR="00CD474A" w:rsidRPr="00271246" w:rsidRDefault="00CD474A" w:rsidP="00DF3A07">
      <w:pPr>
        <w:pStyle w:val="Heading2"/>
        <w:ind w:left="0" w:firstLine="0"/>
        <w:jc w:val="center"/>
        <w:rPr>
          <w:lang w:val="es-ES_tradnl"/>
        </w:rPr>
      </w:pPr>
      <w:r w:rsidRPr="00271246">
        <w:rPr>
          <w:lang w:val="es-ES_tradnl"/>
        </w:rPr>
        <w:t>Datos técnicos utilizados para el establecimiento de las disposiciones,</w:t>
      </w:r>
      <w:r w:rsidRPr="00271246">
        <w:rPr>
          <w:lang w:val="es-ES_tradnl"/>
        </w:rPr>
        <w:br/>
        <w:t>de los Planes asociados y Lista para los enlaces de conexión en</w:t>
      </w:r>
      <w:r w:rsidRPr="00271246">
        <w:rPr>
          <w:lang w:val="es-ES_tradnl"/>
        </w:rPr>
        <w:br/>
        <w:t>las Regiones</w:t>
      </w:r>
      <w:r w:rsidR="00DF3A07" w:rsidRPr="00271246">
        <w:rPr>
          <w:lang w:val="es-ES_tradnl"/>
        </w:rPr>
        <w:t xml:space="preserve"> </w:t>
      </w:r>
      <w:r w:rsidRPr="00271246">
        <w:rPr>
          <w:lang w:val="es-ES_tradnl"/>
        </w:rPr>
        <w:t>1 y 3 que deben emplearse en su aplicación</w:t>
      </w:r>
    </w:p>
    <w:p w14:paraId="73B78E12" w14:textId="3EFC9DC3" w:rsidR="00CD474A" w:rsidRPr="00271246" w:rsidRDefault="00CD474A" w:rsidP="007B4293">
      <w:pPr>
        <w:pStyle w:val="Heading9"/>
        <w:rPr>
          <w:lang w:val="es-ES_tradnl"/>
        </w:rPr>
      </w:pPr>
      <w:r w:rsidRPr="00271246">
        <w:rPr>
          <w:lang w:val="es-ES_tradnl"/>
        </w:rPr>
        <w:t>1.7</w:t>
      </w:r>
    </w:p>
    <w:p w14:paraId="63D23E1A" w14:textId="77777777" w:rsidR="00AB3AA2" w:rsidRPr="00AB3AA2" w:rsidRDefault="00AB3AA2" w:rsidP="00AB3AA2">
      <w:pPr>
        <w:rPr>
          <w:lang w:val="es-ES_tradnl"/>
        </w:rPr>
      </w:pPr>
      <w:r w:rsidRPr="00AB3AA2">
        <w:rPr>
          <w:lang w:val="es-ES_tradnl"/>
        </w:rPr>
        <w:t xml:space="preserve">La nota de pie de página de esta disposición estipula que </w:t>
      </w:r>
      <w:r w:rsidRPr="005720CA">
        <w:rPr>
          <w:i/>
          <w:iCs/>
          <w:lang w:val="es-ES_tradnl"/>
        </w:rPr>
        <w:t xml:space="preserve">«en algunos casos (por ejemplo, cuando la separación de canal y/o la anchura de banda son diferentes de los valores indicados en los § 3.5 y 3.8 del Anexo 5 al Apéndice </w:t>
      </w:r>
      <w:r w:rsidRPr="005720CA">
        <w:rPr>
          <w:rStyle w:val="Appref"/>
          <w:b/>
          <w:i/>
          <w:iCs/>
          <w:color w:val="000000"/>
          <w:lang w:val="es-ES_tradnl"/>
        </w:rPr>
        <w:t>30</w:t>
      </w:r>
      <w:r w:rsidRPr="005720CA">
        <w:rPr>
          <w:i/>
          <w:iCs/>
          <w:lang w:val="es-ES_tradnl"/>
        </w:rPr>
        <w:t>), la Oficina utilizará el método del caso más desfavorable hasta que se incorpore por referencia en este Anexo una Recomendación UIT-R pertinente»</w:t>
      </w:r>
      <w:r w:rsidRPr="00AB3AA2">
        <w:rPr>
          <w:lang w:val="es-ES_tradnl"/>
        </w:rPr>
        <w:t>.</w:t>
      </w:r>
    </w:p>
    <w:p w14:paraId="13A54523" w14:textId="77777777" w:rsidR="00CD474A" w:rsidRPr="00AB3AA2" w:rsidRDefault="00AB3AA2" w:rsidP="00AB3AA2">
      <w:pPr>
        <w:rPr>
          <w:lang w:val="es-ES_tradnl"/>
        </w:rPr>
      </w:pPr>
      <w:r w:rsidRPr="00AB3AA2">
        <w:rPr>
          <w:lang w:val="es-ES_tradnl"/>
        </w:rPr>
        <w:t>Observando que la Recomendación UIT-R BO.1293-2 sólo da un método para calcular la interferencia entre asignaciones utilizando separaciones de canales y anchuras de bandas diferentes en el caso de una fuente de interferencia digital, la Junta decidió, como medida provisional, hasta que se disponga de Recomendaciones UIT-R aplicables sobre contornos de protección y métodos de cálculo, aplicar los métodos de cálculo que se indican en el Cuadro 1 para calcular la interferencia entre dos asignaciones de los Planes y/o las modificaciones de éstos.</w:t>
      </w:r>
    </w:p>
    <w:p w14:paraId="465A1373" w14:textId="58247624" w:rsidR="00AB3AA2" w:rsidRPr="005F553C" w:rsidRDefault="00AB3AA2" w:rsidP="00F90CAB">
      <w:pPr>
        <w:pStyle w:val="TableNo"/>
        <w:keepNext w:val="0"/>
        <w:spacing w:before="120"/>
        <w:rPr>
          <w:lang w:val="es-ES_tradnl"/>
        </w:rPr>
      </w:pPr>
      <w:r w:rsidRPr="005F553C">
        <w:rPr>
          <w:lang w:val="es-ES_tradnl"/>
        </w:rPr>
        <w:t>CUADRO  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AB3AA2" w:rsidRPr="008A333F" w14:paraId="7C102FC5" w14:textId="77777777" w:rsidTr="00D568CF">
        <w:trPr>
          <w:jc w:val="center"/>
        </w:trPr>
        <w:tc>
          <w:tcPr>
            <w:tcW w:w="2835" w:type="dxa"/>
            <w:tcBorders>
              <w:top w:val="single" w:sz="6" w:space="0" w:color="auto"/>
            </w:tcBorders>
          </w:tcPr>
          <w:p w14:paraId="08A9046A"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Asignación deseada</w:t>
            </w:r>
          </w:p>
        </w:tc>
        <w:tc>
          <w:tcPr>
            <w:tcW w:w="2835" w:type="dxa"/>
            <w:tcBorders>
              <w:top w:val="single" w:sz="6" w:space="0" w:color="auto"/>
            </w:tcBorders>
          </w:tcPr>
          <w:p w14:paraId="571AFD9F"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Asignación interferente</w:t>
            </w:r>
          </w:p>
        </w:tc>
        <w:tc>
          <w:tcPr>
            <w:tcW w:w="3402" w:type="dxa"/>
            <w:tcBorders>
              <w:top w:val="single" w:sz="6" w:space="0" w:color="auto"/>
            </w:tcBorders>
          </w:tcPr>
          <w:p w14:paraId="41808F8F"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Método que habrá de aplicarse</w:t>
            </w:r>
          </w:p>
        </w:tc>
      </w:tr>
      <w:tr w:rsidR="00AB3AA2" w:rsidRPr="008A333F" w14:paraId="3F665243" w14:textId="77777777" w:rsidTr="00D568CF">
        <w:trPr>
          <w:jc w:val="center"/>
        </w:trPr>
        <w:tc>
          <w:tcPr>
            <w:tcW w:w="2835" w:type="dxa"/>
          </w:tcPr>
          <w:p w14:paraId="14059C12" w14:textId="1A221438"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r w:rsidR="00DE6CFE" w:rsidRPr="00DE6CFE">
              <w:rPr>
                <w:rFonts w:asciiTheme="majorBidi" w:hAnsiTheme="majorBidi" w:cstheme="majorBidi"/>
                <w:vertAlign w:val="superscript"/>
                <w:lang w:val="es-ES_tradnl"/>
              </w:rPr>
              <w:t>1</w:t>
            </w:r>
          </w:p>
        </w:tc>
        <w:tc>
          <w:tcPr>
            <w:tcW w:w="2835" w:type="dxa"/>
          </w:tcPr>
          <w:p w14:paraId="364109A0"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3402" w:type="dxa"/>
          </w:tcPr>
          <w:p w14:paraId="781B039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el Anexo 3 al Apéndice </w:t>
            </w:r>
            <w:r w:rsidRPr="004B4040">
              <w:rPr>
                <w:rStyle w:val="Appref"/>
                <w:rFonts w:asciiTheme="majorBidi" w:hAnsiTheme="majorBidi" w:cstheme="majorBidi"/>
                <w:b/>
                <w:color w:val="000000"/>
                <w:lang w:val="es-ES_tradnl"/>
              </w:rPr>
              <w:t>30A</w:t>
            </w:r>
          </w:p>
        </w:tc>
      </w:tr>
      <w:tr w:rsidR="00AB3AA2" w:rsidRPr="008A333F" w14:paraId="0D1D498B" w14:textId="77777777" w:rsidTr="00D568CF">
        <w:trPr>
          <w:jc w:val="center"/>
        </w:trPr>
        <w:tc>
          <w:tcPr>
            <w:tcW w:w="2835" w:type="dxa"/>
          </w:tcPr>
          <w:p w14:paraId="536E9F0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2835" w:type="dxa"/>
          </w:tcPr>
          <w:p w14:paraId="55D8468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3402" w:type="dxa"/>
          </w:tcPr>
          <w:p w14:paraId="6515B713"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8A333F" w14:paraId="146636B7" w14:textId="77777777" w:rsidTr="00D568CF">
        <w:trPr>
          <w:jc w:val="center"/>
        </w:trPr>
        <w:tc>
          <w:tcPr>
            <w:tcW w:w="2835" w:type="dxa"/>
          </w:tcPr>
          <w:p w14:paraId="379B13B7"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2835" w:type="dxa"/>
          </w:tcPr>
          <w:p w14:paraId="5350327D"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3402" w:type="dxa"/>
          </w:tcPr>
          <w:p w14:paraId="46ADCB8A"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8A333F" w14:paraId="03ABDFEA" w14:textId="77777777" w:rsidTr="00D568CF">
        <w:trPr>
          <w:jc w:val="center"/>
        </w:trPr>
        <w:tc>
          <w:tcPr>
            <w:tcW w:w="2835" w:type="dxa"/>
          </w:tcPr>
          <w:p w14:paraId="304DCC32"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2835" w:type="dxa"/>
          </w:tcPr>
          <w:p w14:paraId="339F591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3402" w:type="dxa"/>
          </w:tcPr>
          <w:p w14:paraId="032A2A78"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8A333F" w14:paraId="6BBBB002" w14:textId="77777777" w:rsidTr="00D568CF">
        <w:trPr>
          <w:jc w:val="center"/>
        </w:trPr>
        <w:tc>
          <w:tcPr>
            <w:tcW w:w="2835" w:type="dxa"/>
          </w:tcPr>
          <w:p w14:paraId="73B9CED3"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2835" w:type="dxa"/>
          </w:tcPr>
          <w:p w14:paraId="3A407C0A"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 xml:space="preserve">Analógica «normalizada» o </w:t>
            </w:r>
            <w:r w:rsidRPr="004B4040">
              <w:rPr>
                <w:rFonts w:asciiTheme="majorBidi" w:hAnsiTheme="majorBidi" w:cstheme="majorBidi"/>
                <w:lang w:val="es-ES_tradnl"/>
              </w:rPr>
              <w:br/>
              <w:t>«no normalizada»</w:t>
            </w:r>
          </w:p>
        </w:tc>
        <w:tc>
          <w:tcPr>
            <w:tcW w:w="3402" w:type="dxa"/>
          </w:tcPr>
          <w:p w14:paraId="56E35EE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8A333F" w14:paraId="08C32C27" w14:textId="77777777" w:rsidTr="004B4040">
        <w:trPr>
          <w:jc w:val="center"/>
        </w:trPr>
        <w:tc>
          <w:tcPr>
            <w:tcW w:w="2835" w:type="dxa"/>
            <w:tcBorders>
              <w:bottom w:val="single" w:sz="4" w:space="0" w:color="auto"/>
            </w:tcBorders>
          </w:tcPr>
          <w:p w14:paraId="1A5C278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 o</w:t>
            </w:r>
            <w:r w:rsidRPr="004B4040">
              <w:rPr>
                <w:rFonts w:asciiTheme="majorBidi" w:hAnsiTheme="majorBidi" w:cstheme="majorBidi"/>
                <w:lang w:val="es-ES_tradnl"/>
              </w:rPr>
              <w:br/>
              <w:t>«no normalizada»</w:t>
            </w:r>
          </w:p>
        </w:tc>
        <w:tc>
          <w:tcPr>
            <w:tcW w:w="2835" w:type="dxa"/>
          </w:tcPr>
          <w:p w14:paraId="5C642D32"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3402" w:type="dxa"/>
          </w:tcPr>
          <w:p w14:paraId="0A26ACE3" w14:textId="666C39A2"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la Recomendación</w:t>
            </w:r>
            <w:r w:rsidR="00DE6CFE">
              <w:rPr>
                <w:rFonts w:asciiTheme="majorBidi" w:hAnsiTheme="majorBidi" w:cstheme="majorBidi"/>
                <w:lang w:val="es-ES_tradnl"/>
              </w:rPr>
              <w:t xml:space="preserve"> </w:t>
            </w:r>
            <w:r w:rsidRPr="004B4040">
              <w:rPr>
                <w:rFonts w:asciiTheme="majorBidi" w:hAnsiTheme="majorBidi" w:cstheme="majorBidi"/>
                <w:lang w:val="es-ES_tradnl"/>
              </w:rPr>
              <w:t>UIT</w:t>
            </w:r>
            <w:r w:rsidR="00DE6CFE">
              <w:rPr>
                <w:rFonts w:asciiTheme="majorBidi" w:hAnsiTheme="majorBidi" w:cstheme="majorBidi"/>
                <w:lang w:val="es-ES_tradnl"/>
              </w:rPr>
              <w:noBreakHyphen/>
            </w:r>
            <w:r w:rsidRPr="004B4040">
              <w:rPr>
                <w:rFonts w:asciiTheme="majorBidi" w:hAnsiTheme="majorBidi" w:cstheme="majorBidi"/>
                <w:lang w:val="es-ES_tradnl"/>
              </w:rPr>
              <w:t>R</w:t>
            </w:r>
            <w:r w:rsidR="00DE6CFE">
              <w:rPr>
                <w:rFonts w:asciiTheme="majorBidi" w:hAnsiTheme="majorBidi" w:cstheme="majorBidi"/>
                <w:lang w:val="es-ES_tradnl"/>
              </w:rPr>
              <w:t> </w:t>
            </w:r>
            <w:r w:rsidRPr="004B4040">
              <w:rPr>
                <w:rFonts w:asciiTheme="majorBidi" w:hAnsiTheme="majorBidi" w:cstheme="majorBidi"/>
                <w:lang w:val="es-ES_tradnl"/>
              </w:rPr>
              <w:t>BO. 1293-2</w:t>
            </w:r>
            <w:r w:rsidR="00DE6CFE" w:rsidRPr="00DE6CFE">
              <w:rPr>
                <w:rFonts w:asciiTheme="majorBidi" w:hAnsiTheme="majorBidi" w:cstheme="majorBidi"/>
                <w:vertAlign w:val="superscript"/>
                <w:lang w:val="es-ES_tradnl"/>
              </w:rPr>
              <w:t>2</w:t>
            </w:r>
          </w:p>
        </w:tc>
      </w:tr>
      <w:tr w:rsidR="00AB3AA2" w:rsidRPr="008A333F" w14:paraId="2EE02F14" w14:textId="77777777" w:rsidTr="004B4040">
        <w:trPr>
          <w:jc w:val="center"/>
        </w:trPr>
        <w:tc>
          <w:tcPr>
            <w:tcW w:w="2835" w:type="dxa"/>
            <w:tcBorders>
              <w:top w:val="single" w:sz="4" w:space="0" w:color="auto"/>
              <w:bottom w:val="single" w:sz="6" w:space="0" w:color="auto"/>
            </w:tcBorders>
          </w:tcPr>
          <w:p w14:paraId="428183AC" w14:textId="77777777" w:rsidR="00AB3AA2" w:rsidRPr="004B4040" w:rsidRDefault="00AB3AA2" w:rsidP="00F90CAB">
            <w:pPr>
              <w:pStyle w:val="TableText"/>
              <w:framePr w:hSpace="181" w:wrap="notBeside" w:vAnchor="text" w:hAnchor="text" w:xAlign="center" w:y="1"/>
              <w:tabs>
                <w:tab w:val="left" w:pos="977"/>
              </w:tabs>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2835" w:type="dxa"/>
            <w:tcBorders>
              <w:bottom w:val="single" w:sz="6" w:space="0" w:color="auto"/>
            </w:tcBorders>
          </w:tcPr>
          <w:p w14:paraId="7DA53D77"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3402" w:type="dxa"/>
            <w:tcBorders>
              <w:bottom w:val="single" w:sz="6" w:space="0" w:color="auto"/>
            </w:tcBorders>
          </w:tcPr>
          <w:p w14:paraId="4733F238" w14:textId="30E39EA5"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la Recomendación</w:t>
            </w:r>
            <w:r w:rsidR="00DE6CFE">
              <w:rPr>
                <w:rFonts w:asciiTheme="majorBidi" w:hAnsiTheme="majorBidi" w:cstheme="majorBidi"/>
                <w:lang w:val="es-ES_tradnl"/>
              </w:rPr>
              <w:t xml:space="preserve"> </w:t>
            </w:r>
            <w:r w:rsidRPr="004B4040">
              <w:rPr>
                <w:rFonts w:asciiTheme="majorBidi" w:hAnsiTheme="majorBidi" w:cstheme="majorBidi"/>
                <w:lang w:val="es-ES_tradnl"/>
              </w:rPr>
              <w:t>UIT</w:t>
            </w:r>
            <w:r w:rsidR="00DE6CFE">
              <w:rPr>
                <w:rFonts w:asciiTheme="majorBidi" w:hAnsiTheme="majorBidi" w:cstheme="majorBidi"/>
                <w:lang w:val="es-ES_tradnl"/>
              </w:rPr>
              <w:noBreakHyphen/>
            </w:r>
            <w:r w:rsidRPr="004B4040">
              <w:rPr>
                <w:rFonts w:asciiTheme="majorBidi" w:hAnsiTheme="majorBidi" w:cstheme="majorBidi"/>
                <w:lang w:val="es-ES_tradnl"/>
              </w:rPr>
              <w:t>R</w:t>
            </w:r>
            <w:r w:rsidR="00DE6CFE">
              <w:rPr>
                <w:rFonts w:asciiTheme="majorBidi" w:hAnsiTheme="majorBidi" w:cstheme="majorBidi"/>
                <w:lang w:val="es-ES_tradnl"/>
              </w:rPr>
              <w:t> </w:t>
            </w:r>
            <w:r w:rsidRPr="004B4040">
              <w:rPr>
                <w:rFonts w:asciiTheme="majorBidi" w:hAnsiTheme="majorBidi" w:cstheme="majorBidi"/>
                <w:lang w:val="es-ES_tradnl"/>
              </w:rPr>
              <w:t>BO.1293-2</w:t>
            </w:r>
            <w:r w:rsidR="00DE6CFE" w:rsidRPr="00DE6CFE">
              <w:rPr>
                <w:rFonts w:asciiTheme="majorBidi" w:hAnsiTheme="majorBidi" w:cstheme="majorBidi"/>
                <w:vertAlign w:val="superscript"/>
                <w:lang w:val="es-ES_tradnl"/>
              </w:rPr>
              <w:t>2</w:t>
            </w:r>
          </w:p>
        </w:tc>
      </w:tr>
      <w:tr w:rsidR="00AB3AA2" w:rsidRPr="001A64D0" w14:paraId="621C8F2C" w14:textId="77777777" w:rsidTr="00D568CF">
        <w:trPr>
          <w:jc w:val="center"/>
        </w:trPr>
        <w:tc>
          <w:tcPr>
            <w:tcW w:w="9072" w:type="dxa"/>
            <w:gridSpan w:val="3"/>
            <w:tcBorders>
              <w:left w:val="nil"/>
              <w:bottom w:val="nil"/>
              <w:right w:val="nil"/>
            </w:tcBorders>
          </w:tcPr>
          <w:p w14:paraId="697AD8D9" w14:textId="77777777" w:rsidR="00AB3AA2" w:rsidRPr="005F553C" w:rsidRDefault="00AB3AA2" w:rsidP="006845C9">
            <w:pPr>
              <w:pStyle w:val="TableLegend"/>
              <w:keepNext w:val="0"/>
              <w:framePr w:hSpace="181" w:wrap="notBeside" w:vAnchor="text" w:hAnchor="text" w:xAlign="center" w:y="1"/>
              <w:spacing w:before="40"/>
              <w:ind w:left="57" w:right="57"/>
              <w:rPr>
                <w:lang w:val="es-ES_tradnl"/>
              </w:rPr>
            </w:pPr>
            <w:r w:rsidRPr="001F7F10">
              <w:rPr>
                <w:vertAlign w:val="superscript"/>
                <w:lang w:val="es-ES"/>
              </w:rPr>
              <w:t>1</w:t>
            </w:r>
            <w:r w:rsidRPr="005F553C">
              <w:rPr>
                <w:rFonts w:ascii="Calibri" w:hAnsi="Calibri"/>
                <w:lang w:val="es-ES_tradnl"/>
              </w:rPr>
              <w:tab/>
            </w:r>
            <w:r w:rsidRPr="005F553C">
              <w:rPr>
                <w:lang w:val="es-ES_tradnl"/>
              </w:rPr>
              <w:t>Las asignaciones analógicas normalizadas mencionadas en el Cuadro 1 anterior son las del Plan de la Región 2 con un ancho de banda de 24 MHz, separación de canales de 14,58 MHz y las frecuencias asignadas que se indican en el Artículo </w:t>
            </w:r>
            <w:r w:rsidRPr="005F553C">
              <w:rPr>
                <w:b/>
                <w:bCs/>
                <w:lang w:val="es-ES_tradnl"/>
              </w:rPr>
              <w:t>9</w:t>
            </w:r>
            <w:r w:rsidRPr="005F553C">
              <w:rPr>
                <w:lang w:val="es-ES_tradnl"/>
              </w:rPr>
              <w:t xml:space="preserve"> del Apéndice </w:t>
            </w:r>
            <w:r w:rsidRPr="005F553C">
              <w:rPr>
                <w:b/>
                <w:bCs/>
                <w:lang w:val="es-ES_tradnl"/>
              </w:rPr>
              <w:t>30A</w:t>
            </w:r>
            <w:r w:rsidRPr="005F553C">
              <w:rPr>
                <w:lang w:val="es-ES_tradnl"/>
              </w:rPr>
              <w:t>.</w:t>
            </w:r>
          </w:p>
          <w:p w14:paraId="28DDDAB8" w14:textId="77777777" w:rsidR="00AB3AA2" w:rsidRPr="005F553C" w:rsidRDefault="00AB3AA2" w:rsidP="006845C9">
            <w:pPr>
              <w:pStyle w:val="TableLegend"/>
              <w:keepNext w:val="0"/>
              <w:spacing w:before="40"/>
              <w:ind w:left="57" w:right="57"/>
              <w:rPr>
                <w:rFonts w:asciiTheme="minorHAnsi" w:hAnsiTheme="minorHAnsi"/>
                <w:sz w:val="24"/>
                <w:szCs w:val="24"/>
                <w:lang w:val="es-ES_tradnl"/>
              </w:rPr>
            </w:pPr>
            <w:r w:rsidRPr="001F7F10">
              <w:rPr>
                <w:vertAlign w:val="superscript"/>
                <w:lang w:val="es-ES"/>
              </w:rPr>
              <w:t>2</w:t>
            </w:r>
            <w:r w:rsidRPr="005F553C">
              <w:rPr>
                <w:rFonts w:ascii="Calibri" w:hAnsi="Calibri"/>
                <w:lang w:val="es-ES_tradnl"/>
              </w:rPr>
              <w:tab/>
            </w:r>
            <w:r w:rsidRPr="005F553C">
              <w:rPr>
                <w:lang w:val="es-ES_tradnl"/>
              </w:rPr>
              <w:t>Se aplica la Recomendación UIT</w:t>
            </w:r>
            <w:r w:rsidRPr="005F553C">
              <w:rPr>
                <w:lang w:val="es-ES_tradnl"/>
              </w:rPr>
              <w:noBreakHyphen/>
              <w:t>R BO.1293</w:t>
            </w:r>
            <w:r w:rsidRPr="005F553C">
              <w:rPr>
                <w:lang w:val="es-ES_tradnl"/>
              </w:rPr>
              <w:noBreakHyphen/>
              <w:t>2 (Anexos 1 y 2), a la que se hace referencia en el § 3.4 del Anexo 5 al Apéndice </w:t>
            </w:r>
            <w:r w:rsidRPr="005F553C">
              <w:rPr>
                <w:b/>
                <w:bCs/>
                <w:lang w:val="es-ES_tradnl"/>
              </w:rPr>
              <w:t>30</w:t>
            </w:r>
            <w:r w:rsidRPr="005F553C">
              <w:rPr>
                <w:lang w:val="es-ES_tradnl"/>
              </w:rPr>
              <w:t xml:space="preserve"> y en el § 3.3 del Anexo 3 al Apéndice </w:t>
            </w:r>
            <w:r w:rsidRPr="005F553C">
              <w:rPr>
                <w:b/>
                <w:bCs/>
                <w:lang w:val="es-ES_tradnl"/>
              </w:rPr>
              <w:t>30A</w:t>
            </w:r>
            <w:r w:rsidRPr="005F553C">
              <w:rPr>
                <w:lang w:val="es-ES_tradnl"/>
              </w:rPr>
              <w:t>.</w:t>
            </w:r>
          </w:p>
        </w:tc>
      </w:tr>
    </w:tbl>
    <w:p w14:paraId="7CAD6C03" w14:textId="77777777" w:rsidR="00CD474A" w:rsidRPr="00271246" w:rsidRDefault="00CD474A" w:rsidP="00A258B5">
      <w:pPr>
        <w:pStyle w:val="TableFin"/>
        <w:rPr>
          <w:lang w:val="es-ES_tradnl"/>
        </w:rPr>
      </w:pPr>
    </w:p>
    <w:p w14:paraId="2415B7E9" w14:textId="77777777" w:rsidR="00F90CAB" w:rsidRDefault="00F90CAB" w:rsidP="00F90CAB">
      <w:pPr>
        <w:rPr>
          <w:lang w:val="es-ES_tradnl"/>
        </w:rPr>
      </w:pPr>
      <w:r>
        <w:rPr>
          <w:lang w:val="es-ES_tradnl"/>
        </w:rPr>
        <w:br w:type="page"/>
      </w:r>
    </w:p>
    <w:p w14:paraId="703D3331" w14:textId="77777777" w:rsidR="00CD474A" w:rsidRPr="00271246" w:rsidRDefault="00CD474A" w:rsidP="004B4040">
      <w:pPr>
        <w:pStyle w:val="Heading9"/>
        <w:spacing w:before="120"/>
        <w:rPr>
          <w:lang w:val="es-ES_tradnl"/>
        </w:rPr>
      </w:pPr>
      <w:r w:rsidRPr="00271246">
        <w:rPr>
          <w:lang w:val="es-ES_tradnl"/>
        </w:rPr>
        <w:lastRenderedPageBreak/>
        <w:t>3</w:t>
      </w:r>
    </w:p>
    <w:p w14:paraId="76E1DEED" w14:textId="77777777" w:rsidR="00CD474A" w:rsidRPr="00271246" w:rsidRDefault="00CD474A" w:rsidP="004B4040">
      <w:pPr>
        <w:pStyle w:val="Headingb"/>
        <w:spacing w:before="240"/>
        <w:rPr>
          <w:lang w:val="es-ES_tradnl"/>
        </w:rPr>
      </w:pPr>
      <w:r w:rsidRPr="00271246">
        <w:rPr>
          <w:lang w:val="es-ES_tradnl"/>
        </w:rPr>
        <w:t>Control de potencia</w:t>
      </w:r>
    </w:p>
    <w:p w14:paraId="52321B50" w14:textId="04D2085D" w:rsidR="000E0597" w:rsidRPr="000E0597" w:rsidRDefault="000E0597" w:rsidP="00622DE3">
      <w:pPr>
        <w:rPr>
          <w:lang w:val="es-ES_tradnl"/>
        </w:rPr>
      </w:pPr>
      <w:r w:rsidRPr="000E0597">
        <w:rPr>
          <w:lang w:val="es-ES_tradnl"/>
        </w:rPr>
        <w:t>En el §</w:t>
      </w:r>
      <w:r w:rsidR="00721395">
        <w:rPr>
          <w:lang w:val="es-ES_tradnl"/>
        </w:rPr>
        <w:t> </w:t>
      </w:r>
      <w:r w:rsidRPr="000E0597">
        <w:rPr>
          <w:lang w:val="es-ES_tradnl"/>
        </w:rPr>
        <w:t xml:space="preserve">3.11 del Anexo 3 al Apéndice </w:t>
      </w:r>
      <w:r w:rsidRPr="000E0597">
        <w:rPr>
          <w:b/>
          <w:bCs/>
          <w:lang w:val="es-ES_tradnl"/>
        </w:rPr>
        <w:t>30A</w:t>
      </w:r>
      <w:r w:rsidRPr="000E0597">
        <w:rPr>
          <w:lang w:val="es-ES_tradnl"/>
        </w:rPr>
        <w:t xml:space="preserve"> se describen el método, el modelo de propagación y los procedimientos para la determinación del valor de control de potencia de una asignación en el Plan de las Regiones 1 y 3. La CMR-15 aclaró que la utilización del control de potencia debe ampliarse a las asignaciones de la Lista de las Regiones 1 y 3. Por consiguiente, la Junta decidió que, siempre que una asignación esté incluida en la Lista de enlaces de conexión para las Regiones 1 y 3 con una solicitud para utilizar el control de potencia (es decir, cuando el valor del control de potencia se incluyó en la notificación de la Parte</w:t>
      </w:r>
      <w:r w:rsidR="00721395">
        <w:rPr>
          <w:lang w:val="es-ES_tradnl"/>
        </w:rPr>
        <w:t> </w:t>
      </w:r>
      <w:r w:rsidRPr="000E0597">
        <w:rPr>
          <w:lang w:val="es-ES_tradnl"/>
        </w:rPr>
        <w:t xml:space="preserve">B presentado de conformidad con el § 4.1.12 del Artículo 4 del Apéndice </w:t>
      </w:r>
      <w:r w:rsidRPr="000E0597">
        <w:rPr>
          <w:b/>
          <w:bCs/>
          <w:lang w:val="es-ES_tradnl"/>
        </w:rPr>
        <w:t>30A</w:t>
      </w:r>
      <w:r w:rsidRPr="000E0597">
        <w:rPr>
          <w:lang w:val="es-ES_tradnl"/>
        </w:rPr>
        <w:t>), la Oficina aplicará a dicha solicitud el procedimiento que se describe a continuación.</w:t>
      </w:r>
    </w:p>
    <w:p w14:paraId="674EB795" w14:textId="72B719F0" w:rsidR="000E0597" w:rsidRPr="000E0597" w:rsidRDefault="000E0597" w:rsidP="00622DE3">
      <w:pPr>
        <w:rPr>
          <w:lang w:val="es-ES_tradnl"/>
        </w:rPr>
      </w:pPr>
      <w:r w:rsidRPr="000E0597">
        <w:rPr>
          <w:lang w:val="es-ES_tradnl"/>
        </w:rPr>
        <w:t>1</w:t>
      </w:r>
      <w:r w:rsidRPr="000E0597">
        <w:rPr>
          <w:lang w:val="es-ES_tradnl"/>
        </w:rPr>
        <w:tab/>
        <w:t>La Oficina aplicará el método y los procedimientos contenidos en el §</w:t>
      </w:r>
      <w:r w:rsidR="00721395">
        <w:rPr>
          <w:lang w:val="es-ES_tradnl"/>
        </w:rPr>
        <w:t> </w:t>
      </w:r>
      <w:r w:rsidRPr="000E0597">
        <w:rPr>
          <w:lang w:val="es-ES_tradnl"/>
        </w:rPr>
        <w:t>3.11 del Anexo</w:t>
      </w:r>
      <w:r w:rsidR="00192AA1">
        <w:rPr>
          <w:lang w:val="es-ES_tradnl"/>
        </w:rPr>
        <w:t> </w:t>
      </w:r>
      <w:r w:rsidRPr="000E0597">
        <w:rPr>
          <w:lang w:val="es-ES_tradnl"/>
        </w:rPr>
        <w:t xml:space="preserve">3 al Apéndice </w:t>
      </w:r>
      <w:r w:rsidRPr="000E0597">
        <w:rPr>
          <w:b/>
          <w:bCs/>
          <w:lang w:val="es-ES_tradnl"/>
        </w:rPr>
        <w:t>30A</w:t>
      </w:r>
      <w:r w:rsidRPr="000E0597">
        <w:rPr>
          <w:lang w:val="es-ES_tradnl"/>
        </w:rPr>
        <w:t xml:space="preserve"> para calcular el valor del control de potencia para la asignación del caso en el momento en que se inscriba dicha asignación en la Lista. Al mismo tiempo, la Oficina identificará a toda administración cuyo margen de protección equivalente del enlace de conexión se vea reducido debido a la utilización del control de potencia por la asignación considerada.</w:t>
      </w:r>
    </w:p>
    <w:p w14:paraId="51E5C211" w14:textId="77777777" w:rsidR="000E0597" w:rsidRPr="000E0597" w:rsidRDefault="000E0597" w:rsidP="00622DE3">
      <w:pPr>
        <w:rPr>
          <w:lang w:val="es-ES_tradnl"/>
        </w:rPr>
      </w:pPr>
      <w:r w:rsidRPr="000E0597">
        <w:rPr>
          <w:lang w:val="es-ES_tradnl"/>
        </w:rPr>
        <w:t>2</w:t>
      </w:r>
      <w:r w:rsidRPr="000E0597">
        <w:rPr>
          <w:lang w:val="es-ES_tradnl"/>
        </w:rPr>
        <w:tab/>
        <w:t>La Oficina consultará a la Administración notificante de dicha asignación para saber qué valor del control de potencia debe utilizar si el valor comunicado es inferior al calculado.</w:t>
      </w:r>
    </w:p>
    <w:p w14:paraId="7652F870" w14:textId="38907E35" w:rsidR="000E0597" w:rsidRPr="000E0597" w:rsidRDefault="000E0597" w:rsidP="00622DE3">
      <w:pPr>
        <w:rPr>
          <w:lang w:val="es-ES_tradnl"/>
        </w:rPr>
      </w:pPr>
      <w:r w:rsidRPr="000E0597">
        <w:rPr>
          <w:lang w:val="es-ES_tradnl"/>
        </w:rPr>
        <w:t>3</w:t>
      </w:r>
      <w:r w:rsidRPr="000E0597">
        <w:rPr>
          <w:lang w:val="es-ES_tradnl"/>
        </w:rPr>
        <w:tab/>
        <w:t>La Oficina registrará el valor definitivo del control de potencia para la asignación en cuestión en la Sección Especial de la Parte B publicada con arreglo al §</w:t>
      </w:r>
      <w:r w:rsidR="00721395">
        <w:rPr>
          <w:lang w:val="es-ES_tradnl"/>
        </w:rPr>
        <w:t> </w:t>
      </w:r>
      <w:r w:rsidRPr="000E0597">
        <w:rPr>
          <w:lang w:val="es-ES_tradnl"/>
        </w:rPr>
        <w:t>4.1.15 del Artículo</w:t>
      </w:r>
      <w:r w:rsidR="00721395">
        <w:rPr>
          <w:lang w:val="es-ES_tradnl"/>
        </w:rPr>
        <w:t> </w:t>
      </w:r>
      <w:r w:rsidRPr="000E0597">
        <w:rPr>
          <w:lang w:val="es-ES_tradnl"/>
        </w:rPr>
        <w:t xml:space="preserve">4 del Apéndice </w:t>
      </w:r>
      <w:r w:rsidRPr="000E0597">
        <w:rPr>
          <w:b/>
          <w:bCs/>
          <w:lang w:val="es-ES_tradnl"/>
        </w:rPr>
        <w:t>30A</w:t>
      </w:r>
      <w:r w:rsidRPr="000E0597">
        <w:rPr>
          <w:lang w:val="es-ES_tradnl"/>
        </w:rPr>
        <w:t>.</w:t>
      </w:r>
    </w:p>
    <w:p w14:paraId="6811E0F6" w14:textId="77777777" w:rsidR="00CD474A" w:rsidRPr="00760F40" w:rsidRDefault="000E0597" w:rsidP="007B4293">
      <w:pPr>
        <w:rPr>
          <w:lang w:val="es-ES_tradnl"/>
        </w:rPr>
      </w:pPr>
      <w:r w:rsidRPr="000E0597">
        <w:rPr>
          <w:lang w:val="es-ES_tradnl"/>
        </w:rPr>
        <w:t>4</w:t>
      </w:r>
      <w:r w:rsidRPr="000E0597">
        <w:rPr>
          <w:lang w:val="es-ES_tradnl"/>
        </w:rPr>
        <w:tab/>
        <w:t>Cuando se publique la mencionada Sección Especial de la Parte B, la Oficina informará a las demás administraciones identificadas acerca de la reducción del margen de protección equivalente del enlace de conexión.</w:t>
      </w:r>
      <w:r w:rsidR="005C05AD" w:rsidRPr="005C05AD">
        <w:rPr>
          <w:bCs/>
          <w:sz w:val="16"/>
          <w:szCs w:val="16"/>
          <w:lang w:val="es-ES_tradnl"/>
        </w:rPr>
        <w:t xml:space="preserve">      </w:t>
      </w:r>
    </w:p>
    <w:p w14:paraId="10F03C60" w14:textId="47C781A2" w:rsidR="004B4040" w:rsidRPr="004B4040" w:rsidRDefault="004B4040" w:rsidP="004B4040">
      <w:pPr>
        <w:spacing w:before="120"/>
        <w:rPr>
          <w:rFonts w:asciiTheme="majorBidi" w:hAnsiTheme="majorBidi" w:cstheme="majorBidi"/>
          <w:bCs/>
          <w:color w:val="000000"/>
          <w:szCs w:val="24"/>
          <w:lang w:val="es-ES_tradnl"/>
        </w:rPr>
      </w:pPr>
      <w:r w:rsidRPr="004B4040">
        <w:rPr>
          <w:rFonts w:asciiTheme="majorBidi" w:hAnsiTheme="majorBidi" w:cstheme="majorBidi"/>
          <w:b/>
          <w:color w:val="000000"/>
          <w:szCs w:val="24"/>
          <w:lang w:val="es-ES_tradnl"/>
        </w:rPr>
        <w:t>Nota</w:t>
      </w:r>
      <w:r w:rsidR="006845C9">
        <w:rPr>
          <w:lang w:val="es-ES_tradnl"/>
        </w:rPr>
        <w:t> </w:t>
      </w:r>
      <w:r w:rsidRPr="004B4040">
        <w:rPr>
          <w:lang w:val="es-ES_tradnl"/>
        </w:rPr>
        <w:t>–</w:t>
      </w:r>
      <w:r w:rsidR="006845C9">
        <w:rPr>
          <w:lang w:val="es-ES_tradnl"/>
        </w:rPr>
        <w:t> </w:t>
      </w:r>
      <w:r w:rsidRPr="004B4040">
        <w:rPr>
          <w:rFonts w:asciiTheme="majorBidi" w:hAnsiTheme="majorBidi" w:cstheme="majorBidi"/>
          <w:bCs/>
          <w:color w:val="000000"/>
          <w:szCs w:val="24"/>
          <w:lang w:val="es-ES_tradnl"/>
        </w:rPr>
        <w:t xml:space="preserve">La CMR-15 tomó una decisión relacionada con la Regla de Procedimiento relativa al Anexo 3 al Apéndice </w:t>
      </w:r>
      <w:r w:rsidRPr="004B4040">
        <w:rPr>
          <w:rFonts w:asciiTheme="majorBidi" w:hAnsiTheme="majorBidi" w:cstheme="majorBidi"/>
          <w:b/>
          <w:color w:val="000000"/>
          <w:szCs w:val="24"/>
          <w:lang w:val="es-ES_tradnl"/>
        </w:rPr>
        <w:t xml:space="preserve">30A </w:t>
      </w:r>
      <w:r w:rsidRPr="004B4040">
        <w:rPr>
          <w:lang w:val="es-ES_tradnl"/>
        </w:rPr>
        <w:t>durante</w:t>
      </w:r>
      <w:r w:rsidRPr="004B4040">
        <w:rPr>
          <w:rFonts w:asciiTheme="majorBidi" w:hAnsiTheme="majorBidi" w:cstheme="majorBidi"/>
          <w:bCs/>
          <w:color w:val="000000"/>
          <w:szCs w:val="24"/>
          <w:lang w:val="es-ES_tradnl"/>
        </w:rPr>
        <w:t xml:space="preserve"> la 8ª Sesión Plenaria </w:t>
      </w:r>
      <w:r w:rsidRPr="004B4040">
        <w:rPr>
          <w:rFonts w:asciiTheme="majorBidi" w:hAnsiTheme="majorBidi" w:cstheme="majorBidi"/>
          <w:szCs w:val="24"/>
          <w:lang w:val="es-ES_tradnl"/>
        </w:rPr>
        <w:t>(véanse los párrafos</w:t>
      </w:r>
      <w:r w:rsidRPr="004B4040">
        <w:rPr>
          <w:rFonts w:asciiTheme="majorBidi" w:hAnsiTheme="majorBidi" w:cstheme="majorBidi"/>
          <w:bCs/>
          <w:color w:val="000000"/>
          <w:szCs w:val="24"/>
          <w:lang w:val="es-ES_tradnl"/>
        </w:rPr>
        <w:t xml:space="preserve"> 1.39 a 1.42 del Documento</w:t>
      </w:r>
      <w:r w:rsidR="00192AA1">
        <w:rPr>
          <w:rFonts w:asciiTheme="majorBidi" w:hAnsiTheme="majorBidi" w:cstheme="majorBidi"/>
          <w:bCs/>
          <w:color w:val="000000"/>
          <w:szCs w:val="24"/>
          <w:lang w:val="es-ES_tradnl"/>
        </w:rPr>
        <w:t> </w:t>
      </w:r>
      <w:r w:rsidRPr="004B4040">
        <w:rPr>
          <w:rFonts w:asciiTheme="majorBidi" w:hAnsiTheme="majorBidi" w:cstheme="majorBidi"/>
          <w:bCs/>
          <w:color w:val="000000"/>
          <w:szCs w:val="24"/>
          <w:lang w:val="es-ES_tradnl"/>
        </w:rPr>
        <w:t>505 de la CMR-15) con la aprobación del Documento</w:t>
      </w:r>
      <w:r w:rsidR="00192AA1">
        <w:rPr>
          <w:rFonts w:asciiTheme="majorBidi" w:hAnsiTheme="majorBidi" w:cstheme="majorBidi"/>
          <w:bCs/>
          <w:color w:val="000000"/>
          <w:szCs w:val="24"/>
          <w:lang w:val="es-ES_tradnl"/>
        </w:rPr>
        <w:t> </w:t>
      </w:r>
      <w:r w:rsidRPr="004B4040">
        <w:rPr>
          <w:rFonts w:asciiTheme="majorBidi" w:hAnsiTheme="majorBidi" w:cstheme="majorBidi"/>
          <w:bCs/>
          <w:color w:val="000000"/>
          <w:szCs w:val="24"/>
          <w:lang w:val="es-ES_tradnl"/>
        </w:rPr>
        <w:t>416 de la CMR-15 en relación con el apartado 3.2.6.2 del Documento 4 (Add.2)(Rev.1), y estipuló lo siguiente:</w:t>
      </w:r>
    </w:p>
    <w:p w14:paraId="5D30D216" w14:textId="7F2E1D47" w:rsidR="00721395" w:rsidRDefault="004B4040" w:rsidP="00192AA1">
      <w:pPr>
        <w:spacing w:before="120"/>
        <w:rPr>
          <w:i/>
          <w:iCs/>
          <w:lang w:val="es-ES_tradnl" w:eastAsia="zh-CN"/>
        </w:rPr>
      </w:pPr>
      <w:r w:rsidRPr="004B4040">
        <w:rPr>
          <w:rFonts w:asciiTheme="minorHAnsi" w:hAnsiTheme="minorHAnsi"/>
          <w:i/>
          <w:iCs/>
          <w:szCs w:val="24"/>
          <w:lang w:val="es-ES_tradnl"/>
        </w:rPr>
        <w:t>«</w:t>
      </w:r>
      <w:r w:rsidRPr="004B4040">
        <w:rPr>
          <w:i/>
          <w:iCs/>
          <w:lang w:val="es-ES_tradnl" w:eastAsia="zh-CN"/>
        </w:rPr>
        <w:t>La CMR-15 expl</w:t>
      </w:r>
      <w:r w:rsidRPr="004B4040">
        <w:rPr>
          <w:i/>
          <w:iCs/>
          <w:lang w:val="es-ES_tradnl"/>
        </w:rPr>
        <w:t>icó que la utilización del control de potencia debe hacerse extensiva a las asignaciones de la</w:t>
      </w:r>
      <w:r w:rsidRPr="004B4040">
        <w:rPr>
          <w:i/>
          <w:iCs/>
          <w:lang w:val="es-ES_tradnl" w:eastAsia="zh-CN"/>
        </w:rPr>
        <w:t xml:space="preserve"> Lista de las Regiones 1 y 3 y que por lo tanto debe modificarse la Regla de Procedimiento correspondiente</w:t>
      </w:r>
      <w:r w:rsidRPr="004B4040">
        <w:rPr>
          <w:rFonts w:asciiTheme="minorHAnsi" w:hAnsiTheme="minorHAnsi"/>
          <w:i/>
          <w:iCs/>
          <w:szCs w:val="24"/>
          <w:lang w:val="es-ES_tradnl"/>
        </w:rPr>
        <w:t>.</w:t>
      </w:r>
      <w:r w:rsidRPr="004B4040">
        <w:rPr>
          <w:i/>
          <w:iCs/>
          <w:lang w:val="es-ES_tradnl" w:eastAsia="zh-CN"/>
        </w:rPr>
        <w:t>»</w:t>
      </w:r>
    </w:p>
    <w:p w14:paraId="272630E5" w14:textId="77777777" w:rsidR="00721395" w:rsidRDefault="00721395" w:rsidP="00466EEC">
      <w:pPr>
        <w:spacing w:before="0"/>
        <w:rPr>
          <w:i/>
          <w:iCs/>
          <w:lang w:val="es-ES_tradnl" w:eastAsia="zh-CN"/>
        </w:rPr>
      </w:pPr>
    </w:p>
    <w:p w14:paraId="2A190D84" w14:textId="77777777" w:rsidR="0067205D" w:rsidRDefault="00CD474A" w:rsidP="00857F08">
      <w:pPr>
        <w:spacing w:before="0"/>
        <w:jc w:val="center"/>
        <w:rPr>
          <w:lang w:val="es-ES_tradnl"/>
        </w:rPr>
      </w:pPr>
      <w:r w:rsidRPr="00271246">
        <w:rPr>
          <w:lang w:val="es-ES_tradnl"/>
        </w:rPr>
        <w:t>____________________</w:t>
      </w:r>
    </w:p>
    <w:p w14:paraId="71D47D1F" w14:textId="77777777" w:rsidR="00F90CAB" w:rsidRDefault="00F90CAB" w:rsidP="00857F08">
      <w:pPr>
        <w:rPr>
          <w:lang w:val="es-ES_tradnl"/>
        </w:rPr>
      </w:pPr>
    </w:p>
    <w:p w14:paraId="7FD0F150" w14:textId="77777777" w:rsidR="00F90CAB" w:rsidRDefault="00F90CAB" w:rsidP="00857F08">
      <w:pPr>
        <w:rPr>
          <w:lang w:val="es-ES_tradnl"/>
        </w:rPr>
      </w:pPr>
    </w:p>
    <w:p w14:paraId="15769BA9" w14:textId="77777777" w:rsidR="00857F08" w:rsidRPr="00271246" w:rsidRDefault="00857F08" w:rsidP="004B4040">
      <w:pPr>
        <w:spacing w:before="0"/>
        <w:rPr>
          <w:lang w:val="es-ES_tradnl"/>
        </w:rPr>
      </w:pPr>
    </w:p>
    <w:p w14:paraId="023E50B4" w14:textId="77777777" w:rsidR="00CD474A" w:rsidRPr="00271246" w:rsidRDefault="00CD474A">
      <w:pPr>
        <w:rPr>
          <w:lang w:val="es-ES_tradnl"/>
        </w:rPr>
        <w:sectPr w:rsidR="00CD474A" w:rsidRPr="00271246" w:rsidSect="00732E78">
          <w:headerReference w:type="even" r:id="rId21"/>
          <w:headerReference w:type="default" r:id="rId22"/>
          <w:footnotePr>
            <w:pos w:val="beneathText"/>
            <w:numFmt w:val="chicago"/>
          </w:footnotePr>
          <w:pgSz w:w="11907" w:h="16840" w:code="9"/>
          <w:pgMar w:top="1701" w:right="851" w:bottom="1134" w:left="1985" w:header="720" w:footer="482" w:gutter="0"/>
          <w:cols w:space="720"/>
          <w:vAlign w:val="both"/>
        </w:sectPr>
      </w:pPr>
    </w:p>
    <w:p w14:paraId="2BAAC69C" w14:textId="77777777" w:rsidR="00CD474A" w:rsidRPr="00271246" w:rsidRDefault="00CD474A">
      <w:pPr>
        <w:rPr>
          <w:lang w:val="es-ES_tradnl"/>
        </w:rPr>
      </w:pPr>
    </w:p>
    <w:sectPr w:rsidR="00CD474A" w:rsidRPr="00271246" w:rsidSect="00C12744">
      <w:headerReference w:type="first" r:id="rId2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8DE7D" w14:textId="77777777" w:rsidR="002B76B7" w:rsidRDefault="002B76B7">
      <w:r>
        <w:separator/>
      </w:r>
    </w:p>
  </w:endnote>
  <w:endnote w:type="continuationSeparator" w:id="0">
    <w:p w14:paraId="101E8A1B" w14:textId="77777777" w:rsidR="002B76B7" w:rsidRDefault="002B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21182" w14:textId="77777777" w:rsidR="002B76B7" w:rsidRDefault="002B76B7">
      <w:r>
        <w:rPr>
          <w:b/>
        </w:rPr>
        <w:t>_______________</w:t>
      </w:r>
    </w:p>
  </w:footnote>
  <w:footnote w:type="continuationSeparator" w:id="0">
    <w:p w14:paraId="573D8E97" w14:textId="77777777" w:rsidR="002B76B7" w:rsidRDefault="002B76B7">
      <w:r>
        <w:continuationSeparator/>
      </w:r>
    </w:p>
  </w:footnote>
  <w:footnote w:id="1">
    <w:p w14:paraId="0A7C0B52" w14:textId="0CFD9505" w:rsidR="009A2458" w:rsidRPr="00917FFC" w:rsidRDefault="009A2458" w:rsidP="009A2458">
      <w:pPr>
        <w:pStyle w:val="FootnoteText"/>
      </w:pPr>
      <w:r w:rsidRPr="00917FFC">
        <w:rPr>
          <w:rStyle w:val="FootnoteReference"/>
        </w:rPr>
        <w:t>*</w:t>
      </w:r>
      <w:r w:rsidRPr="00917FFC">
        <w:t xml:space="preserve"> </w:t>
      </w:r>
      <w:r w:rsidRPr="00917FFC">
        <w:rPr>
          <w:b/>
          <w:bCs/>
        </w:rPr>
        <w:t>Not</w:t>
      </w:r>
      <w:r w:rsidR="00917FFC" w:rsidRPr="00917FFC">
        <w:rPr>
          <w:b/>
          <w:bCs/>
        </w:rPr>
        <w:t>a</w:t>
      </w:r>
      <w:r w:rsidRPr="00917FFC">
        <w:t xml:space="preserve">: </w:t>
      </w:r>
      <w:r w:rsidR="00917FFC" w:rsidRPr="00917FFC">
        <w:t xml:space="preserve">La CMR-23 adoptó la siguiente decisión relativa a la aplicación de las modificaciones del Apéndice 30A y el Apéndice 30B en relación con el Tema 7F, véase el punto 15.1 de las Actas de la 13.ª Sesión Plenaria, Doc. </w:t>
      </w:r>
      <w:hyperlink r:id="rId1" w:history="1">
        <w:r w:rsidRPr="00917FFC">
          <w:rPr>
            <w:rStyle w:val="Hyperlink"/>
          </w:rPr>
          <w:t>CMR23/528</w:t>
        </w:r>
      </w:hyperlink>
      <w:r w:rsidRPr="00917FFC">
        <w:t>:</w:t>
      </w:r>
    </w:p>
    <w:p w14:paraId="53CAEF00" w14:textId="5DF265B4" w:rsidR="009A2458" w:rsidRPr="00917FFC" w:rsidRDefault="00917FFC" w:rsidP="009A2458">
      <w:pPr>
        <w:pStyle w:val="FootnoteText"/>
        <w:rPr>
          <w:i/>
          <w:iCs/>
          <w:lang w:val="en-US"/>
        </w:rPr>
      </w:pPr>
      <w:r w:rsidRPr="00917FFC">
        <w:rPr>
          <w:i/>
          <w:iCs/>
          <w:lang w:val="en-US"/>
        </w:rPr>
        <w:t>«La CMR-23 encarga a la Oficina, cuando reciba una solicitud de asistencia de las administraciones notificantes de los sistemas nacionales o regionales en relación con la coordinación de frecuencias con las administraciones afectadas:</w:t>
      </w:r>
    </w:p>
    <w:p w14:paraId="2B3FC544" w14:textId="04F1905E" w:rsidR="009A2458" w:rsidRPr="00917FFC" w:rsidRDefault="009A2458" w:rsidP="009A2458">
      <w:pPr>
        <w:pStyle w:val="FootnoteText"/>
        <w:ind w:left="284" w:hanging="284"/>
        <w:rPr>
          <w:i/>
          <w:iCs/>
          <w:lang w:val="en-US"/>
        </w:rPr>
      </w:pPr>
      <w:r w:rsidRPr="00917FFC">
        <w:rPr>
          <w:i/>
          <w:iCs/>
          <w:lang w:val="en-US"/>
        </w:rPr>
        <w:t>–</w:t>
      </w:r>
      <w:r w:rsidRPr="00917FFC">
        <w:rPr>
          <w:i/>
          <w:iCs/>
          <w:lang w:val="en-US"/>
        </w:rPr>
        <w:tab/>
      </w:r>
      <w:r w:rsidR="00917FFC" w:rsidRPr="00917FFC">
        <w:rPr>
          <w:i/>
          <w:iCs/>
          <w:lang w:val="en-US"/>
        </w:rPr>
        <w:t>que preste asistencia en la preparación del material necesario, incluidos, pero no limitados los cálculos de C/I, los análisis de interferencia y los cálculos del presupuesto del enlace;</w:t>
      </w:r>
    </w:p>
    <w:p w14:paraId="487F9B9E" w14:textId="7CDC7FAE" w:rsidR="009A2458" w:rsidRPr="00AC3A33" w:rsidRDefault="009A2458" w:rsidP="009A2458">
      <w:pPr>
        <w:pStyle w:val="FootnoteText"/>
        <w:ind w:left="284" w:hanging="284"/>
      </w:pPr>
      <w:r w:rsidRPr="00917FFC">
        <w:rPr>
          <w:i/>
          <w:iCs/>
          <w:lang w:val="en-US"/>
        </w:rPr>
        <w:t>–</w:t>
      </w:r>
      <w:r w:rsidRPr="00917FFC">
        <w:rPr>
          <w:i/>
          <w:iCs/>
          <w:lang w:val="en-US"/>
        </w:rPr>
        <w:tab/>
      </w:r>
      <w:r w:rsidR="00917FFC" w:rsidRPr="00917FFC">
        <w:rPr>
          <w:i/>
          <w:iCs/>
          <w:lang w:val="en-US"/>
        </w:rPr>
        <w:t>que participe en las reuniones de coordinación para proporcionar apoyo y facilitar los debates/negociaciones técnicas».</w:t>
      </w:r>
    </w:p>
  </w:footnote>
  <w:footnote w:id="2">
    <w:p w14:paraId="6485FBEA" w14:textId="77777777" w:rsidR="002B76B7" w:rsidRDefault="002B76B7" w:rsidP="00FC5406">
      <w:pPr>
        <w:pStyle w:val="FootnoteText"/>
        <w:rPr>
          <w:lang w:val="es-ES"/>
        </w:rPr>
      </w:pPr>
      <w:r>
        <w:rPr>
          <w:rStyle w:val="FootnoteReference"/>
          <w:lang w:val="es-ES"/>
        </w:rPr>
        <w:t>1</w:t>
      </w:r>
      <w:r>
        <w:rPr>
          <w:lang w:val="es-ES"/>
        </w:rPr>
        <w:tab/>
        <w:t xml:space="preserve">A falta de una indicación clara de la frecuencia precisa de cada portadora en la banda de frecuencias asignada, la Oficina utiliza en sus análisis la banda de frecuencias asignada (es decir el dato C.3 </w:t>
      </w:r>
      <w:r>
        <w:rPr>
          <w:i/>
          <w:iCs/>
          <w:lang w:val="es-ES"/>
        </w:rPr>
        <w:t>a)</w:t>
      </w:r>
      <w:r>
        <w:rPr>
          <w:lang w:val="es-ES"/>
        </w:rPr>
        <w:t xml:space="preserve"> del Anexo 2A del Apéndice </w:t>
      </w:r>
      <w:r w:rsidRPr="007B71AA">
        <w:rPr>
          <w:rStyle w:val="Appref"/>
          <w:b/>
          <w:bCs/>
          <w:color w:val="000000"/>
          <w:lang w:val="es-ES_tradnl"/>
        </w:rPr>
        <w:t>4</w:t>
      </w:r>
      <w:r>
        <w:rPr>
          <w:lang w:val="es-ES"/>
        </w:rPr>
        <w:t xml:space="preserve">) en lugar de una anchura de banda necesaria (es decir, el dato C.7 </w:t>
      </w:r>
      <w:r>
        <w:rPr>
          <w:i/>
          <w:iCs/>
          <w:lang w:val="es-ES"/>
        </w:rPr>
        <w:t>a)</w:t>
      </w:r>
      <w:r>
        <w:rPr>
          <w:lang w:val="es-ES"/>
        </w:rPr>
        <w:t xml:space="preserve"> del Anexo 2A del Apéndice </w:t>
      </w:r>
      <w:r w:rsidRPr="007B71AA">
        <w:rPr>
          <w:rStyle w:val="Appref"/>
          <w:b/>
          <w:bCs/>
          <w:color w:val="000000"/>
          <w:lang w:val="es-ES_tradnl"/>
        </w:rPr>
        <w:t>4</w:t>
      </w:r>
      <w:r>
        <w:rPr>
          <w:lang w:val="es-ES"/>
        </w:rPr>
        <w:t>).</w:t>
      </w:r>
    </w:p>
  </w:footnote>
  <w:footnote w:id="3">
    <w:p w14:paraId="7E8085B0" w14:textId="77777777" w:rsidR="0086622E" w:rsidRPr="0086622E" w:rsidRDefault="0086622E" w:rsidP="0086622E">
      <w:pPr>
        <w:pStyle w:val="FootnoteText"/>
        <w:tabs>
          <w:tab w:val="left" w:pos="426"/>
        </w:tabs>
        <w:ind w:left="426" w:hanging="426"/>
        <w:rPr>
          <w:lang w:val="es-ES"/>
        </w:rPr>
      </w:pPr>
      <w:r w:rsidRPr="0086622E">
        <w:rPr>
          <w:rStyle w:val="FootnoteReference"/>
          <w:lang w:val="es-ES"/>
        </w:rPr>
        <w:t>1</w:t>
      </w:r>
      <w:r w:rsidRPr="0086622E">
        <w:rPr>
          <w:rStyle w:val="FootnoteReference"/>
          <w:i/>
          <w:iCs/>
          <w:lang w:val="es-ES"/>
        </w:rPr>
        <w:t>bis</w:t>
      </w:r>
      <w:r w:rsidRPr="0086622E">
        <w:rPr>
          <w:lang w:val="es-ES"/>
        </w:rPr>
        <w:tab/>
        <w:t>Las administraciones afectadas podrán solicitar a la Oficina que utilice una base de datos principal diferente.</w:t>
      </w:r>
    </w:p>
  </w:footnote>
  <w:footnote w:id="4">
    <w:p w14:paraId="031E34D3" w14:textId="6AA6F6EB" w:rsidR="002B76B7" w:rsidRDefault="002B76B7" w:rsidP="00FC5406">
      <w:pPr>
        <w:pStyle w:val="FootnoteText"/>
        <w:rPr>
          <w:lang w:val="es-ES"/>
        </w:rPr>
      </w:pPr>
      <w:r>
        <w:rPr>
          <w:rStyle w:val="FootnoteReference"/>
          <w:lang w:val="es-ES"/>
        </w:rPr>
        <w:t>2</w:t>
      </w:r>
      <w:r>
        <w:rPr>
          <w:lang w:val="es-ES"/>
        </w:rPr>
        <w:tab/>
        <w:t xml:space="preserve">A falta de una indicación clara de la frecuencia precisa de cada portadora en la banda de frecuencias asignada, la Oficina utiliza en sus análisis la banda de frecuencias asignada (es decir el dato C.3 </w:t>
      </w:r>
      <w:r>
        <w:rPr>
          <w:i/>
          <w:iCs/>
          <w:lang w:val="es-ES"/>
        </w:rPr>
        <w:t>a)</w:t>
      </w:r>
      <w:r>
        <w:rPr>
          <w:lang w:val="es-ES"/>
        </w:rPr>
        <w:t xml:space="preserve"> del Anexo 2A del Apéndice </w:t>
      </w:r>
      <w:r w:rsidRPr="007B71AA">
        <w:rPr>
          <w:rStyle w:val="Appref"/>
          <w:b/>
          <w:bCs/>
          <w:color w:val="000000"/>
          <w:lang w:val="es-ES_tradnl"/>
        </w:rPr>
        <w:t>4</w:t>
      </w:r>
      <w:r>
        <w:rPr>
          <w:lang w:val="es-ES"/>
        </w:rPr>
        <w:t>) en lugar de una anchura de banda necesaria (es decir, el dato C.7</w:t>
      </w:r>
      <w:r w:rsidR="00C53076">
        <w:rPr>
          <w:lang w:val="es-ES"/>
        </w:rPr>
        <w:t> </w:t>
      </w:r>
      <w:r>
        <w:rPr>
          <w:i/>
          <w:iCs/>
          <w:lang w:val="es-ES"/>
        </w:rPr>
        <w:t>a)</w:t>
      </w:r>
      <w:r>
        <w:rPr>
          <w:lang w:val="es-ES"/>
        </w:rPr>
        <w:t xml:space="preserve"> del Anexo 2A del Apéndice </w:t>
      </w:r>
      <w:r w:rsidRPr="007B71AA">
        <w:rPr>
          <w:rStyle w:val="Appref"/>
          <w:b/>
          <w:bCs/>
          <w:color w:val="000000"/>
          <w:lang w:val="es-ES_tradnl"/>
        </w:rPr>
        <w:t>4</w:t>
      </w:r>
      <w:r>
        <w:rPr>
          <w:lang w:val="es-ES"/>
        </w:rPr>
        <w:t>).</w:t>
      </w:r>
    </w:p>
  </w:footnote>
  <w:footnote w:id="5">
    <w:p w14:paraId="38DD3CF3" w14:textId="77777777" w:rsidR="002B76B7" w:rsidRDefault="002B76B7" w:rsidP="00FC5406">
      <w:pPr>
        <w:pStyle w:val="FootnoteText"/>
        <w:rPr>
          <w:lang w:val="es-ES"/>
        </w:rPr>
      </w:pPr>
      <w:r>
        <w:rPr>
          <w:rStyle w:val="FootnoteReference"/>
          <w:lang w:val="es-ES"/>
        </w:rPr>
        <w:t>3</w:t>
      </w:r>
      <w:r>
        <w:rPr>
          <w:lang w:val="es-ES"/>
        </w:rPr>
        <w:tab/>
        <w:t xml:space="preserve">Cada vez que se menciona el «Plan» se entiende la versión presente del Plan actualizado, en la fecha del examen de la Oficina en el caso del Plan para la Región 2, y en el caso de los Planes para las Regiones 1 y 3, la actual versión de los Planes actualizados con arreglo a la posible aplicación de los § 4.1.26 ó 4.1.27 del Artículo 4 del Apéndice </w:t>
      </w:r>
      <w:r w:rsidRPr="007B71AA">
        <w:rPr>
          <w:rStyle w:val="Appref"/>
          <w:b/>
          <w:bCs/>
          <w:color w:val="000000"/>
          <w:lang w:val="es-ES_tradnl"/>
        </w:rPr>
        <w:t>30A</w:t>
      </w:r>
      <w:r>
        <w:rPr>
          <w:lang w:val="es-ES"/>
        </w:rPr>
        <w:t>.</w:t>
      </w:r>
    </w:p>
  </w:footnote>
  <w:footnote w:id="6">
    <w:p w14:paraId="1A77F5E5" w14:textId="77777777" w:rsidR="005D151F" w:rsidRPr="005D151F" w:rsidRDefault="005D151F">
      <w:pPr>
        <w:pStyle w:val="FootnoteText"/>
        <w:rPr>
          <w:lang w:val="es-ES_tradnl"/>
        </w:rPr>
      </w:pPr>
      <w:r w:rsidRPr="005D151F">
        <w:rPr>
          <w:rStyle w:val="FootnoteReference"/>
        </w:rPr>
        <w:sym w:font="Symbol" w:char="F02A"/>
      </w:r>
      <w:r w:rsidRPr="005D151F">
        <w:rPr>
          <w:lang w:val="es-ES_tradnl"/>
        </w:rPr>
        <w:t xml:space="preserve"> </w:t>
      </w:r>
      <w:r>
        <w:rPr>
          <w:lang w:val="es-ES_tradnl"/>
        </w:rPr>
        <w:tab/>
      </w:r>
      <w:r w:rsidRPr="00D95795">
        <w:rPr>
          <w:i/>
          <w:iCs/>
          <w:lang w:val="es-ES_tradnl"/>
        </w:rPr>
        <w:t>Nota de la Secretaría</w:t>
      </w:r>
      <w:r>
        <w:rPr>
          <w:lang w:val="es-ES_tradnl"/>
        </w:rPr>
        <w:t>: Esta Resolución ha sido abrogada por la CMR-03.</w:t>
      </w:r>
    </w:p>
  </w:footnote>
  <w:footnote w:id="7">
    <w:p w14:paraId="072124D7" w14:textId="77777777" w:rsidR="002B76B7" w:rsidRDefault="002B76B7" w:rsidP="00FC5406">
      <w:pPr>
        <w:pStyle w:val="FootnoteText"/>
        <w:rPr>
          <w:lang w:val="es-ES"/>
        </w:rPr>
      </w:pPr>
      <w:r>
        <w:rPr>
          <w:rStyle w:val="FootnoteReference"/>
          <w:lang w:val="es-ES"/>
        </w:rPr>
        <w:t>4</w:t>
      </w:r>
      <w:r>
        <w:rPr>
          <w:lang w:val="es-ES"/>
        </w:rPr>
        <w:tab/>
        <w:t>Que aparecen en el Plan o la Lista correspondiente, según el caso.</w:t>
      </w:r>
    </w:p>
  </w:footnote>
  <w:footnote w:id="8">
    <w:p w14:paraId="13F251A8" w14:textId="77777777" w:rsidR="002B76B7" w:rsidRDefault="002B76B7" w:rsidP="00FC5406">
      <w:pPr>
        <w:pStyle w:val="FootnoteText"/>
        <w:rPr>
          <w:lang w:val="es-ES"/>
        </w:rPr>
      </w:pPr>
      <w:r>
        <w:rPr>
          <w:rStyle w:val="FootnoteReference"/>
          <w:lang w:val="es-ES"/>
        </w:rPr>
        <w:t>5</w:t>
      </w:r>
      <w:r>
        <w:rPr>
          <w:lang w:val="es-ES"/>
        </w:rPr>
        <w:tab/>
        <w:t xml:space="preserve">En el caso de una asignación deseada en el Plan, los puntos de prueba a los que hace referencia este párrafo son los definidos en dicho Plan. En el caso de una asignación deseada en la Lista o para la cual ya se ha iniciado el procedimiento del Artículo 4 de los Apéndices </w:t>
      </w:r>
      <w:r w:rsidRPr="007B71AA">
        <w:rPr>
          <w:rStyle w:val="Appref"/>
          <w:b/>
          <w:bCs/>
          <w:color w:val="000000"/>
          <w:lang w:val="es-ES_tradnl"/>
        </w:rPr>
        <w:t>30</w:t>
      </w:r>
      <w:r>
        <w:rPr>
          <w:rStyle w:val="Appref"/>
          <w:b/>
          <w:bCs/>
          <w:color w:val="000000"/>
          <w:lang w:val="es-ES"/>
        </w:rPr>
        <w:t>/</w:t>
      </w:r>
      <w:r w:rsidRPr="007B71AA">
        <w:rPr>
          <w:rStyle w:val="Appref"/>
          <w:b/>
          <w:bCs/>
          <w:color w:val="000000"/>
          <w:lang w:val="es-ES_tradnl"/>
        </w:rPr>
        <w:t>30A</w:t>
      </w:r>
      <w:r>
        <w:rPr>
          <w:lang w:val="es-ES"/>
        </w:rPr>
        <w:t>, los puntos de prueba indicados en este párrafo son los que aparecen en el anterior Anexo 2 de los Apéndices </w:t>
      </w:r>
      <w:r w:rsidRPr="007B71AA">
        <w:rPr>
          <w:rStyle w:val="Appref"/>
          <w:b/>
          <w:bCs/>
          <w:color w:val="000000"/>
          <w:lang w:val="es-ES_tradnl"/>
        </w:rPr>
        <w:t>30</w:t>
      </w:r>
      <w:r>
        <w:rPr>
          <w:rStyle w:val="Appref"/>
          <w:b/>
          <w:bCs/>
          <w:color w:val="000000"/>
          <w:lang w:val="es-ES"/>
        </w:rPr>
        <w:t>/</w:t>
      </w:r>
      <w:r w:rsidRPr="007B71AA">
        <w:rPr>
          <w:rStyle w:val="Appref"/>
          <w:b/>
          <w:bCs/>
          <w:color w:val="000000"/>
          <w:lang w:val="es-ES_tradnl"/>
        </w:rPr>
        <w:t>30A</w:t>
      </w:r>
      <w:r>
        <w:rPr>
          <w:lang w:val="es-ES"/>
        </w:rPr>
        <w:t xml:space="preserve"> o en el Apéndice </w:t>
      </w:r>
      <w:r w:rsidRPr="007B71AA">
        <w:rPr>
          <w:rStyle w:val="Appref"/>
          <w:b/>
          <w:bCs/>
          <w:color w:val="000000"/>
          <w:lang w:val="es-ES_tradnl"/>
        </w:rPr>
        <w:t>4</w:t>
      </w:r>
      <w:r>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14:paraId="5D33F58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014FAC7" w14:textId="71FAC645" w:rsidR="00CF2153" w:rsidRDefault="00CF2153">
          <w:pPr>
            <w:pStyle w:val="HeaderRegProc"/>
          </w:pPr>
          <w:r>
            <w:t>Parte A</w:t>
          </w:r>
          <w:r>
            <w:fldChar w:fldCharType="begin"/>
          </w:r>
          <w:r>
            <w:instrText>styleref href</w:instrText>
          </w:r>
          <w:r>
            <w:fldChar w:fldCharType="separate"/>
          </w:r>
          <w:r w:rsidR="00734BBC">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FE57390" w14:textId="465E3080" w:rsidR="00CF2153" w:rsidRDefault="009A3709">
          <w:pPr>
            <w:pStyle w:val="HeaderRegProc"/>
            <w:rPr>
              <w:lang w:val="fr-FR"/>
            </w:rPr>
          </w:pPr>
          <w:fldSimple w:instr=" DOCPROPERTY &quot;Header1&quot; \* MERGEFORMAT ">
            <w:r w:rsidR="00734BBC">
              <w:t>AP</w:t>
            </w:r>
          </w:fldSimple>
          <w:r w:rsidR="00CF2153">
            <w:fldChar w:fldCharType="begin"/>
          </w:r>
          <w:r w:rsidR="00CF2153">
            <w:instrText>styleref href2</w:instrText>
          </w:r>
          <w:r w:rsidR="00CF2153">
            <w:fldChar w:fldCharType="separate"/>
          </w:r>
          <w:r w:rsidR="00734BBC">
            <w:rPr>
              <w:noProof/>
            </w:rPr>
            <w:t>30A</w:t>
          </w:r>
          <w:r w:rsidR="00CF2153">
            <w:fldChar w:fldCharType="end"/>
          </w:r>
        </w:p>
      </w:tc>
      <w:tc>
        <w:tcPr>
          <w:tcW w:w="1701" w:type="dxa"/>
          <w:tcBorders>
            <w:top w:val="single" w:sz="6" w:space="0" w:color="auto"/>
            <w:left w:val="single" w:sz="6" w:space="0" w:color="auto"/>
            <w:bottom w:val="single" w:sz="6" w:space="0" w:color="auto"/>
            <w:right w:val="single" w:sz="6" w:space="0" w:color="auto"/>
          </w:tcBorders>
        </w:tcPr>
        <w:p w14:paraId="208F6243" w14:textId="77777777" w:rsidR="00CF2153" w:rsidRDefault="00CF2153">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B95D10" w14:textId="77777777" w:rsidR="00CF2153" w:rsidRDefault="00CF2153" w:rsidP="00CF2153">
          <w:pPr>
            <w:pStyle w:val="HeaderRegProc"/>
            <w:rPr>
              <w:lang w:val="fr-CH"/>
            </w:rPr>
          </w:pPr>
          <w:proofErr w:type="gramStart"/>
          <w:r>
            <w:rPr>
              <w:lang w:val="fr-CH"/>
            </w:rPr>
            <w:t>rev</w:t>
          </w:r>
          <w:proofErr w:type="gramEnd"/>
          <w:r>
            <w:rPr>
              <w:lang w:val="fr-CH"/>
            </w:rPr>
            <w:t>.</w:t>
          </w:r>
          <w:r>
            <w:t xml:space="preserve"> -</w:t>
          </w:r>
        </w:p>
      </w:tc>
    </w:tr>
  </w:tbl>
  <w:p w14:paraId="2D5FC152" w14:textId="77777777" w:rsidR="00CF2153" w:rsidRDefault="00CF2153">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46F16" w14:paraId="4DA36B4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161932D" w14:textId="77777777" w:rsidR="00146F16" w:rsidRDefault="00146F1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757D72C" w14:textId="03D48C24" w:rsidR="00146F16" w:rsidRDefault="009A3709">
          <w:pPr>
            <w:pStyle w:val="HeaderRegProc"/>
            <w:rPr>
              <w:lang w:val="fr-FR"/>
            </w:rPr>
          </w:pPr>
          <w:fldSimple w:instr=" DOCPROPERTY &quot;Header1&quot; \* MERGEFORMAT ">
            <w:r w:rsidR="00734BBC">
              <w:t>AP</w:t>
            </w:r>
          </w:fldSimple>
          <w:r w:rsidR="00146F16">
            <w:fldChar w:fldCharType="begin"/>
          </w:r>
          <w:r w:rsidR="00146F16">
            <w:instrText>styleref href2</w:instrText>
          </w:r>
          <w:r w:rsidR="00146F16">
            <w:fldChar w:fldCharType="separate"/>
          </w:r>
          <w:r w:rsidR="00734BBC">
            <w:rPr>
              <w:noProof/>
            </w:rPr>
            <w:t>30A</w:t>
          </w:r>
          <w:r w:rsidR="00146F16">
            <w:fldChar w:fldCharType="end"/>
          </w:r>
        </w:p>
      </w:tc>
      <w:tc>
        <w:tcPr>
          <w:tcW w:w="1701" w:type="dxa"/>
          <w:tcBorders>
            <w:top w:val="single" w:sz="6" w:space="0" w:color="auto"/>
            <w:left w:val="single" w:sz="6" w:space="0" w:color="auto"/>
            <w:bottom w:val="single" w:sz="6" w:space="0" w:color="auto"/>
            <w:right w:val="single" w:sz="6" w:space="0" w:color="auto"/>
          </w:tcBorders>
        </w:tcPr>
        <w:p w14:paraId="2FE6AB2C" w14:textId="5FA33DA7" w:rsidR="00146F16" w:rsidRPr="00CD1FE2" w:rsidRDefault="00146F16">
          <w:pPr>
            <w:pStyle w:val="HeaderRegProc"/>
            <w:rPr>
              <w:lang w:val="fr-CH"/>
            </w:rPr>
          </w:pPr>
          <w:proofErr w:type="gramStart"/>
          <w:r>
            <w:rPr>
              <w:lang w:val="fr-FR"/>
            </w:rPr>
            <w:t>página</w:t>
          </w:r>
          <w:proofErr w:type="gramEnd"/>
          <w:r>
            <w:rPr>
              <w:lang w:val="fr-FR"/>
            </w:rPr>
            <w:t xml:space="preserve"> </w:t>
          </w:r>
          <w:r w:rsidR="00F07DAE">
            <w:rPr>
              <w:rStyle w:val="PageNumber"/>
            </w:rPr>
            <w:fldChar w:fldCharType="begin"/>
          </w:r>
          <w:r w:rsidR="00F07DAE">
            <w:rPr>
              <w:rStyle w:val="PageNumber"/>
            </w:rPr>
            <w:instrText xml:space="preserve"> PAGE </w:instrText>
          </w:r>
          <w:r w:rsidR="00F07DAE">
            <w:rPr>
              <w:rStyle w:val="PageNumber"/>
            </w:rPr>
            <w:fldChar w:fldCharType="separate"/>
          </w:r>
          <w:r w:rsidR="00F07DAE">
            <w:rPr>
              <w:rStyle w:val="PageNumber"/>
            </w:rPr>
            <w:t>8</w:t>
          </w:r>
          <w:r w:rsidR="00F07DA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4177F3" w14:textId="3147BE53" w:rsidR="00146F16" w:rsidRDefault="00146F16" w:rsidP="00CF2153">
          <w:pPr>
            <w:pStyle w:val="HeaderRegProc"/>
            <w:rPr>
              <w:lang w:val="fr-CH"/>
            </w:rPr>
          </w:pPr>
          <w:proofErr w:type="gramStart"/>
          <w:r>
            <w:rPr>
              <w:lang w:val="fr-CH"/>
            </w:rPr>
            <w:t>rev</w:t>
          </w:r>
          <w:proofErr w:type="gramEnd"/>
          <w:r>
            <w:rPr>
              <w:lang w:val="fr-CH"/>
            </w:rPr>
            <w:t>.</w:t>
          </w:r>
          <w:r>
            <w:t xml:space="preserve"> -</w:t>
          </w:r>
        </w:p>
      </w:tc>
    </w:tr>
  </w:tbl>
  <w:p w14:paraId="1156B5D8" w14:textId="77777777" w:rsidR="00146F16" w:rsidRDefault="00146F1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46F16" w14:paraId="04E89A9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122B62" w14:textId="12A9F5FC" w:rsidR="00146F16" w:rsidRDefault="00146F16">
          <w:pPr>
            <w:pStyle w:val="HeaderRegProc"/>
          </w:pPr>
          <w:r>
            <w:t>Parte A</w:t>
          </w:r>
          <w:r>
            <w:fldChar w:fldCharType="begin"/>
          </w:r>
          <w:r>
            <w:instrText>styleref href</w:instrText>
          </w:r>
          <w:r>
            <w:fldChar w:fldCharType="separate"/>
          </w:r>
          <w:r w:rsidR="00734BBC">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0173555" w14:textId="699B2A9A" w:rsidR="00146F16" w:rsidRDefault="009A3709">
          <w:pPr>
            <w:pStyle w:val="HeaderRegProc"/>
            <w:rPr>
              <w:lang w:val="fr-FR"/>
            </w:rPr>
          </w:pPr>
          <w:fldSimple w:instr=" DOCPROPERTY &quot;Header1&quot; \* MERGEFORMAT ">
            <w:r w:rsidR="00734BBC">
              <w:t>AP</w:t>
            </w:r>
          </w:fldSimple>
          <w:r w:rsidR="00146F16">
            <w:fldChar w:fldCharType="begin"/>
          </w:r>
          <w:r w:rsidR="00146F16">
            <w:instrText>styleref href2</w:instrText>
          </w:r>
          <w:r w:rsidR="00146F16">
            <w:fldChar w:fldCharType="separate"/>
          </w:r>
          <w:r w:rsidR="00734BBC">
            <w:rPr>
              <w:noProof/>
            </w:rPr>
            <w:t>30A</w:t>
          </w:r>
          <w:r w:rsidR="00146F16">
            <w:fldChar w:fldCharType="end"/>
          </w:r>
        </w:p>
      </w:tc>
      <w:tc>
        <w:tcPr>
          <w:tcW w:w="1701" w:type="dxa"/>
          <w:tcBorders>
            <w:top w:val="single" w:sz="6" w:space="0" w:color="auto"/>
            <w:left w:val="single" w:sz="6" w:space="0" w:color="auto"/>
            <w:bottom w:val="single" w:sz="6" w:space="0" w:color="auto"/>
            <w:right w:val="single" w:sz="6" w:space="0" w:color="auto"/>
          </w:tcBorders>
        </w:tcPr>
        <w:p w14:paraId="6565B28D" w14:textId="27477E58" w:rsidR="00146F16" w:rsidRPr="0086622E" w:rsidRDefault="00146F16">
          <w:pPr>
            <w:pStyle w:val="HeaderRegProc"/>
            <w:rPr>
              <w:i/>
              <w:iCs/>
              <w:lang w:val="fr-CH"/>
            </w:rPr>
          </w:pPr>
          <w:proofErr w:type="gramStart"/>
          <w:r>
            <w:rPr>
              <w:lang w:val="fr-FR"/>
            </w:rPr>
            <w:t>página</w:t>
          </w:r>
          <w:proofErr w:type="gramEnd"/>
          <w:r>
            <w:rPr>
              <w:lang w:val="fr-FR"/>
            </w:rPr>
            <w:t xml:space="preserve"> </w:t>
          </w:r>
          <w:r w:rsidR="00F07DAE">
            <w:rPr>
              <w:rStyle w:val="PageNumber"/>
            </w:rPr>
            <w:fldChar w:fldCharType="begin"/>
          </w:r>
          <w:r w:rsidR="00F07DAE">
            <w:rPr>
              <w:rStyle w:val="PageNumber"/>
            </w:rPr>
            <w:instrText xml:space="preserve"> PAGE </w:instrText>
          </w:r>
          <w:r w:rsidR="00F07DAE">
            <w:rPr>
              <w:rStyle w:val="PageNumber"/>
            </w:rPr>
            <w:fldChar w:fldCharType="separate"/>
          </w:r>
          <w:r w:rsidR="00F07DAE">
            <w:rPr>
              <w:rStyle w:val="PageNumber"/>
            </w:rPr>
            <w:t>10</w:t>
          </w:r>
          <w:r w:rsidR="00F07DA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7FBFAA" w14:textId="77777777" w:rsidR="00146F16" w:rsidRDefault="00146F16" w:rsidP="00CF2153">
          <w:pPr>
            <w:pStyle w:val="HeaderRegProc"/>
            <w:rPr>
              <w:lang w:val="fr-CH"/>
            </w:rPr>
          </w:pPr>
          <w:proofErr w:type="gramStart"/>
          <w:r>
            <w:rPr>
              <w:lang w:val="fr-CH"/>
            </w:rPr>
            <w:t>rev</w:t>
          </w:r>
          <w:proofErr w:type="gramEnd"/>
          <w:r>
            <w:rPr>
              <w:lang w:val="fr-CH"/>
            </w:rPr>
            <w:t>.</w:t>
          </w:r>
          <w:r>
            <w:t xml:space="preserve"> -</w:t>
          </w:r>
        </w:p>
      </w:tc>
    </w:tr>
  </w:tbl>
  <w:p w14:paraId="6A7ECD9F" w14:textId="77777777" w:rsidR="00146F16" w:rsidRDefault="00146F16">
    <w:pPr>
      <w:rPr>
        <w:lang w:val="fr-C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46F16" w14:paraId="68016E1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1DD944" w14:textId="77777777" w:rsidR="00146F16" w:rsidRDefault="00146F1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324FE1D" w14:textId="5BC75D5D" w:rsidR="00146F16" w:rsidRDefault="009A3709">
          <w:pPr>
            <w:pStyle w:val="HeaderRegProc"/>
            <w:rPr>
              <w:lang w:val="fr-FR"/>
            </w:rPr>
          </w:pPr>
          <w:fldSimple w:instr=" DOCPROPERTY &quot;Header1&quot; \* MERGEFORMAT ">
            <w:r w:rsidR="00734BBC">
              <w:t>AP</w:t>
            </w:r>
          </w:fldSimple>
          <w:r w:rsidR="00146F16">
            <w:fldChar w:fldCharType="begin"/>
          </w:r>
          <w:r w:rsidR="00146F16">
            <w:instrText>styleref href2</w:instrText>
          </w:r>
          <w:r w:rsidR="00146F16">
            <w:fldChar w:fldCharType="separate"/>
          </w:r>
          <w:r w:rsidR="00734BBC">
            <w:rPr>
              <w:noProof/>
            </w:rPr>
            <w:t>30A</w:t>
          </w:r>
          <w:r w:rsidR="00146F16">
            <w:fldChar w:fldCharType="end"/>
          </w:r>
        </w:p>
      </w:tc>
      <w:tc>
        <w:tcPr>
          <w:tcW w:w="1701" w:type="dxa"/>
          <w:tcBorders>
            <w:top w:val="single" w:sz="6" w:space="0" w:color="auto"/>
            <w:left w:val="single" w:sz="6" w:space="0" w:color="auto"/>
            <w:bottom w:val="single" w:sz="6" w:space="0" w:color="auto"/>
            <w:right w:val="single" w:sz="6" w:space="0" w:color="auto"/>
          </w:tcBorders>
        </w:tcPr>
        <w:p w14:paraId="7D357479" w14:textId="4C6F99E1" w:rsidR="00146F16" w:rsidRPr="00CD1FE2" w:rsidRDefault="00146F16">
          <w:pPr>
            <w:pStyle w:val="HeaderRegProc"/>
            <w:rPr>
              <w:lang w:val="fr-CH"/>
            </w:rPr>
          </w:pPr>
          <w:proofErr w:type="gramStart"/>
          <w:r>
            <w:rPr>
              <w:lang w:val="fr-FR"/>
            </w:rPr>
            <w:t>página</w:t>
          </w:r>
          <w:proofErr w:type="gramEnd"/>
          <w:r>
            <w:rPr>
              <w:lang w:val="fr-FR"/>
            </w:rPr>
            <w:t xml:space="preserve"> </w:t>
          </w:r>
          <w:r w:rsidR="00F07DAE">
            <w:rPr>
              <w:rStyle w:val="PageNumber"/>
            </w:rPr>
            <w:fldChar w:fldCharType="begin"/>
          </w:r>
          <w:r w:rsidR="00F07DAE">
            <w:rPr>
              <w:rStyle w:val="PageNumber"/>
            </w:rPr>
            <w:instrText xml:space="preserve"> PAGE </w:instrText>
          </w:r>
          <w:r w:rsidR="00F07DAE">
            <w:rPr>
              <w:rStyle w:val="PageNumber"/>
            </w:rPr>
            <w:fldChar w:fldCharType="separate"/>
          </w:r>
          <w:r w:rsidR="00F07DAE">
            <w:rPr>
              <w:rStyle w:val="PageNumber"/>
            </w:rPr>
            <w:t>10</w:t>
          </w:r>
          <w:r w:rsidR="00F07DA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C25347" w14:textId="77777777" w:rsidR="00146F16" w:rsidRDefault="00146F16" w:rsidP="00CF2153">
          <w:pPr>
            <w:pStyle w:val="HeaderRegProc"/>
            <w:rPr>
              <w:lang w:val="fr-CH"/>
            </w:rPr>
          </w:pPr>
          <w:proofErr w:type="gramStart"/>
          <w:r>
            <w:rPr>
              <w:lang w:val="fr-CH"/>
            </w:rPr>
            <w:t>rev</w:t>
          </w:r>
          <w:proofErr w:type="gramEnd"/>
          <w:r>
            <w:rPr>
              <w:lang w:val="fr-CH"/>
            </w:rPr>
            <w:t>.</w:t>
          </w:r>
          <w:r>
            <w:t xml:space="preserve"> -</w:t>
          </w:r>
        </w:p>
      </w:tc>
    </w:tr>
  </w:tbl>
  <w:p w14:paraId="19E90AAD" w14:textId="77777777" w:rsidR="00146F16" w:rsidRDefault="00146F1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3A2D" w14:paraId="0254546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058551" w14:textId="77777777" w:rsidR="004D3A2D" w:rsidRDefault="004D3A2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4D8608C" w14:textId="21467E1E" w:rsidR="004D3A2D" w:rsidRDefault="009A3709">
          <w:pPr>
            <w:pStyle w:val="HeaderRegProc"/>
            <w:rPr>
              <w:lang w:val="fr-FR"/>
            </w:rPr>
          </w:pPr>
          <w:fldSimple w:instr=" DOCPROPERTY &quot;Header1&quot; \* MERGEFORMAT ">
            <w:r w:rsidR="00734BBC">
              <w:t>AP</w:t>
            </w:r>
          </w:fldSimple>
          <w:r w:rsidR="004D3A2D">
            <w:fldChar w:fldCharType="begin"/>
          </w:r>
          <w:r w:rsidR="004D3A2D">
            <w:instrText>styleref href2</w:instrText>
          </w:r>
          <w:r w:rsidR="004D3A2D">
            <w:fldChar w:fldCharType="separate"/>
          </w:r>
          <w:r w:rsidR="00734BBC">
            <w:rPr>
              <w:noProof/>
            </w:rPr>
            <w:t>30A</w:t>
          </w:r>
          <w:r w:rsidR="004D3A2D">
            <w:fldChar w:fldCharType="end"/>
          </w:r>
        </w:p>
      </w:tc>
      <w:tc>
        <w:tcPr>
          <w:tcW w:w="1701" w:type="dxa"/>
          <w:tcBorders>
            <w:top w:val="single" w:sz="6" w:space="0" w:color="auto"/>
            <w:left w:val="single" w:sz="6" w:space="0" w:color="auto"/>
            <w:bottom w:val="single" w:sz="6" w:space="0" w:color="auto"/>
            <w:right w:val="single" w:sz="6" w:space="0" w:color="auto"/>
          </w:tcBorders>
        </w:tcPr>
        <w:p w14:paraId="3BFCB8D2" w14:textId="45E53DC0" w:rsidR="004D3A2D" w:rsidRDefault="004D3A2D">
          <w:pPr>
            <w:pStyle w:val="HeaderRegProc"/>
            <w:rPr>
              <w:lang w:val="fr-CH"/>
            </w:rPr>
          </w:pPr>
          <w:proofErr w:type="gramStart"/>
          <w:r>
            <w:rPr>
              <w:lang w:val="fr-FR"/>
            </w:rPr>
            <w:t>página</w:t>
          </w:r>
          <w:proofErr w:type="gramEnd"/>
          <w:r>
            <w:rPr>
              <w:lang w:val="fr-FR"/>
            </w:rPr>
            <w:t xml:space="preserve"> </w:t>
          </w:r>
          <w:r w:rsidR="00F07DAE">
            <w:rPr>
              <w:rStyle w:val="PageNumber"/>
            </w:rPr>
            <w:fldChar w:fldCharType="begin"/>
          </w:r>
          <w:r w:rsidR="00F07DAE">
            <w:rPr>
              <w:rStyle w:val="PageNumber"/>
            </w:rPr>
            <w:instrText xml:space="preserve"> PAGE </w:instrText>
          </w:r>
          <w:r w:rsidR="00F07DAE">
            <w:rPr>
              <w:rStyle w:val="PageNumber"/>
            </w:rPr>
            <w:fldChar w:fldCharType="separate"/>
          </w:r>
          <w:r w:rsidR="00F07DAE">
            <w:rPr>
              <w:rStyle w:val="PageNumber"/>
            </w:rPr>
            <w:t>10</w:t>
          </w:r>
          <w:r w:rsidR="00F07DA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4B2196" w14:textId="5037D4BE" w:rsidR="004D3A2D" w:rsidRDefault="004D3A2D" w:rsidP="00CF2153">
          <w:pPr>
            <w:pStyle w:val="HeaderRegProc"/>
            <w:rPr>
              <w:lang w:val="fr-CH"/>
            </w:rPr>
          </w:pPr>
          <w:proofErr w:type="gramStart"/>
          <w:r>
            <w:rPr>
              <w:lang w:val="fr-CH"/>
            </w:rPr>
            <w:t>rev</w:t>
          </w:r>
          <w:proofErr w:type="gramEnd"/>
          <w:r>
            <w:rPr>
              <w:lang w:val="fr-CH"/>
            </w:rPr>
            <w:t>.</w:t>
          </w:r>
          <w:r>
            <w:t xml:space="preserve"> </w:t>
          </w:r>
          <w:r w:rsidR="009A2458">
            <w:t>-</w:t>
          </w:r>
        </w:p>
      </w:tc>
    </w:tr>
  </w:tbl>
  <w:p w14:paraId="7836D63F" w14:textId="77777777" w:rsidR="004D3A2D" w:rsidRDefault="004D3A2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D3A2D" w14:paraId="47C6520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AF9AB3C" w14:textId="44ADB04B" w:rsidR="004D3A2D" w:rsidRDefault="004D3A2D">
          <w:pPr>
            <w:pStyle w:val="HeaderRegProc"/>
          </w:pPr>
          <w:r>
            <w:t>Parte A</w:t>
          </w:r>
          <w:r>
            <w:fldChar w:fldCharType="begin"/>
          </w:r>
          <w:r>
            <w:instrText>styleref href</w:instrText>
          </w:r>
          <w:r>
            <w:fldChar w:fldCharType="separate"/>
          </w:r>
          <w:r w:rsidR="00734BBC">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2AC64F" w14:textId="7BB51DBE" w:rsidR="004D3A2D" w:rsidRDefault="009A3709">
          <w:pPr>
            <w:pStyle w:val="HeaderRegProc"/>
            <w:rPr>
              <w:lang w:val="fr-FR"/>
            </w:rPr>
          </w:pPr>
          <w:fldSimple w:instr=" DOCPROPERTY &quot;Header1&quot; \* MERGEFORMAT ">
            <w:r w:rsidR="00734BBC">
              <w:t>AP</w:t>
            </w:r>
          </w:fldSimple>
          <w:r w:rsidR="004D3A2D">
            <w:fldChar w:fldCharType="begin"/>
          </w:r>
          <w:r w:rsidR="004D3A2D">
            <w:instrText>styleref href2</w:instrText>
          </w:r>
          <w:r w:rsidR="004D3A2D">
            <w:fldChar w:fldCharType="separate"/>
          </w:r>
          <w:r w:rsidR="00734BBC">
            <w:rPr>
              <w:noProof/>
            </w:rPr>
            <w:t>30A</w:t>
          </w:r>
          <w:r w:rsidR="004D3A2D">
            <w:fldChar w:fldCharType="end"/>
          </w:r>
        </w:p>
      </w:tc>
      <w:tc>
        <w:tcPr>
          <w:tcW w:w="1701" w:type="dxa"/>
          <w:tcBorders>
            <w:top w:val="single" w:sz="6" w:space="0" w:color="auto"/>
            <w:left w:val="single" w:sz="6" w:space="0" w:color="auto"/>
            <w:bottom w:val="single" w:sz="6" w:space="0" w:color="auto"/>
            <w:right w:val="single" w:sz="6" w:space="0" w:color="auto"/>
          </w:tcBorders>
        </w:tcPr>
        <w:p w14:paraId="2F06904E" w14:textId="2AC129BF" w:rsidR="004D3A2D" w:rsidRDefault="004D3A2D">
          <w:pPr>
            <w:pStyle w:val="HeaderRegProc"/>
            <w:rPr>
              <w:lang w:val="fr-CH"/>
            </w:rPr>
          </w:pPr>
          <w:proofErr w:type="gramStart"/>
          <w:r>
            <w:rPr>
              <w:lang w:val="fr-FR"/>
            </w:rPr>
            <w:t>página</w:t>
          </w:r>
          <w:proofErr w:type="gramEnd"/>
          <w:r>
            <w:rPr>
              <w:lang w:val="fr-FR"/>
            </w:rPr>
            <w:t xml:space="preserve"> </w:t>
          </w:r>
          <w:r w:rsidR="00F07DAE">
            <w:rPr>
              <w:rStyle w:val="PageNumber"/>
            </w:rPr>
            <w:fldChar w:fldCharType="begin"/>
          </w:r>
          <w:r w:rsidR="00F07DAE">
            <w:rPr>
              <w:rStyle w:val="PageNumber"/>
            </w:rPr>
            <w:instrText xml:space="preserve"> PAGE </w:instrText>
          </w:r>
          <w:r w:rsidR="00F07DAE">
            <w:rPr>
              <w:rStyle w:val="PageNumber"/>
            </w:rPr>
            <w:fldChar w:fldCharType="separate"/>
          </w:r>
          <w:r w:rsidR="00F07DAE">
            <w:rPr>
              <w:rStyle w:val="PageNumber"/>
            </w:rPr>
            <w:t>10</w:t>
          </w:r>
          <w:r w:rsidR="00F07DA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DABE61" w14:textId="77777777" w:rsidR="004D3A2D" w:rsidRDefault="004D3A2D" w:rsidP="00CF2153">
          <w:pPr>
            <w:pStyle w:val="HeaderRegProc"/>
            <w:rPr>
              <w:lang w:val="fr-CH"/>
            </w:rPr>
          </w:pPr>
          <w:proofErr w:type="gramStart"/>
          <w:r>
            <w:rPr>
              <w:lang w:val="fr-CH"/>
            </w:rPr>
            <w:t>rev</w:t>
          </w:r>
          <w:proofErr w:type="gramEnd"/>
          <w:r>
            <w:rPr>
              <w:lang w:val="fr-CH"/>
            </w:rPr>
            <w:t>.</w:t>
          </w:r>
          <w:r>
            <w:t xml:space="preserve"> -</w:t>
          </w:r>
        </w:p>
      </w:tc>
    </w:tr>
  </w:tbl>
  <w:p w14:paraId="1E449DC6" w14:textId="77777777" w:rsidR="004D3A2D" w:rsidRDefault="004D3A2D">
    <w:pPr>
      <w:rPr>
        <w:lang w:val="fr-CH"/>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3A2D" w14:paraId="366F3C0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DB2074F" w14:textId="77777777" w:rsidR="004D3A2D" w:rsidRDefault="004D3A2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1CF1DDF" w14:textId="008A6A38" w:rsidR="004D3A2D" w:rsidRDefault="009A3709">
          <w:pPr>
            <w:pStyle w:val="HeaderRegProc"/>
            <w:rPr>
              <w:lang w:val="fr-FR"/>
            </w:rPr>
          </w:pPr>
          <w:fldSimple w:instr=" DOCPROPERTY &quot;Header1&quot; \* MERGEFORMAT ">
            <w:r w:rsidR="00734BBC">
              <w:t>AP</w:t>
            </w:r>
          </w:fldSimple>
          <w:r w:rsidR="004D3A2D">
            <w:fldChar w:fldCharType="begin"/>
          </w:r>
          <w:r w:rsidR="004D3A2D">
            <w:instrText>styleref href2</w:instrText>
          </w:r>
          <w:r w:rsidR="004D3A2D">
            <w:fldChar w:fldCharType="separate"/>
          </w:r>
          <w:r w:rsidR="00734BBC">
            <w:rPr>
              <w:noProof/>
            </w:rPr>
            <w:t>30A</w:t>
          </w:r>
          <w:r w:rsidR="004D3A2D">
            <w:fldChar w:fldCharType="end"/>
          </w:r>
        </w:p>
      </w:tc>
      <w:tc>
        <w:tcPr>
          <w:tcW w:w="1701" w:type="dxa"/>
          <w:tcBorders>
            <w:top w:val="single" w:sz="6" w:space="0" w:color="auto"/>
            <w:left w:val="single" w:sz="6" w:space="0" w:color="auto"/>
            <w:bottom w:val="single" w:sz="6" w:space="0" w:color="auto"/>
            <w:right w:val="single" w:sz="6" w:space="0" w:color="auto"/>
          </w:tcBorders>
        </w:tcPr>
        <w:p w14:paraId="01B9A206" w14:textId="1617E11C" w:rsidR="004D3A2D" w:rsidRDefault="004D3A2D">
          <w:pPr>
            <w:pStyle w:val="HeaderRegProc"/>
            <w:rPr>
              <w:lang w:val="fr-CH"/>
            </w:rPr>
          </w:pPr>
          <w:proofErr w:type="gramStart"/>
          <w:r>
            <w:rPr>
              <w:lang w:val="fr-FR"/>
            </w:rPr>
            <w:t>página</w:t>
          </w:r>
          <w:proofErr w:type="gramEnd"/>
          <w:r>
            <w:rPr>
              <w:lang w:val="fr-FR"/>
            </w:rPr>
            <w:t xml:space="preserve"> </w:t>
          </w:r>
          <w:r w:rsidR="00F07DAE">
            <w:rPr>
              <w:rStyle w:val="PageNumber"/>
            </w:rPr>
            <w:fldChar w:fldCharType="begin"/>
          </w:r>
          <w:r w:rsidR="00F07DAE">
            <w:rPr>
              <w:rStyle w:val="PageNumber"/>
            </w:rPr>
            <w:instrText xml:space="preserve"> PAGE </w:instrText>
          </w:r>
          <w:r w:rsidR="00F07DAE">
            <w:rPr>
              <w:rStyle w:val="PageNumber"/>
            </w:rPr>
            <w:fldChar w:fldCharType="separate"/>
          </w:r>
          <w:r w:rsidR="00F07DAE">
            <w:rPr>
              <w:rStyle w:val="PageNumber"/>
            </w:rPr>
            <w:t>10</w:t>
          </w:r>
          <w:r w:rsidR="00F07DA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896186" w14:textId="77777777" w:rsidR="004D3A2D" w:rsidRDefault="004D3A2D" w:rsidP="00CF2153">
          <w:pPr>
            <w:pStyle w:val="HeaderRegProc"/>
            <w:rPr>
              <w:lang w:val="fr-CH"/>
            </w:rPr>
          </w:pPr>
          <w:proofErr w:type="gramStart"/>
          <w:r>
            <w:rPr>
              <w:lang w:val="fr-CH"/>
            </w:rPr>
            <w:t>rev</w:t>
          </w:r>
          <w:proofErr w:type="gramEnd"/>
          <w:r>
            <w:rPr>
              <w:lang w:val="fr-CH"/>
            </w:rPr>
            <w:t>.</w:t>
          </w:r>
          <w:r>
            <w:t xml:space="preserve"> -</w:t>
          </w:r>
        </w:p>
      </w:tc>
    </w:tr>
  </w:tbl>
  <w:p w14:paraId="645D9487" w14:textId="77777777" w:rsidR="004D3A2D" w:rsidRDefault="004D3A2D">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3B3C4" w14:textId="77777777" w:rsidR="002B76B7" w:rsidRDefault="002B76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14:paraId="5BC32CB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94FB27" w14:textId="77777777" w:rsidR="00CF2153" w:rsidRDefault="00CF2153">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D7408F2" w14:textId="18D67E22" w:rsidR="00CF2153" w:rsidRDefault="009A3709">
          <w:pPr>
            <w:pStyle w:val="HeaderRegProc"/>
            <w:rPr>
              <w:lang w:val="fr-FR"/>
            </w:rPr>
          </w:pPr>
          <w:fldSimple w:instr=" DOCPROPERTY &quot;Header1&quot; \* MERGEFORMAT ">
            <w:r w:rsidR="00734BBC">
              <w:t>AP</w:t>
            </w:r>
          </w:fldSimple>
          <w:r w:rsidR="00CF2153">
            <w:fldChar w:fldCharType="begin"/>
          </w:r>
          <w:r w:rsidR="00CF2153">
            <w:instrText>styleref href2</w:instrText>
          </w:r>
          <w:r w:rsidR="00CF2153">
            <w:fldChar w:fldCharType="separate"/>
          </w:r>
          <w:r w:rsidR="00734BBC">
            <w:rPr>
              <w:noProof/>
            </w:rPr>
            <w:t>30A</w:t>
          </w:r>
          <w:r w:rsidR="00CF2153">
            <w:fldChar w:fldCharType="end"/>
          </w:r>
        </w:p>
      </w:tc>
      <w:tc>
        <w:tcPr>
          <w:tcW w:w="1701" w:type="dxa"/>
          <w:tcBorders>
            <w:top w:val="single" w:sz="6" w:space="0" w:color="auto"/>
            <w:left w:val="single" w:sz="6" w:space="0" w:color="auto"/>
            <w:bottom w:val="single" w:sz="6" w:space="0" w:color="auto"/>
            <w:right w:val="single" w:sz="6" w:space="0" w:color="auto"/>
          </w:tcBorders>
        </w:tcPr>
        <w:p w14:paraId="0787F679" w14:textId="77777777" w:rsidR="00CF2153" w:rsidRDefault="00CF2153">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07292C" w14:textId="77777777" w:rsidR="00CF2153" w:rsidRDefault="00CF2153" w:rsidP="00CF2153">
          <w:pPr>
            <w:pStyle w:val="HeaderRegProc"/>
            <w:rPr>
              <w:lang w:val="fr-CH"/>
            </w:rPr>
          </w:pPr>
          <w:proofErr w:type="gramStart"/>
          <w:r>
            <w:rPr>
              <w:lang w:val="fr-CH"/>
            </w:rPr>
            <w:t>rev</w:t>
          </w:r>
          <w:proofErr w:type="gramEnd"/>
          <w:r>
            <w:rPr>
              <w:lang w:val="fr-CH"/>
            </w:rPr>
            <w:t>.</w:t>
          </w:r>
          <w:r>
            <w:t xml:space="preserve"> -</w:t>
          </w:r>
        </w:p>
      </w:tc>
    </w:tr>
  </w:tbl>
  <w:p w14:paraId="69973701" w14:textId="77777777" w:rsidR="00CF2153" w:rsidRDefault="00CF2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C372C" w14:paraId="268053F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5E479AC" w14:textId="70397439" w:rsidR="004C372C" w:rsidRDefault="004C372C">
          <w:pPr>
            <w:pStyle w:val="HeaderRegProc"/>
          </w:pPr>
          <w:r>
            <w:t>Parte A</w:t>
          </w:r>
          <w:r>
            <w:fldChar w:fldCharType="begin"/>
          </w:r>
          <w:r>
            <w:instrText>styleref href</w:instrText>
          </w:r>
          <w:r>
            <w:fldChar w:fldCharType="separate"/>
          </w:r>
          <w:r w:rsidR="00734BBC">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91C6239" w14:textId="3802952F" w:rsidR="004C372C" w:rsidRDefault="009A3709">
          <w:pPr>
            <w:pStyle w:val="HeaderRegProc"/>
            <w:rPr>
              <w:lang w:val="fr-FR"/>
            </w:rPr>
          </w:pPr>
          <w:fldSimple w:instr=" DOCPROPERTY &quot;Header1&quot; \* MERGEFORMAT ">
            <w:r w:rsidR="00734BBC">
              <w:t>AP</w:t>
            </w:r>
          </w:fldSimple>
          <w:r w:rsidR="004C372C">
            <w:fldChar w:fldCharType="begin"/>
          </w:r>
          <w:r w:rsidR="004C372C">
            <w:instrText>styleref href2</w:instrText>
          </w:r>
          <w:r w:rsidR="004C372C">
            <w:fldChar w:fldCharType="separate"/>
          </w:r>
          <w:r w:rsidR="00734BBC">
            <w:rPr>
              <w:noProof/>
            </w:rPr>
            <w:t>30A</w:t>
          </w:r>
          <w:r w:rsidR="004C372C">
            <w:fldChar w:fldCharType="end"/>
          </w:r>
        </w:p>
      </w:tc>
      <w:tc>
        <w:tcPr>
          <w:tcW w:w="1701" w:type="dxa"/>
          <w:tcBorders>
            <w:top w:val="single" w:sz="6" w:space="0" w:color="auto"/>
            <w:left w:val="single" w:sz="6" w:space="0" w:color="auto"/>
            <w:bottom w:val="single" w:sz="6" w:space="0" w:color="auto"/>
            <w:right w:val="single" w:sz="6" w:space="0" w:color="auto"/>
          </w:tcBorders>
        </w:tcPr>
        <w:p w14:paraId="40F0FB06" w14:textId="001B9FD0" w:rsidR="004C372C" w:rsidRPr="0086622E" w:rsidRDefault="004C372C">
          <w:pPr>
            <w:pStyle w:val="HeaderRegProc"/>
            <w:rPr>
              <w:i/>
              <w:iCs/>
              <w:lang w:val="fr-CH"/>
            </w:rPr>
          </w:pPr>
          <w:proofErr w:type="gramStart"/>
          <w:r>
            <w:rPr>
              <w:lang w:val="fr-FR"/>
            </w:rPr>
            <w:t>página</w:t>
          </w:r>
          <w:proofErr w:type="gramEnd"/>
          <w:r>
            <w:rPr>
              <w:lang w:val="fr-FR"/>
            </w:rPr>
            <w:t xml:space="preserve"> </w:t>
          </w:r>
          <w:r w:rsidR="00F07DAE">
            <w:rPr>
              <w:rStyle w:val="PageNumber"/>
            </w:rPr>
            <w:fldChar w:fldCharType="begin"/>
          </w:r>
          <w:r w:rsidR="00F07DAE">
            <w:rPr>
              <w:rStyle w:val="PageNumber"/>
            </w:rPr>
            <w:instrText xml:space="preserve"> PAGE </w:instrText>
          </w:r>
          <w:r w:rsidR="00F07DAE">
            <w:rPr>
              <w:rStyle w:val="PageNumber"/>
            </w:rPr>
            <w:fldChar w:fldCharType="separate"/>
          </w:r>
          <w:r w:rsidR="00F07DAE">
            <w:rPr>
              <w:rStyle w:val="PageNumber"/>
            </w:rPr>
            <w:t>1</w:t>
          </w:r>
          <w:r w:rsidR="00F07DA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DAF89B" w14:textId="6D05D27A" w:rsidR="004C372C" w:rsidRDefault="004C372C" w:rsidP="00CF2153">
          <w:pPr>
            <w:pStyle w:val="HeaderRegProc"/>
            <w:rPr>
              <w:lang w:val="fr-CH"/>
            </w:rPr>
          </w:pPr>
          <w:proofErr w:type="gramStart"/>
          <w:r>
            <w:rPr>
              <w:lang w:val="fr-CH"/>
            </w:rPr>
            <w:t>rev</w:t>
          </w:r>
          <w:proofErr w:type="gramEnd"/>
          <w:r>
            <w:rPr>
              <w:lang w:val="fr-CH"/>
            </w:rPr>
            <w:t>.</w:t>
          </w:r>
          <w:r>
            <w:t xml:space="preserve"> </w:t>
          </w:r>
          <w:r w:rsidR="009A2458">
            <w:t>-</w:t>
          </w:r>
        </w:p>
      </w:tc>
    </w:tr>
  </w:tbl>
  <w:p w14:paraId="2420DAF5" w14:textId="77777777" w:rsidR="004C372C" w:rsidRDefault="004C372C">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372C" w14:paraId="7750AC4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60DCBC2" w14:textId="77777777" w:rsidR="004C372C" w:rsidRDefault="004C372C">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A4E87E0" w14:textId="38385D6E" w:rsidR="004C372C" w:rsidRDefault="009A3709">
          <w:pPr>
            <w:pStyle w:val="HeaderRegProc"/>
            <w:rPr>
              <w:lang w:val="fr-FR"/>
            </w:rPr>
          </w:pPr>
          <w:fldSimple w:instr=" DOCPROPERTY &quot;Header1&quot; \* MERGEFORMAT ">
            <w:r w:rsidR="00734BBC">
              <w:t>AP</w:t>
            </w:r>
          </w:fldSimple>
          <w:r w:rsidR="004C372C">
            <w:fldChar w:fldCharType="begin"/>
          </w:r>
          <w:r w:rsidR="004C372C">
            <w:instrText>styleref href2</w:instrText>
          </w:r>
          <w:r w:rsidR="004C372C">
            <w:fldChar w:fldCharType="separate"/>
          </w:r>
          <w:r w:rsidR="00734BBC">
            <w:rPr>
              <w:noProof/>
            </w:rPr>
            <w:t>30A</w:t>
          </w:r>
          <w:r w:rsidR="004C372C">
            <w:fldChar w:fldCharType="end"/>
          </w:r>
        </w:p>
      </w:tc>
      <w:tc>
        <w:tcPr>
          <w:tcW w:w="1701" w:type="dxa"/>
          <w:tcBorders>
            <w:top w:val="single" w:sz="6" w:space="0" w:color="auto"/>
            <w:left w:val="single" w:sz="6" w:space="0" w:color="auto"/>
            <w:bottom w:val="single" w:sz="6" w:space="0" w:color="auto"/>
            <w:right w:val="single" w:sz="6" w:space="0" w:color="auto"/>
          </w:tcBorders>
        </w:tcPr>
        <w:p w14:paraId="11BF7146" w14:textId="77777777" w:rsidR="004C372C" w:rsidRDefault="004C372C">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69362F" w14:textId="6FD297A9" w:rsidR="004C372C" w:rsidRDefault="004C372C" w:rsidP="00CF2153">
          <w:pPr>
            <w:pStyle w:val="HeaderRegProc"/>
            <w:rPr>
              <w:lang w:val="fr-CH"/>
            </w:rPr>
          </w:pPr>
          <w:proofErr w:type="gramStart"/>
          <w:r>
            <w:rPr>
              <w:lang w:val="fr-CH"/>
            </w:rPr>
            <w:t>rev</w:t>
          </w:r>
          <w:proofErr w:type="gramEnd"/>
          <w:r>
            <w:rPr>
              <w:lang w:val="fr-CH"/>
            </w:rPr>
            <w:t>.</w:t>
          </w:r>
          <w:r>
            <w:t xml:space="preserve"> </w:t>
          </w:r>
          <w:r w:rsidR="009A2458">
            <w:t>-</w:t>
          </w:r>
        </w:p>
      </w:tc>
    </w:tr>
  </w:tbl>
  <w:p w14:paraId="6CEDD55D" w14:textId="77777777" w:rsidR="004C372C" w:rsidRDefault="004C37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D1FE2" w14:paraId="7EF0AF5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FFCCE2D" w14:textId="469FC209" w:rsidR="00CD1FE2" w:rsidRDefault="00CD1FE2">
          <w:pPr>
            <w:pStyle w:val="HeaderRegProc"/>
          </w:pPr>
          <w:r>
            <w:t>Parte A</w:t>
          </w:r>
          <w:r>
            <w:fldChar w:fldCharType="begin"/>
          </w:r>
          <w:r>
            <w:instrText>styleref href</w:instrText>
          </w:r>
          <w:r>
            <w:fldChar w:fldCharType="separate"/>
          </w:r>
          <w:r w:rsidR="00734BBC">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07E86EA" w14:textId="7813DBA2" w:rsidR="00CD1FE2" w:rsidRDefault="009A3709">
          <w:pPr>
            <w:pStyle w:val="HeaderRegProc"/>
            <w:rPr>
              <w:lang w:val="fr-FR"/>
            </w:rPr>
          </w:pPr>
          <w:fldSimple w:instr=" DOCPROPERTY &quot;Header1&quot; \* MERGEFORMAT ">
            <w:r w:rsidR="00734BBC">
              <w:t>AP</w:t>
            </w:r>
          </w:fldSimple>
          <w:r w:rsidR="00CD1FE2">
            <w:fldChar w:fldCharType="begin"/>
          </w:r>
          <w:r w:rsidR="00CD1FE2">
            <w:instrText>styleref href2</w:instrText>
          </w:r>
          <w:r w:rsidR="00CD1FE2">
            <w:fldChar w:fldCharType="separate"/>
          </w:r>
          <w:r w:rsidR="00734BBC">
            <w:rPr>
              <w:noProof/>
            </w:rPr>
            <w:t>30A</w:t>
          </w:r>
          <w:r w:rsidR="00CD1FE2">
            <w:fldChar w:fldCharType="end"/>
          </w:r>
        </w:p>
      </w:tc>
      <w:tc>
        <w:tcPr>
          <w:tcW w:w="1701" w:type="dxa"/>
          <w:tcBorders>
            <w:top w:val="single" w:sz="6" w:space="0" w:color="auto"/>
            <w:left w:val="single" w:sz="6" w:space="0" w:color="auto"/>
            <w:bottom w:val="single" w:sz="6" w:space="0" w:color="auto"/>
            <w:right w:val="single" w:sz="6" w:space="0" w:color="auto"/>
          </w:tcBorders>
        </w:tcPr>
        <w:p w14:paraId="310A8E82" w14:textId="77777777" w:rsidR="00CD1FE2" w:rsidRPr="0086622E" w:rsidRDefault="00CD1FE2">
          <w:pPr>
            <w:pStyle w:val="HeaderRegProc"/>
            <w:rPr>
              <w:i/>
              <w:iCs/>
              <w:lang w:val="fr-CH"/>
            </w:rPr>
          </w:pPr>
          <w:proofErr w:type="gramStart"/>
          <w:r>
            <w:rPr>
              <w:lang w:val="fr-FR"/>
            </w:rPr>
            <w:t>página</w:t>
          </w:r>
          <w:proofErr w:type="gramEnd"/>
          <w:r>
            <w:rPr>
              <w:lang w:val="fr-FR"/>
            </w:rPr>
            <w:t xml:space="preserve"> </w:t>
          </w:r>
          <w:r>
            <w:rPr>
              <w:rStyle w:val="PageNumber"/>
            </w:rPr>
            <w:t>5</w:t>
          </w:r>
          <w:r>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7D09E059" w14:textId="77777777" w:rsidR="00CD1FE2" w:rsidRDefault="00CD1FE2" w:rsidP="00CF2153">
          <w:pPr>
            <w:pStyle w:val="HeaderRegProc"/>
            <w:rPr>
              <w:lang w:val="fr-CH"/>
            </w:rPr>
          </w:pPr>
          <w:proofErr w:type="gramStart"/>
          <w:r>
            <w:rPr>
              <w:lang w:val="fr-CH"/>
            </w:rPr>
            <w:t>rev</w:t>
          </w:r>
          <w:proofErr w:type="gramEnd"/>
          <w:r>
            <w:rPr>
              <w:lang w:val="fr-CH"/>
            </w:rPr>
            <w:t>.</w:t>
          </w:r>
          <w:r>
            <w:t xml:space="preserve"> 5</w:t>
          </w:r>
        </w:p>
      </w:tc>
    </w:tr>
  </w:tbl>
  <w:p w14:paraId="728383EE" w14:textId="77777777" w:rsidR="00CD1FE2" w:rsidRDefault="00CD1FE2">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D1FE2" w14:paraId="21CE578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CA732BB" w14:textId="77777777" w:rsidR="00CD1FE2" w:rsidRDefault="00CD1FE2">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551F638" w14:textId="5657C89F" w:rsidR="00CD1FE2" w:rsidRDefault="009A3709">
          <w:pPr>
            <w:pStyle w:val="HeaderRegProc"/>
            <w:rPr>
              <w:lang w:val="fr-FR"/>
            </w:rPr>
          </w:pPr>
          <w:fldSimple w:instr=" DOCPROPERTY &quot;Header1&quot; \* MERGEFORMAT ">
            <w:r w:rsidR="00734BBC">
              <w:t>AP</w:t>
            </w:r>
          </w:fldSimple>
          <w:r w:rsidR="00CD1FE2">
            <w:fldChar w:fldCharType="begin"/>
          </w:r>
          <w:r w:rsidR="00CD1FE2">
            <w:instrText>styleref href2</w:instrText>
          </w:r>
          <w:r w:rsidR="00CD1FE2">
            <w:fldChar w:fldCharType="separate"/>
          </w:r>
          <w:r w:rsidR="00734BBC">
            <w:rPr>
              <w:noProof/>
            </w:rPr>
            <w:t>30A</w:t>
          </w:r>
          <w:r w:rsidR="00CD1FE2">
            <w:fldChar w:fldCharType="end"/>
          </w:r>
        </w:p>
      </w:tc>
      <w:tc>
        <w:tcPr>
          <w:tcW w:w="1701" w:type="dxa"/>
          <w:tcBorders>
            <w:top w:val="single" w:sz="6" w:space="0" w:color="auto"/>
            <w:left w:val="single" w:sz="6" w:space="0" w:color="auto"/>
            <w:bottom w:val="single" w:sz="6" w:space="0" w:color="auto"/>
            <w:right w:val="single" w:sz="6" w:space="0" w:color="auto"/>
          </w:tcBorders>
        </w:tcPr>
        <w:p w14:paraId="545F845B" w14:textId="5330FAF7" w:rsidR="00CD1FE2" w:rsidRPr="00CD1FE2" w:rsidRDefault="00CD1FE2">
          <w:pPr>
            <w:pStyle w:val="HeaderRegProc"/>
            <w:rPr>
              <w:lang w:val="fr-CH"/>
            </w:rPr>
          </w:pPr>
          <w:proofErr w:type="gramStart"/>
          <w:r>
            <w:rPr>
              <w:lang w:val="fr-FR"/>
            </w:rPr>
            <w:t>página</w:t>
          </w:r>
          <w:proofErr w:type="gramEnd"/>
          <w:r>
            <w:rPr>
              <w:lang w:val="fr-FR"/>
            </w:rPr>
            <w:t xml:space="preserve"> </w:t>
          </w:r>
          <w:r w:rsidR="009A2458">
            <w:rPr>
              <w:rStyle w:val="PageNumber"/>
            </w:rPr>
            <w:t>7</w:t>
          </w:r>
        </w:p>
      </w:tc>
      <w:tc>
        <w:tcPr>
          <w:tcW w:w="1701" w:type="dxa"/>
          <w:tcBorders>
            <w:top w:val="single" w:sz="6" w:space="0" w:color="auto"/>
            <w:left w:val="single" w:sz="6" w:space="0" w:color="auto"/>
            <w:bottom w:val="single" w:sz="6" w:space="0" w:color="auto"/>
            <w:right w:val="single" w:sz="6" w:space="0" w:color="auto"/>
          </w:tcBorders>
        </w:tcPr>
        <w:p w14:paraId="6F6571DE" w14:textId="7F41B06E" w:rsidR="00CD1FE2" w:rsidRDefault="00CD1FE2" w:rsidP="00CF2153">
          <w:pPr>
            <w:pStyle w:val="HeaderRegProc"/>
            <w:rPr>
              <w:lang w:val="fr-CH"/>
            </w:rPr>
          </w:pPr>
          <w:proofErr w:type="gramStart"/>
          <w:r>
            <w:rPr>
              <w:lang w:val="fr-CH"/>
            </w:rPr>
            <w:t>rev</w:t>
          </w:r>
          <w:proofErr w:type="gramEnd"/>
          <w:r>
            <w:rPr>
              <w:lang w:val="fr-CH"/>
            </w:rPr>
            <w:t>.</w:t>
          </w:r>
          <w:r>
            <w:t xml:space="preserve"> </w:t>
          </w:r>
          <w:r w:rsidR="009A2458">
            <w:t>-</w:t>
          </w:r>
        </w:p>
      </w:tc>
    </w:tr>
  </w:tbl>
  <w:p w14:paraId="0401601E" w14:textId="77777777" w:rsidR="00CD1FE2" w:rsidRDefault="00CD1FE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72A15" w14:paraId="1ED5502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9CE0A51" w14:textId="3EE336A3" w:rsidR="00872A15" w:rsidRDefault="00872A15">
          <w:pPr>
            <w:pStyle w:val="HeaderRegProc"/>
          </w:pPr>
          <w:r>
            <w:t>Parte A</w:t>
          </w:r>
          <w:r>
            <w:fldChar w:fldCharType="begin"/>
          </w:r>
          <w:r>
            <w:instrText>styleref href</w:instrText>
          </w:r>
          <w:r>
            <w:fldChar w:fldCharType="separate"/>
          </w:r>
          <w:r w:rsidR="00734BBC">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06E8AA9" w14:textId="6A2D7E4C" w:rsidR="00872A15" w:rsidRDefault="009A3709">
          <w:pPr>
            <w:pStyle w:val="HeaderRegProc"/>
            <w:rPr>
              <w:lang w:val="fr-FR"/>
            </w:rPr>
          </w:pPr>
          <w:fldSimple w:instr=" DOCPROPERTY &quot;Header1&quot; \* MERGEFORMAT ">
            <w:r w:rsidR="00734BBC">
              <w:t>AP</w:t>
            </w:r>
          </w:fldSimple>
          <w:r w:rsidR="00872A15">
            <w:fldChar w:fldCharType="begin"/>
          </w:r>
          <w:r w:rsidR="00872A15">
            <w:instrText>styleref href2</w:instrText>
          </w:r>
          <w:r w:rsidR="00872A15">
            <w:fldChar w:fldCharType="separate"/>
          </w:r>
          <w:r w:rsidR="00734BBC">
            <w:rPr>
              <w:noProof/>
            </w:rPr>
            <w:t>30A</w:t>
          </w:r>
          <w:r w:rsidR="00872A15">
            <w:fldChar w:fldCharType="end"/>
          </w:r>
        </w:p>
      </w:tc>
      <w:tc>
        <w:tcPr>
          <w:tcW w:w="1701" w:type="dxa"/>
          <w:tcBorders>
            <w:top w:val="single" w:sz="6" w:space="0" w:color="auto"/>
            <w:left w:val="single" w:sz="6" w:space="0" w:color="auto"/>
            <w:bottom w:val="single" w:sz="6" w:space="0" w:color="auto"/>
            <w:right w:val="single" w:sz="6" w:space="0" w:color="auto"/>
          </w:tcBorders>
        </w:tcPr>
        <w:p w14:paraId="1BCA48F1" w14:textId="713B246D" w:rsidR="00872A15" w:rsidRPr="0086622E" w:rsidRDefault="00872A15">
          <w:pPr>
            <w:pStyle w:val="HeaderRegProc"/>
            <w:rPr>
              <w:i/>
              <w:iCs/>
              <w:lang w:val="fr-CH"/>
            </w:rPr>
          </w:pPr>
          <w:proofErr w:type="gramStart"/>
          <w:r>
            <w:rPr>
              <w:lang w:val="fr-FR"/>
            </w:rPr>
            <w:t>página</w:t>
          </w:r>
          <w:proofErr w:type="gramEnd"/>
          <w:r>
            <w:rPr>
              <w:lang w:val="fr-FR"/>
            </w:rPr>
            <w:t xml:space="preserve"> </w:t>
          </w:r>
          <w:r w:rsidR="00F07DAE">
            <w:rPr>
              <w:rStyle w:val="PageNumber"/>
            </w:rPr>
            <w:fldChar w:fldCharType="begin"/>
          </w:r>
          <w:r w:rsidR="00F07DAE">
            <w:rPr>
              <w:rStyle w:val="PageNumber"/>
            </w:rPr>
            <w:instrText xml:space="preserve"> PAGE </w:instrText>
          </w:r>
          <w:r w:rsidR="00F07DAE">
            <w:rPr>
              <w:rStyle w:val="PageNumber"/>
            </w:rPr>
            <w:fldChar w:fldCharType="separate"/>
          </w:r>
          <w:r w:rsidR="00F07DAE">
            <w:rPr>
              <w:rStyle w:val="PageNumber"/>
            </w:rPr>
            <w:t>1</w:t>
          </w:r>
          <w:r w:rsidR="00F07DA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5D0D55" w14:textId="75F8215E" w:rsidR="00872A15" w:rsidRDefault="00872A15" w:rsidP="00CF2153">
          <w:pPr>
            <w:pStyle w:val="HeaderRegProc"/>
            <w:rPr>
              <w:lang w:val="fr-CH"/>
            </w:rPr>
          </w:pPr>
          <w:proofErr w:type="gramStart"/>
          <w:r>
            <w:rPr>
              <w:lang w:val="fr-CH"/>
            </w:rPr>
            <w:t>rev</w:t>
          </w:r>
          <w:proofErr w:type="gramEnd"/>
          <w:r>
            <w:rPr>
              <w:lang w:val="fr-CH"/>
            </w:rPr>
            <w:t>.</w:t>
          </w:r>
          <w:r>
            <w:t xml:space="preserve"> -</w:t>
          </w:r>
        </w:p>
      </w:tc>
    </w:tr>
  </w:tbl>
  <w:p w14:paraId="787156BD" w14:textId="77777777" w:rsidR="00872A15" w:rsidRDefault="00872A15">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72A15" w14:paraId="37975EC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C4D9F9D" w14:textId="77777777" w:rsidR="00872A15" w:rsidRDefault="00872A1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8F1120B" w14:textId="17CF1D59" w:rsidR="00872A15" w:rsidRDefault="009A3709">
          <w:pPr>
            <w:pStyle w:val="HeaderRegProc"/>
            <w:rPr>
              <w:lang w:val="fr-FR"/>
            </w:rPr>
          </w:pPr>
          <w:fldSimple w:instr=" DOCPROPERTY &quot;Header1&quot; \* MERGEFORMAT ">
            <w:r w:rsidR="00734BBC">
              <w:t>AP</w:t>
            </w:r>
          </w:fldSimple>
          <w:r w:rsidR="00872A15">
            <w:fldChar w:fldCharType="begin"/>
          </w:r>
          <w:r w:rsidR="00872A15">
            <w:instrText>styleref href2</w:instrText>
          </w:r>
          <w:r w:rsidR="00872A15">
            <w:fldChar w:fldCharType="separate"/>
          </w:r>
          <w:r w:rsidR="00734BBC">
            <w:rPr>
              <w:noProof/>
            </w:rPr>
            <w:t>30A</w:t>
          </w:r>
          <w:r w:rsidR="00872A15">
            <w:fldChar w:fldCharType="end"/>
          </w:r>
        </w:p>
      </w:tc>
      <w:tc>
        <w:tcPr>
          <w:tcW w:w="1701" w:type="dxa"/>
          <w:tcBorders>
            <w:top w:val="single" w:sz="6" w:space="0" w:color="auto"/>
            <w:left w:val="single" w:sz="6" w:space="0" w:color="auto"/>
            <w:bottom w:val="single" w:sz="6" w:space="0" w:color="auto"/>
            <w:right w:val="single" w:sz="6" w:space="0" w:color="auto"/>
          </w:tcBorders>
        </w:tcPr>
        <w:p w14:paraId="734DF8D3" w14:textId="77777777" w:rsidR="00872A15" w:rsidRPr="00CD1FE2" w:rsidRDefault="00872A15">
          <w:pPr>
            <w:pStyle w:val="HeaderRegProc"/>
            <w:rPr>
              <w:lang w:val="fr-CH"/>
            </w:rPr>
          </w:pPr>
          <w:proofErr w:type="gramStart"/>
          <w:r>
            <w:rPr>
              <w:lang w:val="fr-FR"/>
            </w:rPr>
            <w:t>página</w:t>
          </w:r>
          <w:proofErr w:type="gramEnd"/>
          <w:r>
            <w:rPr>
              <w:lang w:val="fr-FR"/>
            </w:rPr>
            <w:t xml:space="preserve"> </w:t>
          </w:r>
          <w:r>
            <w:rPr>
              <w:rStyle w:val="PageNumber"/>
            </w:rPr>
            <w:t>5</w:t>
          </w:r>
          <w:r>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114FA5C6" w14:textId="77777777" w:rsidR="00872A15" w:rsidRDefault="00872A15" w:rsidP="00CF2153">
          <w:pPr>
            <w:pStyle w:val="HeaderRegProc"/>
            <w:rPr>
              <w:lang w:val="fr-CH"/>
            </w:rPr>
          </w:pPr>
          <w:proofErr w:type="gramStart"/>
          <w:r>
            <w:rPr>
              <w:lang w:val="fr-CH"/>
            </w:rPr>
            <w:t>rev</w:t>
          </w:r>
          <w:proofErr w:type="gramEnd"/>
          <w:r>
            <w:rPr>
              <w:lang w:val="fr-CH"/>
            </w:rPr>
            <w:t>.</w:t>
          </w:r>
          <w:r>
            <w:t xml:space="preserve"> 5</w:t>
          </w:r>
        </w:p>
      </w:tc>
    </w:tr>
  </w:tbl>
  <w:p w14:paraId="451C5E9F" w14:textId="77777777" w:rsidR="00872A15" w:rsidRDefault="00872A1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72A15" w14:paraId="1700E4C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6C55614" w14:textId="0057CAB6" w:rsidR="00872A15" w:rsidRDefault="00872A15">
          <w:pPr>
            <w:pStyle w:val="HeaderRegProc"/>
          </w:pPr>
          <w:r>
            <w:t>Parte A</w:t>
          </w:r>
          <w:r>
            <w:fldChar w:fldCharType="begin"/>
          </w:r>
          <w:r>
            <w:instrText>styleref href</w:instrText>
          </w:r>
          <w:r>
            <w:fldChar w:fldCharType="separate"/>
          </w:r>
          <w:r w:rsidR="00734BBC">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B840A83" w14:textId="339A5D4A" w:rsidR="00872A15" w:rsidRDefault="009A3709">
          <w:pPr>
            <w:pStyle w:val="HeaderRegProc"/>
            <w:rPr>
              <w:lang w:val="fr-FR"/>
            </w:rPr>
          </w:pPr>
          <w:fldSimple w:instr=" DOCPROPERTY &quot;Header1&quot; \* MERGEFORMAT ">
            <w:r w:rsidR="00734BBC">
              <w:t>AP</w:t>
            </w:r>
          </w:fldSimple>
          <w:r w:rsidR="00872A15">
            <w:fldChar w:fldCharType="begin"/>
          </w:r>
          <w:r w:rsidR="00872A15">
            <w:instrText>styleref href2</w:instrText>
          </w:r>
          <w:r w:rsidR="00872A15">
            <w:fldChar w:fldCharType="separate"/>
          </w:r>
          <w:r w:rsidR="00734BBC">
            <w:rPr>
              <w:noProof/>
            </w:rPr>
            <w:t>30A</w:t>
          </w:r>
          <w:r w:rsidR="00872A15">
            <w:fldChar w:fldCharType="end"/>
          </w:r>
        </w:p>
      </w:tc>
      <w:tc>
        <w:tcPr>
          <w:tcW w:w="1701" w:type="dxa"/>
          <w:tcBorders>
            <w:top w:val="single" w:sz="6" w:space="0" w:color="auto"/>
            <w:left w:val="single" w:sz="6" w:space="0" w:color="auto"/>
            <w:bottom w:val="single" w:sz="6" w:space="0" w:color="auto"/>
            <w:right w:val="single" w:sz="6" w:space="0" w:color="auto"/>
          </w:tcBorders>
        </w:tcPr>
        <w:p w14:paraId="13944E36" w14:textId="6C38E5F7" w:rsidR="00872A15" w:rsidRPr="0086622E" w:rsidRDefault="00872A15">
          <w:pPr>
            <w:pStyle w:val="HeaderRegProc"/>
            <w:rPr>
              <w:i/>
              <w:iCs/>
              <w:lang w:val="fr-CH"/>
            </w:rPr>
          </w:pPr>
          <w:proofErr w:type="gramStart"/>
          <w:r>
            <w:rPr>
              <w:lang w:val="fr-FR"/>
            </w:rPr>
            <w:t>página</w:t>
          </w:r>
          <w:proofErr w:type="gramEnd"/>
          <w:r>
            <w:rPr>
              <w:lang w:val="fr-FR"/>
            </w:rPr>
            <w:t xml:space="preserve"> </w:t>
          </w:r>
          <w:r w:rsidR="00F07DAE">
            <w:rPr>
              <w:rStyle w:val="PageNumber"/>
            </w:rPr>
            <w:fldChar w:fldCharType="begin"/>
          </w:r>
          <w:r w:rsidR="00F07DAE">
            <w:rPr>
              <w:rStyle w:val="PageNumber"/>
            </w:rPr>
            <w:instrText xml:space="preserve"> PAGE </w:instrText>
          </w:r>
          <w:r w:rsidR="00F07DAE">
            <w:rPr>
              <w:rStyle w:val="PageNumber"/>
            </w:rPr>
            <w:fldChar w:fldCharType="separate"/>
          </w:r>
          <w:r w:rsidR="00F07DAE">
            <w:rPr>
              <w:rStyle w:val="PageNumber"/>
            </w:rPr>
            <w:t>9</w:t>
          </w:r>
          <w:r w:rsidR="00F07DA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892298" w14:textId="77777777" w:rsidR="00872A15" w:rsidRDefault="00872A15" w:rsidP="00CF2153">
          <w:pPr>
            <w:pStyle w:val="HeaderRegProc"/>
            <w:rPr>
              <w:lang w:val="fr-CH"/>
            </w:rPr>
          </w:pPr>
          <w:proofErr w:type="gramStart"/>
          <w:r>
            <w:rPr>
              <w:lang w:val="fr-CH"/>
            </w:rPr>
            <w:t>rev</w:t>
          </w:r>
          <w:proofErr w:type="gramEnd"/>
          <w:r>
            <w:rPr>
              <w:lang w:val="fr-CH"/>
            </w:rPr>
            <w:t>.</w:t>
          </w:r>
          <w:r>
            <w:t xml:space="preserve"> -</w:t>
          </w:r>
        </w:p>
      </w:tc>
    </w:tr>
  </w:tbl>
  <w:p w14:paraId="18568689" w14:textId="77777777" w:rsidR="00872A15" w:rsidRDefault="00872A15">
    <w:pP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7530643">
    <w:abstractNumId w:val="10"/>
  </w:num>
  <w:num w:numId="2" w16cid:durableId="1744599341">
    <w:abstractNumId w:val="9"/>
  </w:num>
  <w:num w:numId="3" w16cid:durableId="1021248222">
    <w:abstractNumId w:val="7"/>
  </w:num>
  <w:num w:numId="4" w16cid:durableId="1404638367">
    <w:abstractNumId w:val="6"/>
  </w:num>
  <w:num w:numId="5" w16cid:durableId="794560579">
    <w:abstractNumId w:val="5"/>
  </w:num>
  <w:num w:numId="6" w16cid:durableId="878132781">
    <w:abstractNumId w:val="4"/>
  </w:num>
  <w:num w:numId="7" w16cid:durableId="1766462850">
    <w:abstractNumId w:val="8"/>
  </w:num>
  <w:num w:numId="8" w16cid:durableId="412168042">
    <w:abstractNumId w:val="3"/>
  </w:num>
  <w:num w:numId="9" w16cid:durableId="1254510542">
    <w:abstractNumId w:val="2"/>
  </w:num>
  <w:num w:numId="10" w16cid:durableId="228686750">
    <w:abstractNumId w:val="1"/>
  </w:num>
  <w:num w:numId="11" w16cid:durableId="1337539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5406"/>
    <w:rsid w:val="00001EA8"/>
    <w:rsid w:val="00014758"/>
    <w:rsid w:val="00026805"/>
    <w:rsid w:val="000D685E"/>
    <w:rsid w:val="000E0597"/>
    <w:rsid w:val="000F1766"/>
    <w:rsid w:val="000F58C9"/>
    <w:rsid w:val="000F76F2"/>
    <w:rsid w:val="000F7CCD"/>
    <w:rsid w:val="00110DFE"/>
    <w:rsid w:val="00114421"/>
    <w:rsid w:val="00120ACB"/>
    <w:rsid w:val="00123D09"/>
    <w:rsid w:val="001255B1"/>
    <w:rsid w:val="00125FE1"/>
    <w:rsid w:val="00135179"/>
    <w:rsid w:val="00137347"/>
    <w:rsid w:val="00146F16"/>
    <w:rsid w:val="00174EFC"/>
    <w:rsid w:val="00175523"/>
    <w:rsid w:val="001819E8"/>
    <w:rsid w:val="00192AA1"/>
    <w:rsid w:val="001A64D0"/>
    <w:rsid w:val="001C4F90"/>
    <w:rsid w:val="001F7F10"/>
    <w:rsid w:val="0020338B"/>
    <w:rsid w:val="00245427"/>
    <w:rsid w:val="00271246"/>
    <w:rsid w:val="0027767D"/>
    <w:rsid w:val="00283739"/>
    <w:rsid w:val="00285D56"/>
    <w:rsid w:val="002B76B7"/>
    <w:rsid w:val="002C0337"/>
    <w:rsid w:val="002F5650"/>
    <w:rsid w:val="00343FF3"/>
    <w:rsid w:val="00377CC7"/>
    <w:rsid w:val="003848C0"/>
    <w:rsid w:val="003A28AB"/>
    <w:rsid w:val="003A3ED3"/>
    <w:rsid w:val="003B2222"/>
    <w:rsid w:val="00421A9B"/>
    <w:rsid w:val="00426E9C"/>
    <w:rsid w:val="00466EEC"/>
    <w:rsid w:val="004676EF"/>
    <w:rsid w:val="00474247"/>
    <w:rsid w:val="004847D8"/>
    <w:rsid w:val="004B4040"/>
    <w:rsid w:val="004C372C"/>
    <w:rsid w:val="004D3A2D"/>
    <w:rsid w:val="004E7CB2"/>
    <w:rsid w:val="004F3539"/>
    <w:rsid w:val="00511611"/>
    <w:rsid w:val="00551D32"/>
    <w:rsid w:val="005720CA"/>
    <w:rsid w:val="00576C93"/>
    <w:rsid w:val="005B74B6"/>
    <w:rsid w:val="005C05AD"/>
    <w:rsid w:val="005D151F"/>
    <w:rsid w:val="00622DE3"/>
    <w:rsid w:val="00652A41"/>
    <w:rsid w:val="00664ED6"/>
    <w:rsid w:val="0067205D"/>
    <w:rsid w:val="006845C9"/>
    <w:rsid w:val="00697D0B"/>
    <w:rsid w:val="006B798F"/>
    <w:rsid w:val="006F26AF"/>
    <w:rsid w:val="0071532F"/>
    <w:rsid w:val="00721395"/>
    <w:rsid w:val="00732E78"/>
    <w:rsid w:val="007343F2"/>
    <w:rsid w:val="00734BBC"/>
    <w:rsid w:val="00760F40"/>
    <w:rsid w:val="007760D4"/>
    <w:rsid w:val="007B4293"/>
    <w:rsid w:val="007B71AA"/>
    <w:rsid w:val="007C0C9C"/>
    <w:rsid w:val="007C72F6"/>
    <w:rsid w:val="007C7FB7"/>
    <w:rsid w:val="007F7D26"/>
    <w:rsid w:val="00802F5E"/>
    <w:rsid w:val="00816FF6"/>
    <w:rsid w:val="00857F08"/>
    <w:rsid w:val="0086622E"/>
    <w:rsid w:val="00872A15"/>
    <w:rsid w:val="008778C5"/>
    <w:rsid w:val="008A333F"/>
    <w:rsid w:val="008B283C"/>
    <w:rsid w:val="009059B4"/>
    <w:rsid w:val="00917FFC"/>
    <w:rsid w:val="00936D95"/>
    <w:rsid w:val="00973281"/>
    <w:rsid w:val="00995666"/>
    <w:rsid w:val="009A2458"/>
    <w:rsid w:val="009A3709"/>
    <w:rsid w:val="009B7DAD"/>
    <w:rsid w:val="009E5D56"/>
    <w:rsid w:val="009F187A"/>
    <w:rsid w:val="00A02950"/>
    <w:rsid w:val="00A258B5"/>
    <w:rsid w:val="00A26969"/>
    <w:rsid w:val="00AB3AA2"/>
    <w:rsid w:val="00AE1582"/>
    <w:rsid w:val="00AE3B5D"/>
    <w:rsid w:val="00AF7034"/>
    <w:rsid w:val="00B2383C"/>
    <w:rsid w:val="00B366EE"/>
    <w:rsid w:val="00B479C8"/>
    <w:rsid w:val="00B53052"/>
    <w:rsid w:val="00B54676"/>
    <w:rsid w:val="00B662A3"/>
    <w:rsid w:val="00B72332"/>
    <w:rsid w:val="00BA0976"/>
    <w:rsid w:val="00BB7800"/>
    <w:rsid w:val="00C06250"/>
    <w:rsid w:val="00C12744"/>
    <w:rsid w:val="00C21064"/>
    <w:rsid w:val="00C53076"/>
    <w:rsid w:val="00C61462"/>
    <w:rsid w:val="00CD1FE2"/>
    <w:rsid w:val="00CD474A"/>
    <w:rsid w:val="00CD7BCF"/>
    <w:rsid w:val="00CF2153"/>
    <w:rsid w:val="00D33E23"/>
    <w:rsid w:val="00D769F7"/>
    <w:rsid w:val="00DE6CFE"/>
    <w:rsid w:val="00DF3A07"/>
    <w:rsid w:val="00E0585E"/>
    <w:rsid w:val="00E276BD"/>
    <w:rsid w:val="00E323E5"/>
    <w:rsid w:val="00E32B69"/>
    <w:rsid w:val="00E47ED5"/>
    <w:rsid w:val="00E61E50"/>
    <w:rsid w:val="00E71DBA"/>
    <w:rsid w:val="00E91788"/>
    <w:rsid w:val="00EE10AD"/>
    <w:rsid w:val="00EE6FB6"/>
    <w:rsid w:val="00F01C29"/>
    <w:rsid w:val="00F069AF"/>
    <w:rsid w:val="00F07DAE"/>
    <w:rsid w:val="00F44B14"/>
    <w:rsid w:val="00F66CAB"/>
    <w:rsid w:val="00F90CAB"/>
    <w:rsid w:val="00FA6C5C"/>
    <w:rsid w:val="00FC08E8"/>
    <w:rsid w:val="00FC5406"/>
    <w:rsid w:val="00FC7BA1"/>
    <w:rsid w:val="00FD77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27E8165"/>
  <w15:docId w15:val="{0F350C8A-93C7-4909-B5F6-DE57792DC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rsid w:val="00474247"/>
    <w:pPr>
      <w:outlineLvl w:val="0"/>
    </w:pPr>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enumlev1Char">
    <w:name w:val="enumlev1 Char"/>
    <w:basedOn w:val="DefaultParagraphFont"/>
    <w:link w:val="enumlev1"/>
    <w:rsid w:val="00EE6FB6"/>
    <w:rPr>
      <w:sz w:val="24"/>
      <w:lang w:val="en-GB" w:eastAsia="en-US"/>
    </w:rPr>
  </w:style>
  <w:style w:type="paragraph" w:customStyle="1" w:styleId="TableNo">
    <w:name w:val="Table_No"/>
    <w:basedOn w:val="Normal"/>
    <w:next w:val="TableTitle"/>
    <w:rsid w:val="00AB3AA2"/>
    <w:pPr>
      <w:keepNext/>
      <w:spacing w:before="560" w:after="120"/>
      <w:jc w:val="center"/>
    </w:pPr>
    <w:rPr>
      <w:rFonts w:eastAsiaTheme="minorEastAsia"/>
      <w:caps/>
      <w:sz w:val="20"/>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4B4040"/>
    <w:rPr>
      <w:lang w:val="en-GB" w:eastAsia="en-US"/>
    </w:rPr>
  </w:style>
  <w:style w:type="character" w:styleId="Hyperlink">
    <w:name w:val="Hyperlink"/>
    <w:aliases w:val="CEO_Hyperlink"/>
    <w:basedOn w:val="DefaultParagraphFont"/>
    <w:rsid w:val="009A24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23-WRC23-C-0528/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555C3-1E19-45F5-A201-5AE77E013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530</TotalTime>
  <Pages>19</Pages>
  <Words>6517</Words>
  <Characters>37149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Règles de procédures /  Edición 2024</vt:lpstr>
    </vt:vector>
  </TitlesOfParts>
  <Manager>CP--107223/DD</Manager>
  <Company>ITU</Company>
  <LinksUpToDate>false</LinksUpToDate>
  <CharactersWithSpaces>43579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2024</dc:title>
  <dc:subject>AP30A</dc:subject>
  <dc:creator>Composition des Publications</dc:creator>
  <cp:keywords>16 pages</cp:keywords>
  <dc:description>Edition 2009:  13.02.2009/DD (dict. ok)</dc:description>
  <cp:lastModifiedBy>Saez Grau, Ricardo</cp:lastModifiedBy>
  <cp:revision>120</cp:revision>
  <cp:lastPrinted>2026-01-29T08:54:00Z</cp:lastPrinted>
  <dcterms:created xsi:type="dcterms:W3CDTF">2012-10-03T07:12:00Z</dcterms:created>
  <dcterms:modified xsi:type="dcterms:W3CDTF">2026-01-29T08:54:00Z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