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D4581" w14:textId="77777777" w:rsidR="00454B7A" w:rsidRPr="00DA5EF2" w:rsidRDefault="00454B7A" w:rsidP="00E957B9">
      <w:pPr>
        <w:pStyle w:val="Heading1"/>
        <w:spacing w:before="300"/>
        <w:jc w:val="center"/>
        <w:rPr>
          <w:color w:val="000000"/>
          <w:lang w:val="es-ES_tradnl"/>
        </w:rPr>
      </w:pPr>
      <w:r w:rsidRPr="00DA5EF2">
        <w:rPr>
          <w:color w:val="000000"/>
          <w:lang w:val="es-ES_tradnl"/>
        </w:rPr>
        <w:t>Reglas relativas al</w:t>
      </w:r>
    </w:p>
    <w:p w14:paraId="4C802E78" w14:textId="77777777" w:rsidR="00454B7A" w:rsidRPr="00DA5EF2" w:rsidRDefault="00454B7A" w:rsidP="00E957B9">
      <w:pPr>
        <w:pStyle w:val="Heading2"/>
        <w:spacing w:before="240"/>
        <w:jc w:val="center"/>
        <w:rPr>
          <w:lang w:val="es-ES_tradnl"/>
        </w:rPr>
      </w:pPr>
      <w:r w:rsidRPr="00DA5EF2">
        <w:rPr>
          <w:lang w:val="es-ES_tradnl"/>
        </w:rPr>
        <w:t xml:space="preserve">APÉNDICE  </w:t>
      </w:r>
      <w:r w:rsidRPr="00DA5EF2">
        <w:rPr>
          <w:rStyle w:val="href2"/>
          <w:color w:val="000000"/>
          <w:lang w:val="es-ES_tradnl"/>
        </w:rPr>
        <w:t>4</w:t>
      </w:r>
      <w:r w:rsidRPr="00DA5EF2">
        <w:rPr>
          <w:lang w:val="es-ES_tradnl"/>
        </w:rPr>
        <w:t xml:space="preserve"> al RR</w:t>
      </w:r>
    </w:p>
    <w:p w14:paraId="6C838BCE" w14:textId="77777777" w:rsidR="0041084B" w:rsidRPr="00DA5EF2" w:rsidRDefault="0041084B" w:rsidP="009D5403">
      <w:pPr>
        <w:pStyle w:val="Heading8"/>
        <w:spacing w:before="240"/>
        <w:rPr>
          <w:lang w:val="es-ES_tradnl"/>
        </w:rPr>
      </w:pPr>
      <w:r w:rsidRPr="00DA5EF2">
        <w:rPr>
          <w:lang w:val="es-ES_tradnl"/>
        </w:rPr>
        <w:t xml:space="preserve">An. </w:t>
      </w:r>
      <w:r w:rsidRPr="00DA5EF2">
        <w:rPr>
          <w:rStyle w:val="href"/>
          <w:color w:val="000000"/>
          <w:lang w:val="es-ES_tradnl"/>
        </w:rPr>
        <w:t>1</w:t>
      </w:r>
    </w:p>
    <w:p w14:paraId="0D97525A" w14:textId="405E95AA" w:rsidR="0041084B" w:rsidRPr="00DA5EF2" w:rsidRDefault="0041084B" w:rsidP="00DA5EF2">
      <w:pPr>
        <w:pStyle w:val="Heading9"/>
        <w:ind w:right="7768"/>
        <w:rPr>
          <w:color w:val="000000"/>
          <w:lang w:val="es-ES_tradnl"/>
        </w:rPr>
      </w:pPr>
      <w:r w:rsidRPr="00DA5EF2">
        <w:rPr>
          <w:color w:val="000000"/>
          <w:sz w:val="21"/>
          <w:szCs w:val="21"/>
          <w:lang w:val="es-ES_tradnl"/>
        </w:rPr>
        <w:t>PUNTO 3A1</w:t>
      </w:r>
    </w:p>
    <w:p w14:paraId="013F0B8F" w14:textId="77777777" w:rsidR="00454B7A" w:rsidRPr="00DA5EF2" w:rsidRDefault="0041084B" w:rsidP="00DA5EF2">
      <w:pPr>
        <w:rPr>
          <w:color w:val="000000"/>
          <w:lang w:val="es-ES_tradnl"/>
        </w:rPr>
      </w:pPr>
      <w:r w:rsidRPr="00DA5EF2">
        <w:rPr>
          <w:color w:val="000000"/>
          <w:lang w:val="es-ES_tradnl"/>
        </w:rPr>
        <w:t xml:space="preserve">Al presentar una notificación según el procedimiento del Artículo </w:t>
      </w:r>
      <w:r w:rsidRPr="00DA5EF2">
        <w:rPr>
          <w:rStyle w:val="Artref"/>
          <w:b/>
          <w:color w:val="000000"/>
          <w:lang w:val="es-ES_tradnl"/>
        </w:rPr>
        <w:t>11</w:t>
      </w:r>
      <w:r w:rsidRPr="00DA5EF2">
        <w:rPr>
          <w:color w:val="000000"/>
          <w:lang w:val="es-ES_tradnl"/>
        </w:rPr>
        <w:t xml:space="preserve">, las administraciones deben facilitar información sobre el distintivo de llamada u otra identificación utilizada, tal como piden los números </w:t>
      </w:r>
      <w:r w:rsidRPr="00DA5EF2">
        <w:rPr>
          <w:rStyle w:val="Artref"/>
          <w:b/>
          <w:color w:val="000000"/>
          <w:lang w:val="es-ES_tradnl"/>
        </w:rPr>
        <w:t>19.7</w:t>
      </w:r>
      <w:r w:rsidRPr="00DA5EF2">
        <w:rPr>
          <w:color w:val="000000"/>
          <w:lang w:val="es-ES_tradnl"/>
        </w:rPr>
        <w:t xml:space="preserve"> a </w:t>
      </w:r>
      <w:r w:rsidRPr="00DA5EF2">
        <w:rPr>
          <w:rStyle w:val="Artref"/>
          <w:b/>
          <w:color w:val="000000"/>
          <w:lang w:val="es-ES_tradnl"/>
        </w:rPr>
        <w:t>19.9</w:t>
      </w:r>
      <w:r w:rsidRPr="00DA5EF2">
        <w:rPr>
          <w:rStyle w:val="Artref"/>
          <w:color w:val="000000"/>
          <w:lang w:val="es-ES_tradnl"/>
        </w:rPr>
        <w:t xml:space="preserve"> y </w:t>
      </w:r>
      <w:r w:rsidRPr="00DA5EF2">
        <w:rPr>
          <w:rStyle w:val="Artref"/>
          <w:b/>
          <w:color w:val="000000"/>
          <w:lang w:val="es-ES_tradnl"/>
        </w:rPr>
        <w:t>19.29</w:t>
      </w:r>
      <w:r w:rsidRPr="00DA5EF2">
        <w:rPr>
          <w:color w:val="000000"/>
          <w:lang w:val="es-ES_tradnl"/>
        </w:rPr>
        <w:t xml:space="preserve">. Teniendo presente los diversos acuerdos especiales alcanzados entre administraciones en relación con la notificación de asignaciones de frecuencia, la Junta encargó a la Oficina que no efectúe un control sistemático de los distintivos de llamada mencionados en el número </w:t>
      </w:r>
      <w:r w:rsidRPr="00DA5EF2">
        <w:rPr>
          <w:b/>
          <w:color w:val="000000"/>
          <w:lang w:val="es-ES_tradnl"/>
        </w:rPr>
        <w:t xml:space="preserve">19.29 </w:t>
      </w:r>
      <w:r w:rsidRPr="00DA5EF2">
        <w:rPr>
          <w:color w:val="000000"/>
          <w:lang w:val="es-ES_tradnl"/>
        </w:rPr>
        <w:t>durante la validación y examen de las notificaciones. No obstante, si se detecta una falta de conformidad del distintivo de llamada con las series de llamada internacional, ha de informarse de ello a la administración notificante.</w:t>
      </w:r>
    </w:p>
    <w:p w14:paraId="7A613A70" w14:textId="3DA1BB10" w:rsidR="009E482D" w:rsidRDefault="009E482D" w:rsidP="009E482D">
      <w:pPr>
        <w:rPr>
          <w:lang w:val="es-ES_tradnl"/>
        </w:rPr>
      </w:pPr>
    </w:p>
    <w:p w14:paraId="009226F0" w14:textId="5618541A" w:rsidR="00421C25" w:rsidRDefault="00421C25" w:rsidP="009E482D">
      <w:pPr>
        <w:rPr>
          <w:lang w:val="es-ES_tradnl"/>
        </w:rPr>
      </w:pPr>
    </w:p>
    <w:p w14:paraId="7E5F51C8" w14:textId="77777777" w:rsidR="00421C25" w:rsidRDefault="00421C25" w:rsidP="009E482D">
      <w:pPr>
        <w:rPr>
          <w:lang w:val="es-ES_tradnl"/>
        </w:rPr>
      </w:pPr>
    </w:p>
    <w:p w14:paraId="36431EFE" w14:textId="05297BAD" w:rsidR="00860408" w:rsidRDefault="00860408" w:rsidP="009E482D">
      <w:pPr>
        <w:rPr>
          <w:lang w:val="es-ES_tradnl"/>
        </w:rPr>
      </w:pPr>
    </w:p>
    <w:p w14:paraId="237A5791" w14:textId="2133188E" w:rsidR="00860408" w:rsidRDefault="00860408" w:rsidP="009E482D">
      <w:pPr>
        <w:rPr>
          <w:lang w:val="es-ES_tradnl"/>
        </w:rPr>
      </w:pPr>
    </w:p>
    <w:p w14:paraId="4041C858" w14:textId="22E2FA88" w:rsidR="00860408" w:rsidRDefault="00860408" w:rsidP="009E482D">
      <w:pPr>
        <w:rPr>
          <w:lang w:val="es-ES_tradnl"/>
        </w:rPr>
      </w:pPr>
    </w:p>
    <w:p w14:paraId="78B1ECF3" w14:textId="7AE03EDB" w:rsidR="00860408" w:rsidRDefault="00860408" w:rsidP="009E482D">
      <w:pPr>
        <w:rPr>
          <w:lang w:val="es-ES_tradnl"/>
        </w:rPr>
      </w:pPr>
    </w:p>
    <w:p w14:paraId="07D8507F" w14:textId="4924BD58" w:rsidR="00860408" w:rsidRDefault="00860408" w:rsidP="009E482D">
      <w:pPr>
        <w:rPr>
          <w:lang w:val="es-ES_tradnl"/>
        </w:rPr>
      </w:pPr>
    </w:p>
    <w:p w14:paraId="2180C11F" w14:textId="00CF6DC7" w:rsidR="00860408" w:rsidRDefault="00860408" w:rsidP="009E482D">
      <w:pPr>
        <w:rPr>
          <w:lang w:val="es-ES_tradnl"/>
        </w:rPr>
      </w:pPr>
    </w:p>
    <w:p w14:paraId="331928CA" w14:textId="77777777" w:rsidR="003C6A7A" w:rsidRDefault="003C6A7A" w:rsidP="009E482D">
      <w:pPr>
        <w:rPr>
          <w:lang w:val="es-ES_tradnl"/>
        </w:rPr>
        <w:sectPr w:rsidR="003C6A7A" w:rsidSect="00E957B9">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36327D37" w14:textId="77777777" w:rsidR="00421C25" w:rsidRPr="00DA5EF2" w:rsidRDefault="00421C25" w:rsidP="00421C25">
      <w:pPr>
        <w:pStyle w:val="Heading8"/>
        <w:rPr>
          <w:color w:val="000000"/>
          <w:lang w:val="es-ES_tradnl"/>
        </w:rPr>
      </w:pPr>
      <w:r w:rsidRPr="00DA5EF2">
        <w:rPr>
          <w:color w:val="000000"/>
          <w:lang w:val="es-ES_tradnl"/>
        </w:rPr>
        <w:lastRenderedPageBreak/>
        <w:t>An. 2</w:t>
      </w:r>
    </w:p>
    <w:p w14:paraId="5D0A6644" w14:textId="794550A3" w:rsidR="00860408" w:rsidRDefault="00860408" w:rsidP="00421C25">
      <w:pPr>
        <w:spacing w:before="0" w:line="120" w:lineRule="auto"/>
        <w:rPr>
          <w:lang w:val="es-ES_tradnl"/>
        </w:rPr>
      </w:pPr>
    </w:p>
    <w:p w14:paraId="1567F03C" w14:textId="7491CD9C" w:rsidR="003C6A7A" w:rsidRPr="003C6A7A" w:rsidRDefault="003C6A7A" w:rsidP="003C6A7A">
      <w:pPr>
        <w:pStyle w:val="Heading9"/>
        <w:ind w:right="7768"/>
        <w:rPr>
          <w:color w:val="000000"/>
          <w:lang w:val="es-ES"/>
        </w:rPr>
      </w:pPr>
      <w:r w:rsidRPr="003C6A7A">
        <w:rPr>
          <w:color w:val="000000"/>
          <w:lang w:val="es-ES"/>
        </w:rPr>
        <w:t>A.4.b.7.d.1</w:t>
      </w:r>
    </w:p>
    <w:p w14:paraId="7DC5B1CB" w14:textId="6C7F35F2" w:rsidR="003C6A7A" w:rsidRPr="003C6A7A" w:rsidRDefault="003C6A7A" w:rsidP="003C6A7A">
      <w:pPr>
        <w:rPr>
          <w:lang w:val="es-ES"/>
        </w:rPr>
      </w:pPr>
      <w:r w:rsidRPr="003C6A7A">
        <w:rPr>
          <w:lang w:val="es-ES"/>
        </w:rPr>
        <w:t>La Junta observó que la Conferencia Mundial de Radiocomunicaciones (Dubái, 2023) había modificado el punto A.14.c.4, es decir, el tipo de máscara, entre uno de los siguientes tipos: (ángulo de la zona de exclusión respecto de la Tierra, diferencia de longitud, latitud) o (acimut del satélite, elevación del satélite, latitud), para eliminar la referencia al ángulo de la zona de exclusión respecto del satélite y la diferencia de términos de longitud, latitud – la denominada máscara X</w:t>
      </w:r>
      <w:r w:rsidRPr="003C6A7A">
        <w:rPr>
          <w:lang w:val="es-ES"/>
        </w:rPr>
        <w:noBreakHyphen/>
        <w:t>DeltaLongitud. El cambio se realizó tras la publicación de la Recomendación UIT</w:t>
      </w:r>
      <w:r w:rsidR="00FD7AC5">
        <w:rPr>
          <w:lang w:val="es-ES"/>
        </w:rPr>
        <w:noBreakHyphen/>
      </w:r>
      <w:r w:rsidRPr="003C6A7A">
        <w:rPr>
          <w:lang w:val="es-ES"/>
        </w:rPr>
        <w:t>R S.1503-4, que había eliminado ese tipo de máscara.</w:t>
      </w:r>
    </w:p>
    <w:p w14:paraId="2442C098" w14:textId="77777777" w:rsidR="003C6A7A" w:rsidRPr="003C6A7A" w:rsidRDefault="003C6A7A" w:rsidP="003C6A7A">
      <w:pPr>
        <w:rPr>
          <w:i/>
          <w:iCs/>
          <w:lang w:val="es-ES"/>
        </w:rPr>
      </w:pPr>
      <w:r w:rsidRPr="003C6A7A">
        <w:rPr>
          <w:lang w:val="es-ES"/>
        </w:rPr>
        <w:t xml:space="preserve">La Junta observó además que la Recomendación UIT-R S.1503-4 también limita el tipo de zona de exclusión a sólo la zona de exclusión respecto de la Tierra al eliminar el método de la zona de exclusión respecto del satélite; sin embargo, no se ha introducido cambio alguno en la descripción del punto A.4.b.7.d.1 – </w:t>
      </w:r>
      <w:r w:rsidRPr="003C6A7A">
        <w:rPr>
          <w:i/>
          <w:iCs/>
          <w:lang w:val="es-ES"/>
        </w:rPr>
        <w:t>tipo de zona (basada en el ángulo topocéntrico, en un ángulo cuyo vértice sea el satélite apropiado para establecer la zona de exclusión).</w:t>
      </w:r>
    </w:p>
    <w:p w14:paraId="6E9EC1A4" w14:textId="2FE346D6" w:rsidR="0097241E" w:rsidRPr="009D5403" w:rsidRDefault="003C6A7A" w:rsidP="003C6A7A">
      <w:pPr>
        <w:rPr>
          <w:color w:val="000000"/>
          <w:lang w:val="es-ES_tradnl"/>
        </w:rPr>
      </w:pPr>
      <w:r w:rsidRPr="003C6A7A">
        <w:rPr>
          <w:lang w:val="es-ES"/>
        </w:rPr>
        <w:t>Dado que sólo puede utilizarse un tipo de zona de exclusión, que será la referida a la Tierra (es decir, basada en el ángulo topocéntrico), la Junta decidió que las Administraciones notificantes no están obligadas a presentar los datos del punto A.4.b.7.d.1 y que la Oficina aplicará el método de la zona de exclusión respecto de la Tierra a todas las notificaciones recibidas a partir del 1 de enero de 2025.</w:t>
      </w:r>
    </w:p>
    <w:p w14:paraId="5B77932D" w14:textId="77777777" w:rsidR="009E482D" w:rsidRPr="00DA5EF2" w:rsidRDefault="009E482D" w:rsidP="009E482D">
      <w:pPr>
        <w:pStyle w:val="Heading9"/>
        <w:rPr>
          <w:lang w:val="es-ES_tradnl"/>
        </w:rPr>
      </w:pPr>
      <w:r w:rsidRPr="00DA5EF2">
        <w:rPr>
          <w:lang w:val="es-ES_tradnl"/>
        </w:rPr>
        <w:t xml:space="preserve">A.18 </w:t>
      </w:r>
      <w:r w:rsidRPr="00DA5EF2">
        <w:rPr>
          <w:i/>
          <w:iCs/>
          <w:lang w:val="es-ES_tradnl"/>
        </w:rPr>
        <w:t>a)</w:t>
      </w:r>
    </w:p>
    <w:p w14:paraId="15561405" w14:textId="66263A72" w:rsidR="00454B7A" w:rsidRPr="00DA5EF2" w:rsidRDefault="00454B7A">
      <w:pPr>
        <w:rPr>
          <w:color w:val="000000"/>
          <w:lang w:val="es-ES_tradnl"/>
        </w:rPr>
      </w:pPr>
      <w:r w:rsidRPr="00DA5EF2">
        <w:rPr>
          <w:color w:val="000000"/>
          <w:lang w:val="es-ES_tradnl"/>
        </w:rPr>
        <w:t>La Junta señaló que la descripción del Anexo</w:t>
      </w:r>
      <w:r w:rsidR="00E9776E">
        <w:rPr>
          <w:color w:val="000000"/>
          <w:lang w:val="es-ES_tradnl"/>
        </w:rPr>
        <w:t> </w:t>
      </w:r>
      <w:r w:rsidRPr="00DA5EF2">
        <w:rPr>
          <w:color w:val="000000"/>
          <w:lang w:val="es-ES_tradnl"/>
        </w:rPr>
        <w:t xml:space="preserve">2 del Apéndice </w:t>
      </w:r>
      <w:r w:rsidRPr="00DA5EF2">
        <w:rPr>
          <w:rStyle w:val="Appref"/>
          <w:b/>
          <w:color w:val="000000"/>
          <w:lang w:val="es-ES_tradnl"/>
        </w:rPr>
        <w:t>4</w:t>
      </w:r>
      <w:r w:rsidRPr="00DA5EF2">
        <w:rPr>
          <w:color w:val="000000"/>
          <w:lang w:val="es-ES_tradnl"/>
        </w:rPr>
        <w:t xml:space="preserve">, § A.18 </w:t>
      </w:r>
      <w:r w:rsidRPr="00DA5EF2">
        <w:rPr>
          <w:i/>
          <w:iCs/>
          <w:color w:val="000000"/>
          <w:lang w:val="es-ES_tradnl"/>
        </w:rPr>
        <w:t>a)</w:t>
      </w:r>
      <w:r w:rsidRPr="00DA5EF2">
        <w:rPr>
          <w:color w:val="000000"/>
          <w:lang w:val="es-ES_tradnl"/>
        </w:rPr>
        <w:t xml:space="preserve"> corresponde al compromiso que se requiere de una administración en el caso de la posible comunicación de estaciones terrenas de aeronave del servicio móvil aeronáutico por satélite secundario con estaciones espaciales del servicio fijo por satélite, de conformidad con el número </w:t>
      </w:r>
      <w:r w:rsidRPr="00DA5EF2">
        <w:rPr>
          <w:rStyle w:val="Artref"/>
          <w:b/>
          <w:color w:val="000000"/>
          <w:lang w:val="es-ES_tradnl"/>
        </w:rPr>
        <w:t>5.504A</w:t>
      </w:r>
      <w:r w:rsidRPr="00DA5EF2">
        <w:rPr>
          <w:color w:val="000000"/>
          <w:lang w:val="es-ES_tradnl"/>
        </w:rPr>
        <w:t>. La Junta señaló además que este dato es obligatorio en el caso de presentación de una notificación o coordinación de una red de satélite geoestacionaria o no geoestacionaria.</w:t>
      </w:r>
    </w:p>
    <w:p w14:paraId="224AC229" w14:textId="68435770" w:rsidR="00454B7A" w:rsidRPr="00DA5EF2" w:rsidRDefault="00454B7A">
      <w:pPr>
        <w:rPr>
          <w:color w:val="000000"/>
          <w:lang w:val="es-ES_tradnl"/>
        </w:rPr>
      </w:pPr>
      <w:r w:rsidRPr="00DA5EF2">
        <w:rPr>
          <w:color w:val="000000"/>
          <w:lang w:val="es-ES_tradnl"/>
        </w:rPr>
        <w:t xml:space="preserve">No obstante, este dato se requiere también para verificar según el número </w:t>
      </w:r>
      <w:r w:rsidRPr="00DA5EF2">
        <w:rPr>
          <w:rStyle w:val="Artref"/>
          <w:b/>
          <w:color w:val="000000"/>
          <w:lang w:val="es-ES_tradnl"/>
        </w:rPr>
        <w:t>11.31</w:t>
      </w:r>
      <w:r w:rsidRPr="00DA5EF2">
        <w:rPr>
          <w:color w:val="000000"/>
          <w:lang w:val="es-ES_tradnl"/>
        </w:rPr>
        <w:t xml:space="preserve"> el cumplimiento respecto al número</w:t>
      </w:r>
      <w:r w:rsidR="00E9776E">
        <w:rPr>
          <w:color w:val="000000"/>
          <w:lang w:val="es-ES_tradnl"/>
        </w:rPr>
        <w:t> </w:t>
      </w:r>
      <w:r w:rsidRPr="00DA5EF2">
        <w:rPr>
          <w:rStyle w:val="Artref"/>
          <w:b/>
          <w:color w:val="000000"/>
          <w:lang w:val="es-ES_tradnl"/>
        </w:rPr>
        <w:t>5.504A</w:t>
      </w:r>
      <w:r w:rsidRPr="00DA5EF2">
        <w:rPr>
          <w:color w:val="000000"/>
          <w:lang w:val="es-ES_tradnl"/>
        </w:rPr>
        <w:t xml:space="preserve"> de la notificación de una estación terrena de aeronave del servicio móvil aeronáutico por satélite secundario que se comunica con una estación espacial del servicio fijo por satélite. Este requisito se omitió probablemente por descuido en la CMR</w:t>
      </w:r>
      <w:r w:rsidRPr="00DA5EF2">
        <w:rPr>
          <w:color w:val="000000"/>
          <w:lang w:val="es-ES_tradnl"/>
        </w:rPr>
        <w:noBreakHyphen/>
        <w:t>03.</w:t>
      </w:r>
    </w:p>
    <w:p w14:paraId="2907572B" w14:textId="6DDE6C0E" w:rsidR="00454B7A" w:rsidRDefault="00454B7A" w:rsidP="00DF1284">
      <w:pPr>
        <w:spacing w:after="120"/>
        <w:rPr>
          <w:color w:val="000000"/>
          <w:lang w:val="es-ES_tradnl"/>
        </w:rPr>
      </w:pPr>
      <w:r w:rsidRPr="00DA5EF2">
        <w:rPr>
          <w:color w:val="000000"/>
          <w:lang w:val="es-ES_tradnl"/>
        </w:rPr>
        <w:t>Para corregir esta incongruencia, la Junta decidió que se pida a las administraciones que faciliten, además de las características pertinentes enumeradas en el Apéndice</w:t>
      </w:r>
      <w:r w:rsidR="00E9776E">
        <w:rPr>
          <w:color w:val="000000"/>
          <w:lang w:val="es-ES_tradnl"/>
        </w:rPr>
        <w:t> </w:t>
      </w:r>
      <w:r w:rsidRPr="00DA5EF2">
        <w:rPr>
          <w:rStyle w:val="Appref"/>
          <w:b/>
          <w:color w:val="000000"/>
          <w:lang w:val="es-ES_tradnl"/>
        </w:rPr>
        <w:t>4</w:t>
      </w:r>
      <w:r w:rsidRPr="00DA5EF2">
        <w:rPr>
          <w:color w:val="000000"/>
          <w:lang w:val="es-ES_tradnl"/>
        </w:rPr>
        <w:t>, el dato descrito en el § A.18</w:t>
      </w:r>
      <w:r w:rsidR="00421FBF">
        <w:rPr>
          <w:color w:val="000000"/>
          <w:lang w:val="es-ES_tradnl"/>
        </w:rPr>
        <w:t> </w:t>
      </w:r>
      <w:r w:rsidRPr="00DA5EF2">
        <w:rPr>
          <w:i/>
          <w:iCs/>
          <w:color w:val="000000"/>
          <w:lang w:val="es-ES_tradnl"/>
        </w:rPr>
        <w:t>a)</w:t>
      </w:r>
      <w:r w:rsidRPr="00DA5EF2">
        <w:rPr>
          <w:color w:val="000000"/>
          <w:lang w:val="es-ES_tradnl"/>
        </w:rPr>
        <w:t xml:space="preserve"> del Anexo</w:t>
      </w:r>
      <w:r w:rsidR="00421FBF">
        <w:rPr>
          <w:color w:val="000000"/>
          <w:lang w:val="es-ES_tradnl"/>
        </w:rPr>
        <w:t> </w:t>
      </w:r>
      <w:r w:rsidRPr="00DA5EF2">
        <w:rPr>
          <w:color w:val="000000"/>
          <w:lang w:val="es-ES_tradnl"/>
        </w:rPr>
        <w:t>2 del Apéndice</w:t>
      </w:r>
      <w:r w:rsidR="00421FBF">
        <w:rPr>
          <w:color w:val="000000"/>
          <w:lang w:val="es-ES_tradnl"/>
        </w:rPr>
        <w:t> </w:t>
      </w:r>
      <w:r w:rsidRPr="00DA5EF2">
        <w:rPr>
          <w:rStyle w:val="Appref"/>
          <w:b/>
          <w:color w:val="000000"/>
          <w:lang w:val="es-ES_tradnl"/>
        </w:rPr>
        <w:t>4</w:t>
      </w:r>
      <w:r w:rsidRPr="00DA5EF2">
        <w:rPr>
          <w:color w:val="000000"/>
          <w:lang w:val="es-ES_tradnl"/>
        </w:rPr>
        <w:t xml:space="preserve">, al presentar la información de notificación de una estación terrena de aeronave del servicio móvil aeronáutico por satélite secundario que se comunica con una estación espacial del servicio fijo por satélite, conforme al número </w:t>
      </w:r>
      <w:r w:rsidRPr="00DA5EF2">
        <w:rPr>
          <w:rStyle w:val="Artref"/>
          <w:b/>
          <w:color w:val="000000"/>
          <w:lang w:val="es-ES_tradnl"/>
        </w:rPr>
        <w:t>5.504A</w:t>
      </w:r>
      <w:r w:rsidRPr="00DA5EF2">
        <w:rPr>
          <w:color w:val="000000"/>
          <w:lang w:val="es-ES_tradnl"/>
        </w:rPr>
        <w:t>. La Oficina tendrá en cuenta posteriormente este dato del §</w:t>
      </w:r>
      <w:r w:rsidR="00421FBF">
        <w:rPr>
          <w:color w:val="000000"/>
          <w:lang w:val="es-ES_tradnl"/>
        </w:rPr>
        <w:t> </w:t>
      </w:r>
      <w:r w:rsidRPr="00DA5EF2">
        <w:rPr>
          <w:color w:val="000000"/>
          <w:lang w:val="es-ES_tradnl"/>
        </w:rPr>
        <w:t>A.18</w:t>
      </w:r>
      <w:r w:rsidR="00421FBF">
        <w:rPr>
          <w:color w:val="000000"/>
          <w:lang w:val="es-ES_tradnl"/>
        </w:rPr>
        <w:t> </w:t>
      </w:r>
      <w:r w:rsidRPr="00DA5EF2">
        <w:rPr>
          <w:i/>
          <w:iCs/>
          <w:color w:val="000000"/>
          <w:lang w:val="es-ES_tradnl"/>
        </w:rPr>
        <w:t>a)</w:t>
      </w:r>
      <w:r w:rsidRPr="00DA5EF2">
        <w:rPr>
          <w:color w:val="000000"/>
          <w:lang w:val="es-ES_tradnl"/>
        </w:rPr>
        <w:t xml:space="preserve"> en su verificación de la integridad de los datos presentados.</w:t>
      </w:r>
    </w:p>
    <w:p w14:paraId="6888734E" w14:textId="36240395" w:rsidR="003C6A7A" w:rsidRDefault="003C6A7A" w:rsidP="00DF1284">
      <w:pPr>
        <w:spacing w:after="120"/>
        <w:rPr>
          <w:color w:val="000000"/>
          <w:lang w:val="es-ES_tradnl"/>
        </w:rPr>
      </w:pPr>
      <w:r>
        <w:rPr>
          <w:color w:val="000000"/>
          <w:lang w:val="es-ES_tradnl"/>
        </w:rPr>
        <w:br w:type="page"/>
      </w:r>
    </w:p>
    <w:p w14:paraId="1BA3845A" w14:textId="762E9D9A" w:rsidR="006C6EED" w:rsidRPr="006C6EED" w:rsidRDefault="006C6EED" w:rsidP="006C6EED">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lang w:val="es-ES"/>
        </w:rPr>
      </w:pPr>
      <w:r w:rsidRPr="006C6EED">
        <w:rPr>
          <w:rFonts w:asciiTheme="majorBidi" w:hAnsiTheme="majorBidi" w:cstheme="majorBidi"/>
          <w:b/>
          <w:color w:val="000000"/>
          <w:szCs w:val="22"/>
          <w:lang w:val="es-ES"/>
        </w:rPr>
        <w:lastRenderedPageBreak/>
        <w:t>A.27.b</w:t>
      </w:r>
    </w:p>
    <w:p w14:paraId="18794D31" w14:textId="77777777" w:rsidR="006C6EED" w:rsidRPr="006C6EED" w:rsidRDefault="006C6EED" w:rsidP="006C6EED">
      <w:pPr>
        <w:rPr>
          <w:bCs/>
          <w:lang w:val="es-ES"/>
        </w:rPr>
      </w:pPr>
      <w:r w:rsidRPr="006C6EED">
        <w:rPr>
          <w:lang w:val="es-ES"/>
        </w:rPr>
        <w:t>La Junta observó que el punto A.27.b del Anexo 2 al Apéndice </w:t>
      </w:r>
      <w:r w:rsidRPr="006C6EED">
        <w:rPr>
          <w:b/>
          <w:bCs/>
          <w:lang w:val="es-ES"/>
        </w:rPr>
        <w:t>4</w:t>
      </w:r>
      <w:r w:rsidRPr="006C6EED">
        <w:rPr>
          <w:lang w:val="es-ES"/>
        </w:rPr>
        <w:t xml:space="preserve"> sólo es necesario para las estaciones espaciales en la órbita de los satélites no geoestacionarios (no OSG) presentadas de conformidad con la Resolución </w:t>
      </w:r>
      <w:r w:rsidRPr="006C6EED">
        <w:rPr>
          <w:b/>
          <w:bCs/>
          <w:lang w:val="es-ES"/>
        </w:rPr>
        <w:t>679 (CMR</w:t>
      </w:r>
      <w:r w:rsidRPr="006C6EED">
        <w:rPr>
          <w:b/>
          <w:bCs/>
          <w:lang w:val="es-ES"/>
        </w:rPr>
        <w:noBreakHyphen/>
        <w:t>23)</w:t>
      </w:r>
      <w:r w:rsidRPr="006C6EED">
        <w:rPr>
          <w:bCs/>
          <w:lang w:val="es-ES"/>
        </w:rPr>
        <w:t>.</w:t>
      </w:r>
    </w:p>
    <w:p w14:paraId="0093021C" w14:textId="77777777" w:rsidR="006C6EED" w:rsidRPr="006C6EED" w:rsidRDefault="006C6EED" w:rsidP="006C6EED">
      <w:pPr>
        <w:rPr>
          <w:bCs/>
          <w:lang w:val="es-ES"/>
        </w:rPr>
      </w:pPr>
      <w:r w:rsidRPr="006C6EED">
        <w:rPr>
          <w:bCs/>
          <w:lang w:val="es-ES"/>
        </w:rPr>
        <w:t xml:space="preserve">La descripción del punto mantiene similitudes con el texto del </w:t>
      </w:r>
      <w:r w:rsidRPr="006C6EED">
        <w:rPr>
          <w:bCs/>
          <w:i/>
          <w:iCs/>
          <w:lang w:val="es-ES"/>
        </w:rPr>
        <w:t>resuelve además</w:t>
      </w:r>
      <w:r w:rsidRPr="006C6EED">
        <w:rPr>
          <w:bCs/>
          <w:lang w:val="es-ES"/>
        </w:rPr>
        <w:t> 2 de la Resolución </w:t>
      </w:r>
      <w:r w:rsidRPr="006C6EED">
        <w:rPr>
          <w:b/>
          <w:lang w:val="es-ES"/>
        </w:rPr>
        <w:t>679 (CMR</w:t>
      </w:r>
      <w:r w:rsidRPr="006C6EED">
        <w:rPr>
          <w:b/>
          <w:lang w:val="es-ES"/>
        </w:rPr>
        <w:noBreakHyphen/>
        <w:t>23)</w:t>
      </w:r>
      <w:r w:rsidRPr="006C6EED">
        <w:rPr>
          <w:bCs/>
          <w:lang w:val="es-ES"/>
        </w:rPr>
        <w:t>; sin embargo:</w:t>
      </w:r>
    </w:p>
    <w:p w14:paraId="22C48D38" w14:textId="77777777" w:rsidR="006C6EED" w:rsidRPr="00A805B4" w:rsidRDefault="006C6EED" w:rsidP="006C6EED">
      <w:pPr>
        <w:pStyle w:val="enumlev1"/>
        <w:rPr>
          <w:lang w:val="es-ES"/>
        </w:rPr>
      </w:pPr>
      <w:bookmarkStart w:id="0" w:name="_Hlk172732156"/>
      <w:r w:rsidRPr="00A805B4">
        <w:rPr>
          <w:lang w:val="es-ES"/>
        </w:rPr>
        <w:t>–</w:t>
      </w:r>
      <w:r w:rsidRPr="00A805B4">
        <w:rPr>
          <w:lang w:val="es-ES"/>
        </w:rPr>
        <w:tab/>
      </w:r>
      <w:bookmarkEnd w:id="0"/>
      <w:r w:rsidRPr="00A805B4">
        <w:rPr>
          <w:lang w:val="es-ES"/>
        </w:rPr>
        <w:t xml:space="preserve">el </w:t>
      </w:r>
      <w:r w:rsidRPr="00A805B4">
        <w:rPr>
          <w:i/>
          <w:iCs/>
          <w:lang w:val="es-ES"/>
        </w:rPr>
        <w:t>resuelve</w:t>
      </w:r>
      <w:r w:rsidRPr="00A805B4">
        <w:rPr>
          <w:lang w:val="es-ES"/>
        </w:rPr>
        <w:t xml:space="preserve"> </w:t>
      </w:r>
      <w:r w:rsidRPr="00081B40">
        <w:rPr>
          <w:i/>
          <w:iCs/>
          <w:lang w:val="es-ES"/>
        </w:rPr>
        <w:t>además</w:t>
      </w:r>
      <w:r>
        <w:rPr>
          <w:lang w:val="es-ES"/>
        </w:rPr>
        <w:t> </w:t>
      </w:r>
      <w:r w:rsidRPr="00A805B4">
        <w:rPr>
          <w:lang w:val="es-ES"/>
        </w:rPr>
        <w:t>2 se refiere a un compromiso firme, objetivo, ejecutable, cuantificable y de carácter obligatorio; y</w:t>
      </w:r>
    </w:p>
    <w:p w14:paraId="696A54CA" w14:textId="77777777" w:rsidR="006C6EED" w:rsidRPr="00A805B4" w:rsidRDefault="006C6EED" w:rsidP="006C6EED">
      <w:pPr>
        <w:pStyle w:val="enumlev1"/>
        <w:rPr>
          <w:lang w:val="es-ES"/>
        </w:rPr>
      </w:pPr>
      <w:r w:rsidRPr="00A805B4">
        <w:rPr>
          <w:lang w:val="es-ES"/>
        </w:rPr>
        <w:t>–</w:t>
      </w:r>
      <w:r w:rsidRPr="00A805B4">
        <w:rPr>
          <w:lang w:val="es-ES"/>
        </w:rPr>
        <w:tab/>
        <w:t xml:space="preserve">el compromiso en virtud del </w:t>
      </w:r>
      <w:r w:rsidRPr="00A805B4">
        <w:rPr>
          <w:i/>
          <w:iCs/>
          <w:lang w:val="es-ES"/>
        </w:rPr>
        <w:t>resuelve</w:t>
      </w:r>
      <w:r w:rsidRPr="00A805B4">
        <w:rPr>
          <w:lang w:val="es-ES"/>
        </w:rPr>
        <w:t xml:space="preserve"> </w:t>
      </w:r>
      <w:r w:rsidRPr="00081B40">
        <w:rPr>
          <w:i/>
          <w:iCs/>
          <w:lang w:val="es-ES"/>
        </w:rPr>
        <w:t>además</w:t>
      </w:r>
      <w:r>
        <w:rPr>
          <w:lang w:val="es-ES"/>
        </w:rPr>
        <w:t> </w:t>
      </w:r>
      <w:r w:rsidRPr="00A805B4">
        <w:rPr>
          <w:lang w:val="es-ES"/>
        </w:rPr>
        <w:t>2 no sólo deberá proporcionarlo la administración notificante del sistema no OSG, sino también la administración notificante de la red en la órbita de los satélites geoestacionarios (OSG) receptora en la banda de frecuencias de 27,5-30</w:t>
      </w:r>
      <w:r>
        <w:rPr>
          <w:lang w:val="es-ES"/>
        </w:rPr>
        <w:t> GHz</w:t>
      </w:r>
      <w:r w:rsidRPr="00A805B4">
        <w:rPr>
          <w:lang w:val="es-ES"/>
        </w:rPr>
        <w:t>.</w:t>
      </w:r>
    </w:p>
    <w:p w14:paraId="1EAA4CB0" w14:textId="2F43BE9C" w:rsidR="003C6A7A" w:rsidRDefault="006C6EED" w:rsidP="006C6EED">
      <w:pPr>
        <w:spacing w:after="120"/>
        <w:rPr>
          <w:bCs/>
          <w:lang w:val="es-ES"/>
        </w:rPr>
      </w:pPr>
      <w:r w:rsidRPr="006C6EED">
        <w:rPr>
          <w:bCs/>
          <w:lang w:val="es-ES"/>
        </w:rPr>
        <w:t>En consecuencia, la Junta llegó a la conclusión de que el compromiso mencionado en el punto A.27.b deberá proporcionarlo la administración notificante de la red OSG o sistema no OSG que recibe en la banda de frecuencias 27,5-30 GHz. La Junta recordó que las administraciones notificantes que proporcionen un compromiso con arreglo al punto A.27.b deberán garantizar que dicho compromiso sea firme, objetivo, ejecutable, cuantificable y de carácter obligatorio.</w:t>
      </w:r>
    </w:p>
    <w:p w14:paraId="0AF9A50F" w14:textId="32CFC79B" w:rsidR="006C6EED" w:rsidRPr="00F82642" w:rsidRDefault="006C6EED" w:rsidP="006C6EED">
      <w:pPr>
        <w:keepNext/>
        <w:keepLines/>
        <w:pBdr>
          <w:top w:val="single" w:sz="6" w:space="1" w:color="auto"/>
          <w:left w:val="single" w:sz="6" w:space="1" w:color="auto"/>
          <w:bottom w:val="single" w:sz="6" w:space="1" w:color="auto"/>
          <w:right w:val="single" w:sz="6" w:space="18"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A.33.a, A.36.c</w:t>
      </w:r>
    </w:p>
    <w:p w14:paraId="37F25AF5" w14:textId="77777777" w:rsidR="006C6EED" w:rsidRPr="006C6EED" w:rsidRDefault="006C6EED" w:rsidP="006C6EED">
      <w:pPr>
        <w:rPr>
          <w:lang w:val="es-ES"/>
        </w:rPr>
      </w:pPr>
      <w:r w:rsidRPr="006C6EED">
        <w:rPr>
          <w:lang w:val="es-ES"/>
        </w:rPr>
        <w:t xml:space="preserve">La Junta observó que se menciona un «punto de contacto» en las Resoluciones </w:t>
      </w:r>
      <w:r w:rsidRPr="006C6EED">
        <w:rPr>
          <w:b/>
          <w:bCs/>
          <w:lang w:val="es-ES"/>
        </w:rPr>
        <w:t>121 (CMR</w:t>
      </w:r>
      <w:r w:rsidRPr="006C6EED">
        <w:rPr>
          <w:b/>
          <w:bCs/>
          <w:lang w:val="es-ES"/>
        </w:rPr>
        <w:noBreakHyphen/>
        <w:t>23)</w:t>
      </w:r>
      <w:r w:rsidRPr="006C6EED">
        <w:rPr>
          <w:lang w:val="es-ES"/>
        </w:rPr>
        <w:t xml:space="preserve">, </w:t>
      </w:r>
      <w:r w:rsidRPr="006C6EED">
        <w:rPr>
          <w:b/>
          <w:bCs/>
          <w:lang w:val="es-ES"/>
        </w:rPr>
        <w:t>123 (CMR</w:t>
      </w:r>
      <w:r w:rsidRPr="006C6EED">
        <w:rPr>
          <w:b/>
          <w:bCs/>
          <w:lang w:val="es-ES"/>
        </w:rPr>
        <w:noBreakHyphen/>
        <w:t>23)</w:t>
      </w:r>
      <w:r w:rsidRPr="006C6EED">
        <w:rPr>
          <w:lang w:val="es-ES"/>
        </w:rPr>
        <w:t xml:space="preserve">, </w:t>
      </w:r>
      <w:r w:rsidRPr="006C6EED">
        <w:rPr>
          <w:b/>
          <w:bCs/>
          <w:lang w:val="es-ES"/>
        </w:rPr>
        <w:t>156 (Rev.CMR</w:t>
      </w:r>
      <w:r w:rsidRPr="006C6EED">
        <w:rPr>
          <w:b/>
          <w:bCs/>
          <w:lang w:val="es-ES"/>
        </w:rPr>
        <w:noBreakHyphen/>
        <w:t>23)</w:t>
      </w:r>
      <w:r w:rsidRPr="006C6EED">
        <w:rPr>
          <w:lang w:val="es-ES"/>
        </w:rPr>
        <w:t xml:space="preserve">, </w:t>
      </w:r>
      <w:r w:rsidRPr="006C6EED">
        <w:rPr>
          <w:b/>
          <w:bCs/>
          <w:lang w:val="es-ES"/>
        </w:rPr>
        <w:t>169 (Rev.CMR</w:t>
      </w:r>
      <w:r w:rsidRPr="006C6EED">
        <w:rPr>
          <w:b/>
          <w:bCs/>
          <w:lang w:val="es-ES"/>
        </w:rPr>
        <w:noBreakHyphen/>
        <w:t>23)</w:t>
      </w:r>
      <w:r w:rsidRPr="006C6EED">
        <w:rPr>
          <w:lang w:val="es-ES"/>
        </w:rPr>
        <w:t xml:space="preserve">, </w:t>
      </w:r>
      <w:r w:rsidRPr="006C6EED">
        <w:rPr>
          <w:b/>
          <w:bCs/>
          <w:lang w:val="es-ES"/>
        </w:rPr>
        <w:t>679 (CMR</w:t>
      </w:r>
      <w:r w:rsidRPr="006C6EED">
        <w:rPr>
          <w:b/>
          <w:bCs/>
          <w:lang w:val="es-ES"/>
        </w:rPr>
        <w:noBreakHyphen/>
        <w:t>23)</w:t>
      </w:r>
      <w:r w:rsidRPr="006C6EED">
        <w:rPr>
          <w:lang w:val="es-ES"/>
        </w:rPr>
        <w:t xml:space="preserve"> y </w:t>
      </w:r>
      <w:r w:rsidRPr="006C6EED">
        <w:rPr>
          <w:b/>
          <w:bCs/>
          <w:lang w:val="es-ES"/>
        </w:rPr>
        <w:t>902 (Rev.CMR</w:t>
      </w:r>
      <w:r w:rsidRPr="006C6EED">
        <w:rPr>
          <w:b/>
          <w:bCs/>
          <w:lang w:val="es-ES"/>
        </w:rPr>
        <w:noBreakHyphen/>
        <w:t>23)</w:t>
      </w:r>
      <w:r w:rsidRPr="006C6EED">
        <w:rPr>
          <w:lang w:val="es-ES"/>
        </w:rPr>
        <w:t xml:space="preserve"> para diversos fines.</w:t>
      </w:r>
    </w:p>
    <w:p w14:paraId="679837C0" w14:textId="77777777" w:rsidR="006C6EED" w:rsidRPr="006C6EED" w:rsidRDefault="006C6EED" w:rsidP="006C6EED">
      <w:pPr>
        <w:rPr>
          <w:lang w:val="es-ES"/>
        </w:rPr>
      </w:pPr>
      <w:r w:rsidRPr="006C6EED">
        <w:rPr>
          <w:lang w:val="es-ES"/>
        </w:rPr>
        <w:t xml:space="preserve">Sin embargo, sólo en dos casos, es decir, con respecto al </w:t>
      </w:r>
      <w:r w:rsidRPr="006C6EED">
        <w:rPr>
          <w:i/>
          <w:iCs/>
          <w:lang w:val="es-ES"/>
        </w:rPr>
        <w:t>resuelve </w:t>
      </w:r>
      <w:r w:rsidRPr="006C6EED">
        <w:rPr>
          <w:lang w:val="es-ES"/>
        </w:rPr>
        <w:t>10.5 de la Resolución </w:t>
      </w:r>
      <w:r w:rsidRPr="006C6EED">
        <w:rPr>
          <w:b/>
          <w:bCs/>
          <w:lang w:val="es-ES"/>
        </w:rPr>
        <w:t>121 (CMR</w:t>
      </w:r>
      <w:r w:rsidRPr="006C6EED">
        <w:rPr>
          <w:b/>
          <w:bCs/>
          <w:lang w:val="es-ES"/>
        </w:rPr>
        <w:noBreakHyphen/>
        <w:t>23)</w:t>
      </w:r>
      <w:r w:rsidRPr="006C6EED">
        <w:rPr>
          <w:lang w:val="es-ES"/>
        </w:rPr>
        <w:t xml:space="preserve"> y al </w:t>
      </w:r>
      <w:r w:rsidRPr="006C6EED">
        <w:rPr>
          <w:i/>
          <w:iCs/>
          <w:lang w:val="es-ES"/>
        </w:rPr>
        <w:t>resuelve </w:t>
      </w:r>
      <w:r w:rsidRPr="006C6EED">
        <w:rPr>
          <w:lang w:val="es-ES"/>
        </w:rPr>
        <w:t>7.5 de la Resolución </w:t>
      </w:r>
      <w:r w:rsidRPr="006C6EED">
        <w:rPr>
          <w:b/>
          <w:bCs/>
          <w:lang w:val="es-ES"/>
        </w:rPr>
        <w:t>123 (CMR</w:t>
      </w:r>
      <w:r w:rsidRPr="006C6EED">
        <w:rPr>
          <w:b/>
          <w:bCs/>
          <w:lang w:val="es-ES"/>
        </w:rPr>
        <w:noBreakHyphen/>
        <w:t>23)</w:t>
      </w:r>
      <w:r w:rsidRPr="006C6EED">
        <w:rPr>
          <w:lang w:val="es-ES"/>
        </w:rPr>
        <w:t>, se incluye información sobre el punto de contacto como requisito en el Anexo 2 al Apéndice </w:t>
      </w:r>
      <w:r w:rsidRPr="006C6EED">
        <w:rPr>
          <w:b/>
          <w:bCs/>
          <w:lang w:val="es-ES"/>
        </w:rPr>
        <w:t>4</w:t>
      </w:r>
      <w:r w:rsidRPr="006C6EED">
        <w:rPr>
          <w:lang w:val="es-ES"/>
        </w:rPr>
        <w:t xml:space="preserve"> (véanse los puntos obligatorios A.33.a y A.36.c). En ambos casos, se indica que el punto de contacto está destinado a localizar cualquier caso sospechoso de interferencia inaceptable y que éste debe responder inmediatamente a tales solicitudes.</w:t>
      </w:r>
    </w:p>
    <w:p w14:paraId="559FBD48" w14:textId="77777777" w:rsidR="006C6EED" w:rsidRPr="006C6EED" w:rsidRDefault="006C6EED" w:rsidP="006C6EED">
      <w:pPr>
        <w:rPr>
          <w:lang w:val="es-ES"/>
        </w:rPr>
      </w:pPr>
      <w:r w:rsidRPr="006C6EED">
        <w:rPr>
          <w:lang w:val="es-ES"/>
        </w:rPr>
        <w:t xml:space="preserve">En las Resoluciones </w:t>
      </w:r>
      <w:r w:rsidRPr="006C6EED">
        <w:rPr>
          <w:b/>
          <w:bCs/>
          <w:lang w:val="es-ES"/>
        </w:rPr>
        <w:t>169 (Rev.CMR</w:t>
      </w:r>
      <w:r w:rsidRPr="006C6EED">
        <w:rPr>
          <w:b/>
          <w:bCs/>
          <w:lang w:val="es-ES"/>
        </w:rPr>
        <w:noBreakHyphen/>
        <w:t>23)</w:t>
      </w:r>
      <w:r w:rsidRPr="006C6EED">
        <w:rPr>
          <w:lang w:val="es-ES"/>
        </w:rPr>
        <w:t xml:space="preserve"> y </w:t>
      </w:r>
      <w:r w:rsidRPr="006C6EED">
        <w:rPr>
          <w:b/>
          <w:bCs/>
          <w:lang w:val="es-ES"/>
        </w:rPr>
        <w:t>679 (CMR</w:t>
      </w:r>
      <w:r w:rsidRPr="006C6EED">
        <w:rPr>
          <w:b/>
          <w:bCs/>
          <w:lang w:val="es-ES"/>
        </w:rPr>
        <w:noBreakHyphen/>
        <w:t xml:space="preserve">23) </w:t>
      </w:r>
      <w:r w:rsidRPr="006C6EED">
        <w:rPr>
          <w:lang w:val="es-ES"/>
        </w:rPr>
        <w:t>se hacen descripciones similares: se requiere un punto de contacto con el fin de localizar cualquier caso sospechoso de interferencia inaceptable y responder inmediatamente a dichos casos; sin embargo, en el Anexo 2 al Apéndice </w:t>
      </w:r>
      <w:r w:rsidRPr="006C6EED">
        <w:rPr>
          <w:b/>
          <w:bCs/>
          <w:lang w:val="es-ES"/>
        </w:rPr>
        <w:t>4</w:t>
      </w:r>
      <w:r w:rsidRPr="006C6EED">
        <w:rPr>
          <w:lang w:val="es-ES"/>
        </w:rPr>
        <w:t xml:space="preserve"> no se incluye ningún requisito para proporcionar información sobre el punto de contacto. Habida cuenta de la similitud de los requisitos relativos al punto de contacto descritos en todas esas Resoluciones, la Junta decidió que el punto A.36.c del Anexo 2 al Apéndice </w:t>
      </w:r>
      <w:r w:rsidRPr="006C6EED">
        <w:rPr>
          <w:b/>
          <w:bCs/>
          <w:lang w:val="es-ES"/>
        </w:rPr>
        <w:t>4</w:t>
      </w:r>
      <w:r w:rsidRPr="006C6EED">
        <w:rPr>
          <w:lang w:val="es-ES"/>
        </w:rPr>
        <w:t xml:space="preserve"> también se requiere para las notificaciones de estaciones terrenas en movimiento con arreglo a las Resoluciones </w:t>
      </w:r>
      <w:r w:rsidRPr="006C6EED">
        <w:rPr>
          <w:b/>
          <w:bCs/>
          <w:lang w:val="es-ES"/>
        </w:rPr>
        <w:t>169 (Rev.CMR</w:t>
      </w:r>
      <w:r w:rsidRPr="006C6EED">
        <w:rPr>
          <w:b/>
          <w:bCs/>
          <w:lang w:val="es-ES"/>
        </w:rPr>
        <w:noBreakHyphen/>
        <w:t>23)</w:t>
      </w:r>
      <w:r w:rsidRPr="006C6EED">
        <w:rPr>
          <w:lang w:val="es-ES"/>
        </w:rPr>
        <w:t xml:space="preserve"> y </w:t>
      </w:r>
      <w:r w:rsidRPr="006C6EED">
        <w:rPr>
          <w:b/>
          <w:bCs/>
          <w:lang w:val="es-ES"/>
        </w:rPr>
        <w:t>679 (CMR</w:t>
      </w:r>
      <w:r w:rsidRPr="006C6EED">
        <w:rPr>
          <w:b/>
          <w:bCs/>
          <w:lang w:val="es-ES"/>
        </w:rPr>
        <w:noBreakHyphen/>
        <w:t>23)</w:t>
      </w:r>
      <w:r w:rsidRPr="006C6EED">
        <w:rPr>
          <w:lang w:val="es-ES"/>
        </w:rPr>
        <w:t>.</w:t>
      </w:r>
    </w:p>
    <w:p w14:paraId="08E435E6" w14:textId="0196B55A" w:rsidR="00421C25" w:rsidRPr="006C6EED" w:rsidRDefault="006C6EED" w:rsidP="00DF1284">
      <w:pPr>
        <w:spacing w:after="120"/>
        <w:rPr>
          <w:color w:val="000000"/>
          <w:lang w:val="es-ES"/>
        </w:rPr>
      </w:pPr>
      <w:r w:rsidRPr="006C6EED">
        <w:rPr>
          <w:lang w:val="es-ES"/>
        </w:rPr>
        <w:t>La información que habrá de facilitarse sobre el punto de contacto consistirá en el nombre de la persona o entidad y la dirección de correo electrónico, el número de teléfono y la dirección. La información se registrará junto con otros datos del Apéndice </w:t>
      </w:r>
      <w:r w:rsidRPr="006C6EED">
        <w:rPr>
          <w:b/>
          <w:bCs/>
          <w:lang w:val="es-ES"/>
        </w:rPr>
        <w:t>4</w:t>
      </w:r>
      <w:r w:rsidRPr="006C6EED">
        <w:rPr>
          <w:lang w:val="es-ES"/>
        </w:rPr>
        <w:t xml:space="preserve"> mediante el programa informático de registro de la Oficina. La Junta observó que la Resolución </w:t>
      </w:r>
      <w:r w:rsidRPr="006C6EED">
        <w:rPr>
          <w:b/>
          <w:bCs/>
          <w:lang w:val="es-ES"/>
        </w:rPr>
        <w:t>121 (CMR</w:t>
      </w:r>
      <w:r w:rsidRPr="006C6EED">
        <w:rPr>
          <w:b/>
          <w:bCs/>
          <w:lang w:val="es-ES"/>
        </w:rPr>
        <w:noBreakHyphen/>
        <w:t>23)</w:t>
      </w:r>
      <w:r w:rsidRPr="006C6EED">
        <w:rPr>
          <w:lang w:val="es-ES"/>
        </w:rPr>
        <w:t xml:space="preserve"> menciona que la información debe publicarse en una Sección especial, mientras que la Resolución </w:t>
      </w:r>
      <w:r w:rsidRPr="006C6EED">
        <w:rPr>
          <w:b/>
          <w:bCs/>
          <w:lang w:val="es-ES"/>
        </w:rPr>
        <w:t>123 (CMR</w:t>
      </w:r>
      <w:r w:rsidRPr="006C6EED">
        <w:rPr>
          <w:b/>
          <w:bCs/>
          <w:lang w:val="es-ES"/>
        </w:rPr>
        <w:noBreakHyphen/>
        <w:t xml:space="preserve">23) </w:t>
      </w:r>
      <w:r w:rsidRPr="006C6EED">
        <w:rPr>
          <w:lang w:val="es-ES"/>
        </w:rPr>
        <w:t xml:space="preserve">no hace mención </w:t>
      </w:r>
      <w:proofErr w:type="gramStart"/>
      <w:r w:rsidRPr="006C6EED">
        <w:rPr>
          <w:lang w:val="es-ES"/>
        </w:rPr>
        <w:t>al</w:t>
      </w:r>
      <w:proofErr w:type="gramEnd"/>
      <w:r w:rsidRPr="006C6EED">
        <w:rPr>
          <w:lang w:val="es-ES"/>
        </w:rPr>
        <w:t xml:space="preserve"> respecto.</w:t>
      </w:r>
    </w:p>
    <w:p w14:paraId="6A015F09" w14:textId="77777777" w:rsidR="00421C25" w:rsidRPr="006C6EED" w:rsidRDefault="00421C25" w:rsidP="00DF1284">
      <w:pPr>
        <w:spacing w:after="120"/>
        <w:rPr>
          <w:color w:val="000000"/>
          <w:lang w:val="es-ES"/>
        </w:rPr>
        <w:sectPr w:rsidR="00421C25" w:rsidRPr="006C6EED" w:rsidSect="00DF1284">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19A7CFE9" w14:textId="6729C3D2" w:rsidR="00DF1284" w:rsidRPr="006C6EED" w:rsidRDefault="006C6EED" w:rsidP="00DF1284">
      <w:pPr>
        <w:spacing w:after="120"/>
        <w:rPr>
          <w:color w:val="000000"/>
          <w:lang w:val="es-ES"/>
        </w:rPr>
      </w:pPr>
      <w:r w:rsidRPr="006C6EED">
        <w:rPr>
          <w:lang w:val="es-ES"/>
        </w:rPr>
        <w:lastRenderedPageBreak/>
        <w:t>No obstante, la Junta entiende que toda la información exigida en el Apéndice </w:t>
      </w:r>
      <w:r w:rsidRPr="006C6EED">
        <w:rPr>
          <w:b/>
          <w:bCs/>
          <w:lang w:val="es-ES"/>
        </w:rPr>
        <w:t>4</w:t>
      </w:r>
      <w:r w:rsidRPr="006C6EED">
        <w:rPr>
          <w:lang w:val="es-ES"/>
        </w:rPr>
        <w:t xml:space="preserve"> debe publicarse, aunque no necesariamente en una Sección Especial. Por consiguiente, la Junta llegó a la conclusión de que la Oficina deberá incluir la información en una base de datos de referencia, ponerla a disposición en su sitio web y publicarla junto con otros datos del Apéndice </w:t>
      </w:r>
      <w:r w:rsidRPr="006C6EED">
        <w:rPr>
          <w:b/>
          <w:bCs/>
          <w:lang w:val="es-ES"/>
        </w:rPr>
        <w:t>4</w:t>
      </w:r>
      <w:r w:rsidRPr="006C6EED">
        <w:rPr>
          <w:lang w:val="es-ES"/>
        </w:rPr>
        <w:t xml:space="preserve"> en una Sección especial pertinente o en una parte de su Circular Internacional de Información sobre Frecuencias (BR IFIC).</w:t>
      </w:r>
    </w:p>
    <w:p w14:paraId="55DFD577" w14:textId="77777777" w:rsidR="00454B7A" w:rsidRPr="00DA5EF2" w:rsidRDefault="00454B7A" w:rsidP="0041084B">
      <w:pPr>
        <w:pStyle w:val="Heading9"/>
        <w:spacing w:before="0"/>
        <w:rPr>
          <w:color w:val="000000"/>
          <w:lang w:val="es-ES_tradnl"/>
        </w:rPr>
      </w:pPr>
      <w:r w:rsidRPr="00DA5EF2">
        <w:rPr>
          <w:color w:val="000000"/>
          <w:lang w:val="es-ES_tradnl"/>
        </w:rPr>
        <w:t xml:space="preserve">B.4 </w:t>
      </w:r>
      <w:r w:rsidRPr="00DA5EF2">
        <w:rPr>
          <w:i/>
          <w:color w:val="000000"/>
          <w:lang w:val="es-ES_tradnl"/>
        </w:rPr>
        <w:t>a)</w:t>
      </w:r>
    </w:p>
    <w:p w14:paraId="070D1C70" w14:textId="77777777" w:rsidR="00454B7A" w:rsidRPr="00DA5EF2" w:rsidRDefault="00454B7A">
      <w:pPr>
        <w:rPr>
          <w:color w:val="000000"/>
          <w:lang w:val="es-ES_tradnl"/>
        </w:rPr>
      </w:pPr>
      <w:r w:rsidRPr="00DA5EF2">
        <w:rPr>
          <w:color w:val="000000"/>
          <w:lang w:val="es-ES_tradnl"/>
        </w:rPr>
        <w:t xml:space="preserve">Al someter una notificación según los procedimientos aplicables de los Artículos </w:t>
      </w:r>
      <w:r w:rsidRPr="00DA5EF2">
        <w:rPr>
          <w:rStyle w:val="Artref"/>
          <w:b/>
          <w:color w:val="000000"/>
          <w:lang w:val="es-ES_tradnl"/>
        </w:rPr>
        <w:t>9</w:t>
      </w:r>
      <w:r w:rsidRPr="00DA5EF2">
        <w:rPr>
          <w:color w:val="000000"/>
          <w:lang w:val="es-ES_tradnl"/>
        </w:rPr>
        <w:t xml:space="preserve"> u </w:t>
      </w:r>
      <w:r w:rsidRPr="00DA5EF2">
        <w:rPr>
          <w:rStyle w:val="Artref"/>
          <w:b/>
          <w:color w:val="000000"/>
          <w:lang w:val="es-ES_tradnl"/>
        </w:rPr>
        <w:t>11</w:t>
      </w:r>
      <w:r w:rsidRPr="00DA5EF2">
        <w:rPr>
          <w:color w:val="000000"/>
          <w:lang w:val="es-ES_tradnl"/>
        </w:rPr>
        <w:t>, y para describir mejor la distribución de la densidad de flujo de potencia en la superficie de la Tierra resultante de las emisiones de una estación espacial a bordo de un satélite no OSG en órbita circular, puede facilitarse la información opcional siguiente, junto con los otros datos del Apéndice </w:t>
      </w:r>
      <w:r w:rsidRPr="00DA5EF2">
        <w:rPr>
          <w:rStyle w:val="Artref"/>
          <w:b/>
          <w:color w:val="000000"/>
          <w:lang w:val="es-ES_tradnl"/>
        </w:rPr>
        <w:t>4</w:t>
      </w:r>
      <w:r w:rsidRPr="00DA5EF2">
        <w:rPr>
          <w:color w:val="000000"/>
          <w:lang w:val="es-ES_tradnl"/>
        </w:rPr>
        <w:t>:</w:t>
      </w:r>
    </w:p>
    <w:p w14:paraId="1D089EE0" w14:textId="77777777" w:rsidR="00454B7A" w:rsidRPr="00DA5EF2" w:rsidRDefault="00454B7A">
      <w:pPr>
        <w:spacing w:line="240" w:lineRule="atLeast"/>
        <w:rPr>
          <w:color w:val="000000"/>
          <w:lang w:val="es-ES_tradnl"/>
        </w:rPr>
      </w:pPr>
      <w:r w:rsidRPr="00DA5EF2">
        <w:rPr>
          <w:b/>
          <w:color w:val="000000"/>
          <w:lang w:val="es-ES_tradnl"/>
        </w:rPr>
        <w:t xml:space="preserve">Apéndice </w:t>
      </w:r>
      <w:r w:rsidRPr="00DA5EF2">
        <w:rPr>
          <w:rStyle w:val="Artref"/>
          <w:b/>
          <w:color w:val="000000"/>
          <w:lang w:val="es-ES_tradnl"/>
        </w:rPr>
        <w:t>4</w:t>
      </w:r>
      <w:r w:rsidRPr="00DA5EF2">
        <w:rPr>
          <w:b/>
          <w:color w:val="000000"/>
          <w:lang w:val="es-ES_tradnl"/>
        </w:rPr>
        <w:t xml:space="preserve">, Anexo 2A, § B.4 </w:t>
      </w:r>
      <w:r w:rsidRPr="00DA5EF2">
        <w:rPr>
          <w:b/>
          <w:i/>
          <w:color w:val="000000"/>
          <w:lang w:val="es-ES_tradnl"/>
        </w:rPr>
        <w:t>a)</w:t>
      </w:r>
      <w:r w:rsidRPr="00DA5EF2">
        <w:rPr>
          <w:color w:val="000000"/>
          <w:lang w:val="es-ES_tradnl"/>
        </w:rPr>
        <w:t xml:space="preserve"> (características de la antena de la estación espacial no OSG)</w:t>
      </w:r>
    </w:p>
    <w:p w14:paraId="6EC3B4F7" w14:textId="77777777" w:rsidR="00454B7A" w:rsidRPr="00DA5EF2" w:rsidRDefault="00454B7A">
      <w:pPr>
        <w:spacing w:line="240" w:lineRule="atLeast"/>
        <w:rPr>
          <w:color w:val="000000"/>
          <w:lang w:val="es-ES_tradnl"/>
        </w:rPr>
      </w:pPr>
      <w:r w:rsidRPr="00DA5EF2">
        <w:rPr>
          <w:color w:val="000000"/>
          <w:lang w:val="es-ES_tradnl"/>
        </w:rPr>
        <w:t>1</w:t>
      </w:r>
      <w:r w:rsidRPr="00DA5EF2">
        <w:rPr>
          <w:color w:val="000000"/>
          <w:lang w:val="es-ES_tradnl"/>
        </w:rPr>
        <w:tab/>
        <w:t xml:space="preserve">Además de la información que actualmente figura en el Apéndice </w:t>
      </w:r>
      <w:r w:rsidRPr="00DA5EF2">
        <w:rPr>
          <w:rStyle w:val="Artref"/>
          <w:b/>
          <w:color w:val="000000"/>
          <w:lang w:val="es-ES_tradnl"/>
        </w:rPr>
        <w:t>4</w:t>
      </w:r>
      <w:r w:rsidRPr="00DA5EF2">
        <w:rPr>
          <w:color w:val="000000"/>
          <w:lang w:val="es-ES_tradnl"/>
        </w:rPr>
        <w:t xml:space="preserve"> y que ha de facilitarse según este punto, indíquense, si procede:</w:t>
      </w:r>
    </w:p>
    <w:p w14:paraId="65024D68" w14:textId="1933BA57" w:rsidR="00454B7A" w:rsidRPr="00DA5EF2" w:rsidRDefault="00454B7A" w:rsidP="00DA5EF2">
      <w:pPr>
        <w:pStyle w:val="enumlev1"/>
        <w:ind w:left="0" w:firstLine="0"/>
        <w:rPr>
          <w:color w:val="000000"/>
          <w:lang w:val="es-ES_tradnl"/>
        </w:rPr>
      </w:pPr>
      <w:r w:rsidRPr="00DA5EF2">
        <w:rPr>
          <w:color w:val="000000"/>
          <w:lang w:val="es-ES_tradnl"/>
        </w:rPr>
        <w:t>1.1</w:t>
      </w:r>
      <w:r w:rsidRPr="00DA5EF2">
        <w:rPr>
          <w:color w:val="000000"/>
          <w:lang w:val="es-ES_tradnl"/>
        </w:rPr>
        <w:tab/>
        <w:t>En el caso de una estación espacial transmisora a bordo de un satélite no OSG en una órbita circular que quiere comunicar con estaciones terrenas a través de una antena trans</w:t>
      </w:r>
      <w:r w:rsidR="00DA5EF2" w:rsidRPr="00DA5EF2">
        <w:rPr>
          <w:color w:val="000000"/>
          <w:lang w:val="es-ES_tradnl"/>
        </w:rPr>
        <w:softHyphen/>
      </w:r>
      <w:r w:rsidRPr="00DA5EF2">
        <w:rPr>
          <w:color w:val="000000"/>
          <w:lang w:val="es-ES_tradnl"/>
        </w:rPr>
        <w:t xml:space="preserve">misora apuntada en una dirección fija respecto al satélite, la ganancia isótropa máxima (dBi) y los contornos de ganancia representados en una proyección radial desde el satélite al plano perpendicular al eje que va del centro de la Tierra al satélite. Los contornos de ganancia de la antena de la estación espacial se trazarán mediante líneas de igual ganancia isótropa para al menos </w:t>
      </w:r>
      <w:r w:rsidR="00FD7AC5" w:rsidRPr="00FD7AC5">
        <w:rPr>
          <w:color w:val="000000"/>
          <w:lang w:val="es-ES_tradnl"/>
        </w:rPr>
        <w:t>−</w:t>
      </w:r>
      <w:r w:rsidRPr="00DA5EF2">
        <w:rPr>
          <w:color w:val="000000"/>
          <w:lang w:val="es-ES_tradnl"/>
        </w:rPr>
        <w:t xml:space="preserve">2, </w:t>
      </w:r>
      <w:r w:rsidR="00FD7AC5" w:rsidRPr="00FD7AC5">
        <w:rPr>
          <w:color w:val="000000"/>
          <w:lang w:val="es-ES_tradnl"/>
        </w:rPr>
        <w:t>−</w:t>
      </w:r>
      <w:r w:rsidRPr="00DA5EF2">
        <w:rPr>
          <w:color w:val="000000"/>
          <w:lang w:val="es-ES_tradnl"/>
        </w:rPr>
        <w:t xml:space="preserve">4, </w:t>
      </w:r>
      <w:r w:rsidR="00FD7AC5" w:rsidRPr="00FD7AC5">
        <w:rPr>
          <w:color w:val="000000"/>
          <w:lang w:val="es-ES_tradnl"/>
        </w:rPr>
        <w:t>−</w:t>
      </w:r>
      <w:r w:rsidRPr="00DA5EF2">
        <w:rPr>
          <w:color w:val="000000"/>
          <w:lang w:val="es-ES_tradnl"/>
        </w:rPr>
        <w:t xml:space="preserve">6, </w:t>
      </w:r>
      <w:r w:rsidR="00FD7AC5" w:rsidRPr="00FD7AC5">
        <w:rPr>
          <w:color w:val="000000"/>
          <w:lang w:val="es-ES_tradnl"/>
        </w:rPr>
        <w:t>−</w:t>
      </w:r>
      <w:r w:rsidRPr="00DA5EF2">
        <w:rPr>
          <w:color w:val="000000"/>
          <w:lang w:val="es-ES_tradnl"/>
        </w:rPr>
        <w:t xml:space="preserve">10 y </w:t>
      </w:r>
      <w:r w:rsidR="00FD7AC5" w:rsidRPr="00FD7AC5">
        <w:rPr>
          <w:color w:val="000000"/>
          <w:lang w:val="es-ES_tradnl"/>
        </w:rPr>
        <w:t>−</w:t>
      </w:r>
      <w:r w:rsidRPr="00DA5EF2">
        <w:rPr>
          <w:color w:val="000000"/>
          <w:lang w:val="es-ES_tradnl"/>
        </w:rPr>
        <w:t>20 dB y a los intervalos de 10 dB posteriores, según sea necesario, en relación a la ganancia máxima de la antena, cuando cualquiera de estos contornos esté situado total o parcialmente dentro del límite de visibilidad de la Tierra desde el satélite no</w:t>
      </w:r>
      <w:r w:rsidR="00E9776E">
        <w:rPr>
          <w:color w:val="000000"/>
          <w:lang w:val="es-ES_tradnl"/>
        </w:rPr>
        <w:t> </w:t>
      </w:r>
      <w:r w:rsidRPr="00DA5EF2">
        <w:rPr>
          <w:color w:val="000000"/>
          <w:lang w:val="es-ES_tradnl"/>
        </w:rPr>
        <w:t>OSG en cuestión.</w:t>
      </w:r>
    </w:p>
    <w:p w14:paraId="24607B5B" w14:textId="77777777" w:rsidR="00454B7A" w:rsidRPr="00DA5EF2" w:rsidRDefault="00454B7A" w:rsidP="00DA5EF2">
      <w:pPr>
        <w:rPr>
          <w:lang w:val="es-ES_tradnl"/>
        </w:rPr>
      </w:pPr>
      <w:r w:rsidRPr="00DA5EF2">
        <w:rPr>
          <w:lang w:val="es-ES_tradnl"/>
        </w:rPr>
        <w:t>1.2</w:t>
      </w:r>
      <w:r w:rsidRPr="00DA5EF2">
        <w:rPr>
          <w:lang w:val="es-ES_tradnl"/>
        </w:rPr>
        <w:tab/>
        <w:t>En el caso de una estación espacial a bordo de un satélite no OSG en una órbita circular en el que se utiliza un haz orientable, los datos sobre las características de radiación de la antena siguientes:</w:t>
      </w:r>
    </w:p>
    <w:p w14:paraId="24690D1B" w14:textId="77777777" w:rsidR="00454B7A" w:rsidRPr="00DA5EF2" w:rsidRDefault="00454B7A">
      <w:pPr>
        <w:pStyle w:val="enumlev1"/>
        <w:rPr>
          <w:color w:val="000000"/>
          <w:lang w:val="es-ES_tradnl"/>
        </w:rPr>
      </w:pPr>
      <w:r w:rsidRPr="00DA5EF2">
        <w:rPr>
          <w:color w:val="000000"/>
          <w:lang w:val="es-ES_tradnl"/>
        </w:rPr>
        <w:t>–</w:t>
      </w:r>
      <w:r w:rsidRPr="00DA5EF2">
        <w:rPr>
          <w:color w:val="000000"/>
          <w:lang w:val="es-ES_tradnl"/>
        </w:rPr>
        <w:tab/>
        <w:t xml:space="preserve">si la zona efectiva de puntería (véase el número </w:t>
      </w:r>
      <w:r w:rsidRPr="00DA5EF2">
        <w:rPr>
          <w:rStyle w:val="Artref"/>
          <w:b/>
          <w:color w:val="000000"/>
          <w:lang w:val="es-ES_tradnl"/>
        </w:rPr>
        <w:t>1.175</w:t>
      </w:r>
      <w:r w:rsidRPr="00DA5EF2">
        <w:rPr>
          <w:color w:val="000000"/>
          <w:lang w:val="es-ES_tradnl"/>
        </w:rPr>
        <w:t>) es idéntica a la zona de servicio mundial o casi mundial, se indica únicamente la ganancia máxima de la antena isótropa (dBi) que se aplica a todos los puntos en la superficie de la Tierra;</w:t>
      </w:r>
    </w:p>
    <w:p w14:paraId="6D287D61" w14:textId="77777777" w:rsidR="00454B7A" w:rsidRPr="00DA5EF2" w:rsidRDefault="00454B7A">
      <w:pPr>
        <w:pStyle w:val="enumlev1"/>
        <w:rPr>
          <w:color w:val="000000"/>
          <w:lang w:val="es-ES_tradnl"/>
        </w:rPr>
      </w:pPr>
      <w:r w:rsidRPr="00DA5EF2">
        <w:rPr>
          <w:color w:val="000000"/>
          <w:lang w:val="es-ES_tradnl"/>
        </w:rPr>
        <w:t>–</w:t>
      </w:r>
      <w:r w:rsidRPr="00DA5EF2">
        <w:rPr>
          <w:color w:val="000000"/>
          <w:lang w:val="es-ES_tradnl"/>
        </w:rPr>
        <w:tab/>
        <w:t xml:space="preserve">si la zona de puntería efectiva (véase el número </w:t>
      </w:r>
      <w:r w:rsidRPr="00DA5EF2">
        <w:rPr>
          <w:rStyle w:val="Artref"/>
          <w:b/>
          <w:color w:val="000000"/>
          <w:lang w:val="es-ES_tradnl"/>
        </w:rPr>
        <w:t>1.175</w:t>
      </w:r>
      <w:r w:rsidRPr="00DA5EF2">
        <w:rPr>
          <w:color w:val="000000"/>
          <w:lang w:val="es-ES_tradnl"/>
        </w:rPr>
        <w:t xml:space="preserve">) es inferior a la zona de servicio mundial o casi mundial, se indica la ganancia máxima isótropa y los contornos de ganancia efectiva (véase el número </w:t>
      </w:r>
      <w:r w:rsidRPr="00DA5EF2">
        <w:rPr>
          <w:rStyle w:val="Artref"/>
          <w:b/>
          <w:color w:val="000000"/>
          <w:lang w:val="es-ES_tradnl"/>
        </w:rPr>
        <w:t>1.176</w:t>
      </w:r>
      <w:r w:rsidRPr="00DA5EF2">
        <w:rPr>
          <w:color w:val="000000"/>
          <w:lang w:val="es-ES_tradnl"/>
        </w:rPr>
        <w:t>) definidos anteriormente.</w:t>
      </w:r>
    </w:p>
    <w:p w14:paraId="308952A2" w14:textId="786371CB" w:rsidR="00DA5EF2" w:rsidRPr="00DA5EF2" w:rsidRDefault="00454B7A" w:rsidP="00A6497E">
      <w:pPr>
        <w:spacing w:before="80" w:line="240" w:lineRule="atLeast"/>
        <w:rPr>
          <w:lang w:val="es-ES_tradnl"/>
        </w:rPr>
      </w:pPr>
      <w:r w:rsidRPr="00DA5EF2">
        <w:rPr>
          <w:color w:val="000000"/>
          <w:lang w:val="es-ES_tradnl"/>
        </w:rPr>
        <w:t>2</w:t>
      </w:r>
      <w:r w:rsidRPr="00DA5EF2">
        <w:rPr>
          <w:color w:val="000000"/>
          <w:lang w:val="es-ES_tradnl"/>
        </w:rPr>
        <w:tab/>
        <w:t>Se considera que la información adicional de los §</w:t>
      </w:r>
      <w:r w:rsidR="00E9776E">
        <w:rPr>
          <w:color w:val="000000"/>
          <w:lang w:val="es-ES_tradnl"/>
        </w:rPr>
        <w:t> </w:t>
      </w:r>
      <w:r w:rsidRPr="00DA5EF2">
        <w:rPr>
          <w:color w:val="000000"/>
          <w:lang w:val="es-ES_tradnl"/>
        </w:rPr>
        <w:t>1.1 y 1.2 es facultativa. Al examinar dichos casos, la Oficina utilizará la información más detallada para calcular los valores de la densidad de flujo de potencia, si se dispone de ella; en caso contrario, el cálculo se realizará como en la actualidad y se basará en la p.i.r.e. máxima transmitida.</w:t>
      </w:r>
    </w:p>
    <w:p w14:paraId="1F33D09E" w14:textId="77777777" w:rsidR="00454B7A" w:rsidRPr="00DA5EF2" w:rsidRDefault="00454B7A">
      <w:pPr>
        <w:rPr>
          <w:lang w:val="es-ES_tradnl"/>
        </w:rPr>
        <w:sectPr w:rsidR="00454B7A" w:rsidRPr="00DA5EF2" w:rsidSect="00092159">
          <w:headerReference w:type="even" r:id="rId11"/>
          <w:headerReference w:type="default" r:id="rId12"/>
          <w:footnotePr>
            <w:pos w:val="beneathText"/>
          </w:footnotePr>
          <w:type w:val="evenPage"/>
          <w:pgSz w:w="11907" w:h="16840" w:code="9"/>
          <w:pgMar w:top="1701" w:right="851" w:bottom="1134" w:left="1985" w:header="720" w:footer="482" w:gutter="0"/>
          <w:pgNumType w:start="3"/>
          <w:cols w:space="720"/>
          <w:vAlign w:val="both"/>
        </w:sectPr>
      </w:pPr>
    </w:p>
    <w:p w14:paraId="3758CE24" w14:textId="215B9834" w:rsidR="00D0605A" w:rsidRPr="00D0605A" w:rsidRDefault="00D0605A" w:rsidP="00D0605A">
      <w:pPr>
        <w:keepNext/>
        <w:keepLines/>
        <w:pBdr>
          <w:top w:val="single" w:sz="6" w:space="1" w:color="auto"/>
          <w:left w:val="single" w:sz="6" w:space="1" w:color="auto"/>
          <w:bottom w:val="single" w:sz="6" w:space="1" w:color="auto"/>
          <w:right w:val="single" w:sz="6" w:space="14" w:color="auto"/>
        </w:pBdr>
        <w:spacing w:before="280"/>
        <w:ind w:left="85" w:right="7768"/>
        <w:outlineLvl w:val="8"/>
        <w:rPr>
          <w:sz w:val="16"/>
          <w:szCs w:val="16"/>
        </w:rPr>
      </w:pPr>
      <w:r w:rsidRPr="00F82642">
        <w:rPr>
          <w:rFonts w:asciiTheme="majorBidi" w:hAnsiTheme="majorBidi" w:cstheme="majorBidi"/>
          <w:b/>
          <w:color w:val="000000"/>
        </w:rPr>
        <w:lastRenderedPageBreak/>
        <w:t>C.8.a.2, C.8.b.2, C.8.c.1, C.8.c.3</w:t>
      </w:r>
    </w:p>
    <w:p w14:paraId="4F36B040" w14:textId="77777777" w:rsidR="00D0605A" w:rsidRPr="00A805B4" w:rsidRDefault="00D0605A" w:rsidP="00835E3F">
      <w:pPr>
        <w:spacing w:before="60"/>
        <w:rPr>
          <w:lang w:val="es-ES"/>
        </w:rPr>
      </w:pPr>
      <w:r w:rsidRPr="00A805B4">
        <w:rPr>
          <w:lang w:val="es-ES"/>
        </w:rPr>
        <w:t xml:space="preserve">La Oficina de Radiocomunicaciones ya ha abordado la cuestión de las características excesivas o poco realistas de las notificaciones de satélites en los Informes del Director a la </w:t>
      </w:r>
      <w:r>
        <w:rPr>
          <w:lang w:val="es-ES"/>
        </w:rPr>
        <w:t>CMR</w:t>
      </w:r>
      <w:r>
        <w:rPr>
          <w:lang w:val="es-ES"/>
        </w:rPr>
        <w:noBreakHyphen/>
      </w:r>
      <w:r w:rsidRPr="00A805B4">
        <w:rPr>
          <w:lang w:val="es-ES"/>
        </w:rPr>
        <w:t>15 (véase el § 3.2.3.9 de la revisión</w:t>
      </w:r>
      <w:r>
        <w:rPr>
          <w:lang w:val="es-ES"/>
        </w:rPr>
        <w:t> </w:t>
      </w:r>
      <w:r w:rsidRPr="00A805B4">
        <w:rPr>
          <w:lang w:val="es-ES"/>
        </w:rPr>
        <w:t>1 del Addéndum</w:t>
      </w:r>
      <w:r>
        <w:rPr>
          <w:lang w:val="es-ES"/>
        </w:rPr>
        <w:t> </w:t>
      </w:r>
      <w:r w:rsidRPr="00A805B4">
        <w:rPr>
          <w:lang w:val="es-ES"/>
        </w:rPr>
        <w:t xml:space="preserve">2 al </w:t>
      </w:r>
      <w:hyperlink r:id="rId13" w:history="1">
        <w:r w:rsidRPr="00A805B4">
          <w:rPr>
            <w:rStyle w:val="Hyperlink"/>
            <w:lang w:val="es-ES"/>
          </w:rPr>
          <w:t>Documento</w:t>
        </w:r>
        <w:r>
          <w:rPr>
            <w:rStyle w:val="Hyperlink"/>
            <w:lang w:val="es-ES"/>
          </w:rPr>
          <w:t> </w:t>
        </w:r>
        <w:r w:rsidRPr="00A805B4">
          <w:rPr>
            <w:rStyle w:val="Hyperlink"/>
            <w:lang w:val="es-ES"/>
          </w:rPr>
          <w:t>CMR15/4</w:t>
        </w:r>
      </w:hyperlink>
      <w:r w:rsidRPr="00A805B4">
        <w:rPr>
          <w:lang w:val="es-ES"/>
        </w:rPr>
        <w:t xml:space="preserve">) y a la </w:t>
      </w:r>
      <w:r>
        <w:rPr>
          <w:lang w:val="es-ES"/>
        </w:rPr>
        <w:t>CMR</w:t>
      </w:r>
      <w:r>
        <w:rPr>
          <w:lang w:val="es-ES"/>
        </w:rPr>
        <w:noBreakHyphen/>
      </w:r>
      <w:r w:rsidRPr="00A805B4">
        <w:rPr>
          <w:lang w:val="es-ES"/>
        </w:rPr>
        <w:t>19 (véase el § 3.4.3 del Addéndum</w:t>
      </w:r>
      <w:r>
        <w:rPr>
          <w:lang w:val="es-ES"/>
        </w:rPr>
        <w:t> </w:t>
      </w:r>
      <w:r w:rsidRPr="00A805B4">
        <w:rPr>
          <w:lang w:val="es-ES"/>
        </w:rPr>
        <w:t xml:space="preserve">2 al </w:t>
      </w:r>
      <w:hyperlink r:id="rId14" w:history="1">
        <w:r w:rsidRPr="00A805B4">
          <w:rPr>
            <w:rStyle w:val="Hyperlink"/>
            <w:lang w:val="es-ES"/>
          </w:rPr>
          <w:t>Documento</w:t>
        </w:r>
        <w:r>
          <w:rPr>
            <w:rStyle w:val="Hyperlink"/>
            <w:lang w:val="es-ES"/>
          </w:rPr>
          <w:t> </w:t>
        </w:r>
        <w:r w:rsidRPr="00A805B4">
          <w:rPr>
            <w:rStyle w:val="Hyperlink"/>
            <w:lang w:val="es-ES"/>
          </w:rPr>
          <w:t>CMR19/4</w:t>
        </w:r>
      </w:hyperlink>
      <w:r w:rsidRPr="00A805B4">
        <w:rPr>
          <w:lang w:val="es-ES"/>
        </w:rPr>
        <w:t>). Ambas Conferencias expresaron su apoyo general al planteamiento de esas cuestiones (véanse los Documentos</w:t>
      </w:r>
      <w:r>
        <w:rPr>
          <w:bCs/>
          <w:lang w:val="es-ES"/>
        </w:rPr>
        <w:t> </w:t>
      </w:r>
      <w:hyperlink r:id="rId15" w:history="1">
        <w:r w:rsidRPr="00A805B4">
          <w:rPr>
            <w:rStyle w:val="Hyperlink"/>
            <w:bCs/>
            <w:lang w:val="es-ES"/>
          </w:rPr>
          <w:t>CMR15/505</w:t>
        </w:r>
      </w:hyperlink>
      <w:r w:rsidRPr="00A805B4">
        <w:rPr>
          <w:bCs/>
          <w:lang w:val="es-ES"/>
        </w:rPr>
        <w:t xml:space="preserve"> y </w:t>
      </w:r>
      <w:hyperlink r:id="rId16" w:history="1">
        <w:r w:rsidRPr="00A805B4">
          <w:rPr>
            <w:rStyle w:val="Hyperlink"/>
            <w:bCs/>
            <w:lang w:val="es-ES"/>
          </w:rPr>
          <w:t>CMR19/451</w:t>
        </w:r>
      </w:hyperlink>
      <w:r w:rsidRPr="00A805B4">
        <w:rPr>
          <w:lang w:val="es-ES"/>
        </w:rPr>
        <w:t>) e invitaron al UIT</w:t>
      </w:r>
      <w:r>
        <w:rPr>
          <w:lang w:val="es-ES"/>
        </w:rPr>
        <w:noBreakHyphen/>
      </w:r>
      <w:r w:rsidRPr="00A805B4">
        <w:rPr>
          <w:lang w:val="es-ES"/>
        </w:rPr>
        <w:t>R a revisar los parámetros examinados en esas secciones de los Informes.</w:t>
      </w:r>
    </w:p>
    <w:p w14:paraId="0014666A" w14:textId="37650154" w:rsidR="00D0605A" w:rsidRPr="00A805B4" w:rsidRDefault="00D0605A" w:rsidP="00835E3F">
      <w:pPr>
        <w:spacing w:before="60"/>
        <w:rPr>
          <w:lang w:val="es-ES"/>
        </w:rPr>
      </w:pPr>
      <w:r w:rsidRPr="00A805B4">
        <w:rPr>
          <w:lang w:val="es-ES"/>
        </w:rPr>
        <w:t>Aunque, en aquel momento, la cuestión se había planteado de manera general, teniendo en cuenta determinadas presentaciones específicas de redes de satélites geoestacionarios, la Oficina constató un fuerte aumento del número de notificaciones de sistemas de satélites no OSG con una densidad espectral de potencia de emisiones muy baja (inferior a</w:t>
      </w:r>
      <w:r w:rsidR="00092159">
        <w:rPr>
          <w:lang w:val="es-ES"/>
        </w:rPr>
        <w:t> </w:t>
      </w:r>
      <w:r w:rsidR="00FD7AC5" w:rsidRPr="00FD7AC5">
        <w:rPr>
          <w:lang w:val="es-ES"/>
        </w:rPr>
        <w:t>−</w:t>
      </w:r>
      <w:r w:rsidRPr="00A805B4">
        <w:rPr>
          <w:lang w:val="es-ES"/>
        </w:rPr>
        <w:t>100</w:t>
      </w:r>
      <w:r>
        <w:rPr>
          <w:lang w:val="es-ES"/>
        </w:rPr>
        <w:t> dB</w:t>
      </w:r>
      <w:r w:rsidRPr="00A805B4">
        <w:rPr>
          <w:lang w:val="es-ES"/>
        </w:rPr>
        <w:t>W/Hz).</w:t>
      </w:r>
    </w:p>
    <w:p w14:paraId="21D706FB" w14:textId="23B1E651" w:rsidR="00454B7A" w:rsidRPr="00835E3F" w:rsidRDefault="00D0605A" w:rsidP="00835E3F">
      <w:pPr>
        <w:spacing w:before="60"/>
        <w:rPr>
          <w:spacing w:val="-6"/>
          <w:lang w:val="es-ES"/>
        </w:rPr>
      </w:pPr>
      <w:r w:rsidRPr="00835E3F">
        <w:rPr>
          <w:spacing w:val="-6"/>
          <w:lang w:val="es-ES"/>
        </w:rPr>
        <w:t xml:space="preserve">En vista de lo anterior, la Junta decidió que las asignaciones de frecuencias a redes de satélites OSG con niveles de densidad espectral de potencia inferiores a −100 dBW/Hz no eran admisibles, y que las asignaciones de frecuencias a sistemas o redes de satélites no OSG con niveles de densidad espectral de potencia inferiores a −100 dBW/Hz sólo eran admisibles si se proporcionaban aclaraciones a la Oficina sobre la utilización de valores de densidad espectral de potencia muy bajos (por ejemplo, el modo de funcionamiento, la utilización de espectro ensanchado, etc.) y se proporcionaban ejemplos del cálculo del balance del enlace que demostrasen que se cumplía la relación </w:t>
      </w:r>
      <w:r w:rsidRPr="00FD7AC5">
        <w:rPr>
          <w:i/>
          <w:iCs/>
          <w:spacing w:val="-6"/>
          <w:lang w:val="es-ES"/>
        </w:rPr>
        <w:t>C</w:t>
      </w:r>
      <w:r w:rsidRPr="00FD7AC5">
        <w:rPr>
          <w:spacing w:val="-6"/>
          <w:lang w:val="es-ES"/>
        </w:rPr>
        <w:t>/</w:t>
      </w:r>
      <w:r w:rsidRPr="00FD7AC5">
        <w:rPr>
          <w:i/>
          <w:iCs/>
          <w:spacing w:val="-6"/>
          <w:lang w:val="es-ES"/>
        </w:rPr>
        <w:t>N</w:t>
      </w:r>
      <w:r w:rsidRPr="00835E3F">
        <w:rPr>
          <w:spacing w:val="-6"/>
          <w:lang w:val="es-ES"/>
        </w:rPr>
        <w:t xml:space="preserve"> objetivo necesaria presentada con un margen de interferencia suficiente (véase el Adjunto 2 a la Sección B3 de la Parte B de las Reglas de Procedimiento).</w:t>
      </w:r>
    </w:p>
    <w:p w14:paraId="160A272D" w14:textId="50A98B5D" w:rsidR="00835E3F" w:rsidRPr="00835E3F" w:rsidRDefault="00835E3F" w:rsidP="00835E3F">
      <w:pPr>
        <w:keepNext/>
        <w:keepLines/>
        <w:pBdr>
          <w:top w:val="single" w:sz="6" w:space="1" w:color="auto"/>
          <w:left w:val="single" w:sz="6" w:space="1" w:color="auto"/>
          <w:bottom w:val="single" w:sz="6" w:space="1" w:color="auto"/>
          <w:right w:val="single" w:sz="6" w:space="1" w:color="auto"/>
        </w:pBdr>
        <w:spacing w:before="6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C.8.b.3.c</w:t>
      </w:r>
    </w:p>
    <w:p w14:paraId="55A180D3" w14:textId="77777777" w:rsidR="00835E3F" w:rsidRPr="00835E3F" w:rsidRDefault="00835E3F" w:rsidP="00835E3F">
      <w:pPr>
        <w:spacing w:before="60"/>
        <w:rPr>
          <w:lang w:val="es-ES"/>
        </w:rPr>
      </w:pPr>
      <w:r w:rsidRPr="00835E3F">
        <w:rPr>
          <w:lang w:val="es-ES"/>
        </w:rPr>
        <w:t>La Junta observó que la Conferencia Mundial de Radiocomunicaciones (Dubái, 2023) (CMR</w:t>
      </w:r>
      <w:r w:rsidRPr="00835E3F">
        <w:rPr>
          <w:lang w:val="es-ES"/>
        </w:rPr>
        <w:noBreakHyphen/>
        <w:t>23) añadió el punto C.8.b.3.c para que las administraciones notificantes pudieran presentar el ancho de banda necesario para los sensores activos. La CMR</w:t>
      </w:r>
      <w:r w:rsidRPr="00835E3F">
        <w:rPr>
          <w:lang w:val="es-ES"/>
        </w:rPr>
        <w:noBreakHyphen/>
        <w:t>23 estableció la obligatoriedad de presentar dicho punto sólo para los sensores activos que funcionan en el servicio de exploración de la Tierra por satélite (SETS) (activo) en las bandas de frecuencias de 9 200</w:t>
      </w:r>
      <w:r w:rsidRPr="00835E3F">
        <w:rPr>
          <w:lang w:val="es-ES"/>
        </w:rPr>
        <w:noBreakHyphen/>
        <w:t>9 300 MHz y 9 900</w:t>
      </w:r>
      <w:r w:rsidRPr="00835E3F">
        <w:rPr>
          <w:lang w:val="es-ES"/>
        </w:rPr>
        <w:noBreakHyphen/>
        <w:t>10 400 MHz.</w:t>
      </w:r>
    </w:p>
    <w:p w14:paraId="2FD7F798" w14:textId="77777777" w:rsidR="00835E3F" w:rsidRPr="00835E3F" w:rsidRDefault="00835E3F" w:rsidP="00835E3F">
      <w:pPr>
        <w:spacing w:before="60"/>
        <w:rPr>
          <w:lang w:val="es-ES"/>
        </w:rPr>
      </w:pPr>
      <w:r w:rsidRPr="00835E3F">
        <w:rPr>
          <w:lang w:val="es-ES"/>
        </w:rPr>
        <w:t>Ahora bien, para que la Oficina pueda examinar la conformidad con respecto a los números </w:t>
      </w:r>
      <w:r w:rsidRPr="00835E3F">
        <w:rPr>
          <w:b/>
          <w:bCs/>
          <w:lang w:val="es-ES"/>
        </w:rPr>
        <w:t>5.475A</w:t>
      </w:r>
      <w:r w:rsidRPr="00835E3F">
        <w:rPr>
          <w:lang w:val="es-ES"/>
        </w:rPr>
        <w:t xml:space="preserve"> y </w:t>
      </w:r>
      <w:r w:rsidRPr="00835E3F">
        <w:rPr>
          <w:b/>
          <w:bCs/>
          <w:lang w:val="es-ES"/>
        </w:rPr>
        <w:t>5.478A</w:t>
      </w:r>
      <w:r w:rsidRPr="00835E3F">
        <w:rPr>
          <w:lang w:val="es-ES"/>
        </w:rPr>
        <w:t>, también se requiere la información sobre el ancho de banda necesario para los sensores activos que funcionan en el SETS (activo) y en el servicio de investigación espacial (SIE) (activo) cuando se utilizan las bandas de frecuencias de 9 300</w:t>
      </w:r>
      <w:r w:rsidRPr="00835E3F">
        <w:rPr>
          <w:lang w:val="es-ES"/>
        </w:rPr>
        <w:noBreakHyphen/>
        <w:t>9 500 MHz y 9 800</w:t>
      </w:r>
      <w:r w:rsidRPr="00835E3F">
        <w:rPr>
          <w:lang w:val="es-ES"/>
        </w:rPr>
        <w:noBreakHyphen/>
        <w:t>9 900 MHz.</w:t>
      </w:r>
    </w:p>
    <w:p w14:paraId="0B424D00" w14:textId="77777777" w:rsidR="00835E3F" w:rsidRPr="00835E3F" w:rsidRDefault="00835E3F" w:rsidP="00835E3F">
      <w:pPr>
        <w:spacing w:before="60"/>
        <w:rPr>
          <w:lang w:val="es-ES"/>
        </w:rPr>
      </w:pPr>
      <w:r w:rsidRPr="00835E3F">
        <w:rPr>
          <w:lang w:val="es-ES"/>
        </w:rPr>
        <w:t>Por consiguiente, la Junta decidió que la información sobre el ancho de banda necesario en virtud del punto C.8.b.3.c también es obligatoria para los sensores activos que funcionan en el SETS (activo) y el SIE (activo) utilizando las bandas de frecuencias de 9 300</w:t>
      </w:r>
      <w:r w:rsidRPr="00835E3F">
        <w:rPr>
          <w:lang w:val="es-ES"/>
        </w:rPr>
        <w:noBreakHyphen/>
        <w:t>9 500 MHz y 9 800</w:t>
      </w:r>
      <w:r w:rsidRPr="00835E3F">
        <w:rPr>
          <w:lang w:val="es-ES"/>
        </w:rPr>
        <w:noBreakHyphen/>
        <w:t>9 900 MHz en la fase de publicación anticipada de la información con arreglo a la Sección I del Artículo </w:t>
      </w:r>
      <w:r w:rsidRPr="00835E3F">
        <w:rPr>
          <w:b/>
          <w:bCs/>
          <w:lang w:val="es-ES"/>
        </w:rPr>
        <w:t>9</w:t>
      </w:r>
      <w:r w:rsidRPr="00835E3F">
        <w:rPr>
          <w:lang w:val="es-ES"/>
        </w:rPr>
        <w:t xml:space="preserve"> (para los sistemas en la órbita de los satélites no geoestacionarios), en la fase de solicitud de coordinación (para las redes en la órbita de los satélites geoestacionarios) y en la fase de notificación con arreglo al Artículo </w:t>
      </w:r>
      <w:r w:rsidRPr="00835E3F">
        <w:rPr>
          <w:b/>
          <w:bCs/>
          <w:lang w:val="es-ES"/>
        </w:rPr>
        <w:t>11</w:t>
      </w:r>
      <w:r w:rsidRPr="00835E3F">
        <w:rPr>
          <w:lang w:val="es-ES"/>
        </w:rPr>
        <w:t>.</w:t>
      </w:r>
    </w:p>
    <w:p w14:paraId="4B109EBF" w14:textId="77777777" w:rsidR="00FD7AC5" w:rsidRDefault="00835E3F" w:rsidP="00835E3F">
      <w:pPr>
        <w:spacing w:before="60"/>
        <w:rPr>
          <w:lang w:val="es-ES"/>
        </w:rPr>
      </w:pPr>
      <w:r w:rsidRPr="00835E3F">
        <w:rPr>
          <w:lang w:val="es-ES"/>
        </w:rPr>
        <w:t>Véanse también las Reglas de Procedimiento relativas a los números </w:t>
      </w:r>
      <w:r w:rsidRPr="00835E3F">
        <w:rPr>
          <w:b/>
          <w:bCs/>
          <w:lang w:val="es-ES"/>
        </w:rPr>
        <w:t>5.474A</w:t>
      </w:r>
      <w:r w:rsidRPr="00835E3F">
        <w:rPr>
          <w:lang w:val="es-ES"/>
        </w:rPr>
        <w:t>,</w:t>
      </w:r>
      <w:r w:rsidRPr="00835E3F">
        <w:rPr>
          <w:b/>
          <w:bCs/>
          <w:lang w:val="es-ES"/>
        </w:rPr>
        <w:t xml:space="preserve"> 5.475A</w:t>
      </w:r>
      <w:r w:rsidRPr="00835E3F">
        <w:rPr>
          <w:lang w:val="es-ES"/>
        </w:rPr>
        <w:t xml:space="preserve"> y </w:t>
      </w:r>
      <w:r w:rsidRPr="00835E3F">
        <w:rPr>
          <w:b/>
          <w:bCs/>
          <w:lang w:val="es-ES"/>
        </w:rPr>
        <w:t>5.478A</w:t>
      </w:r>
      <w:r w:rsidRPr="00835E3F">
        <w:rPr>
          <w:lang w:val="es-ES"/>
        </w:rPr>
        <w:t>.</w:t>
      </w:r>
    </w:p>
    <w:p w14:paraId="6085004B" w14:textId="77777777" w:rsidR="00FD7AC5" w:rsidRDefault="00AF0D08" w:rsidP="00FD7AC5">
      <w:pPr>
        <w:spacing w:before="60"/>
        <w:jc w:val="center"/>
        <w:rPr>
          <w:lang w:val="es-ES"/>
        </w:rPr>
        <w:sectPr w:rsidR="00FD7AC5" w:rsidSect="00092159">
          <w:headerReference w:type="first" r:id="rId17"/>
          <w:footnotePr>
            <w:pos w:val="beneathText"/>
          </w:footnotePr>
          <w:type w:val="oddPage"/>
          <w:pgSz w:w="11907" w:h="16840" w:code="9"/>
          <w:pgMar w:top="1701" w:right="851" w:bottom="1134" w:left="1985" w:header="720" w:footer="482" w:gutter="0"/>
          <w:cols w:space="720"/>
          <w:vAlign w:val="both"/>
          <w:titlePg/>
        </w:sectPr>
      </w:pPr>
      <w:r>
        <w:rPr>
          <w:lang w:val="es-ES"/>
        </w:rPr>
        <w:t>___________________</w:t>
      </w:r>
    </w:p>
    <w:p w14:paraId="5FF7E561" w14:textId="26B6BA2A" w:rsidR="00D0605A" w:rsidRPr="00AF0D08" w:rsidRDefault="00D0605A" w:rsidP="00FD7AC5">
      <w:pPr>
        <w:spacing w:before="60"/>
        <w:jc w:val="center"/>
        <w:rPr>
          <w:lang w:val="es-ES"/>
        </w:rPr>
      </w:pPr>
    </w:p>
    <w:sectPr w:rsidR="00D0605A" w:rsidRPr="00AF0D08" w:rsidSect="0041084B">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48DC8" w14:textId="77777777" w:rsidR="00E97390" w:rsidRDefault="00E97390">
      <w:r>
        <w:separator/>
      </w:r>
    </w:p>
  </w:endnote>
  <w:endnote w:type="continuationSeparator" w:id="0">
    <w:p w14:paraId="43FA33F8" w14:textId="77777777" w:rsidR="00E97390" w:rsidRDefault="00E9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38CE5" w14:textId="77777777" w:rsidR="00E97390" w:rsidRDefault="00E97390">
      <w:r>
        <w:rPr>
          <w:b/>
        </w:rPr>
        <w:t>_______________</w:t>
      </w:r>
    </w:p>
  </w:footnote>
  <w:footnote w:type="continuationSeparator" w:id="0">
    <w:p w14:paraId="411F5BCB" w14:textId="77777777" w:rsidR="00E97390" w:rsidRDefault="00E97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60408" w14:paraId="1AC9DA5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112FB88" w14:textId="470AF05F" w:rsidR="00860408" w:rsidRDefault="00860408">
          <w:pPr>
            <w:pStyle w:val="HeaderRegProc"/>
          </w:pPr>
          <w:r>
            <w:t>Parte A</w:t>
          </w:r>
          <w:r>
            <w:fldChar w:fldCharType="begin"/>
          </w:r>
          <w:r>
            <w:instrText>styleref href</w:instrText>
          </w:r>
          <w:r>
            <w:fldChar w:fldCharType="separate"/>
          </w:r>
          <w:r w:rsidR="0077787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0488332" w14:textId="62AACA8C" w:rsidR="00860408" w:rsidRDefault="00E04C17">
          <w:pPr>
            <w:pStyle w:val="HeaderRegProc"/>
            <w:rPr>
              <w:lang w:val="fr-FR"/>
            </w:rPr>
          </w:pPr>
          <w:fldSimple w:instr=" DOCPROPERTY &quot;Header1&quot; \* MERGEFORMAT ">
            <w:r w:rsidR="00777877">
              <w:t>AP</w:t>
            </w:r>
          </w:fldSimple>
          <w:r w:rsidR="00860408">
            <w:fldChar w:fldCharType="begin"/>
          </w:r>
          <w:r w:rsidR="00860408">
            <w:instrText>styleref href2</w:instrText>
          </w:r>
          <w:r w:rsidR="00860408">
            <w:fldChar w:fldCharType="separate"/>
          </w:r>
          <w:r w:rsidR="00777877">
            <w:rPr>
              <w:noProof/>
            </w:rPr>
            <w:t>4</w:t>
          </w:r>
          <w:r w:rsidR="00860408">
            <w:fldChar w:fldCharType="end"/>
          </w:r>
        </w:p>
      </w:tc>
      <w:tc>
        <w:tcPr>
          <w:tcW w:w="1701" w:type="dxa"/>
          <w:tcBorders>
            <w:top w:val="single" w:sz="6" w:space="0" w:color="auto"/>
            <w:left w:val="single" w:sz="6" w:space="0" w:color="auto"/>
            <w:bottom w:val="single" w:sz="6" w:space="0" w:color="auto"/>
            <w:right w:val="single" w:sz="6" w:space="0" w:color="auto"/>
          </w:tcBorders>
        </w:tcPr>
        <w:p w14:paraId="58DDF97E" w14:textId="77777777" w:rsidR="00860408" w:rsidRPr="009D5403" w:rsidRDefault="00860408" w:rsidP="00097CC6">
          <w:pPr>
            <w:pStyle w:val="HeaderRegProc"/>
            <w:rPr>
              <w:i/>
              <w:iCs/>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B938EE" w14:textId="4A612E4B" w:rsidR="00860408" w:rsidRDefault="00860408" w:rsidP="009D5403">
          <w:pPr>
            <w:pStyle w:val="HeaderRegProc"/>
            <w:rPr>
              <w:lang w:val="fr-CH"/>
            </w:rPr>
          </w:pPr>
          <w:proofErr w:type="gramStart"/>
          <w:r>
            <w:rPr>
              <w:lang w:val="fr-CH"/>
            </w:rPr>
            <w:t>rev</w:t>
          </w:r>
          <w:proofErr w:type="gramEnd"/>
          <w:r>
            <w:rPr>
              <w:lang w:val="fr-CH"/>
            </w:rPr>
            <w:t>.</w:t>
          </w:r>
          <w:r>
            <w:t xml:space="preserve"> </w:t>
          </w:r>
          <w:r w:rsidR="00421C25">
            <w:t>1</w:t>
          </w:r>
        </w:p>
      </w:tc>
    </w:tr>
  </w:tbl>
  <w:p w14:paraId="4CCA8B02" w14:textId="77777777" w:rsidR="00860408" w:rsidRDefault="0086040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60408" w14:paraId="692D458A" w14:textId="77777777" w:rsidTr="00E97390">
      <w:trPr>
        <w:cantSplit/>
        <w:jc w:val="right"/>
      </w:trPr>
      <w:tc>
        <w:tcPr>
          <w:tcW w:w="1701" w:type="dxa"/>
          <w:tcBorders>
            <w:top w:val="single" w:sz="6" w:space="0" w:color="auto"/>
            <w:left w:val="single" w:sz="6" w:space="0" w:color="auto"/>
            <w:bottom w:val="single" w:sz="6" w:space="0" w:color="auto"/>
            <w:right w:val="single" w:sz="6" w:space="0" w:color="auto"/>
          </w:tcBorders>
        </w:tcPr>
        <w:p w14:paraId="07C97FD6" w14:textId="7614D455" w:rsidR="00860408" w:rsidRDefault="00860408" w:rsidP="00E97390">
          <w:pPr>
            <w:pStyle w:val="HeaderRegProc"/>
          </w:pPr>
          <w:r>
            <w:t>Parte A</w:t>
          </w:r>
          <w:r>
            <w:fldChar w:fldCharType="begin"/>
          </w:r>
          <w:r>
            <w:instrText>styleref href</w:instrText>
          </w:r>
          <w:r>
            <w:fldChar w:fldCharType="separate"/>
          </w:r>
          <w:r w:rsidR="0077787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839F45B" w14:textId="059E73AD" w:rsidR="00860408" w:rsidRDefault="00E04C17" w:rsidP="00E97390">
          <w:pPr>
            <w:pStyle w:val="HeaderRegProc"/>
            <w:rPr>
              <w:lang w:val="fr-FR"/>
            </w:rPr>
          </w:pPr>
          <w:fldSimple w:instr=" DOCPROPERTY &quot;Header1&quot; \* MERGEFORMAT ">
            <w:r w:rsidR="00777877">
              <w:t>AP</w:t>
            </w:r>
          </w:fldSimple>
          <w:r w:rsidR="00860408">
            <w:fldChar w:fldCharType="begin"/>
          </w:r>
          <w:r w:rsidR="00860408">
            <w:instrText>styleref href2</w:instrText>
          </w:r>
          <w:r w:rsidR="00860408">
            <w:fldChar w:fldCharType="separate"/>
          </w:r>
          <w:r w:rsidR="00777877">
            <w:rPr>
              <w:noProof/>
            </w:rPr>
            <w:t>4</w:t>
          </w:r>
          <w:r w:rsidR="00860408">
            <w:fldChar w:fldCharType="end"/>
          </w:r>
        </w:p>
      </w:tc>
      <w:tc>
        <w:tcPr>
          <w:tcW w:w="1701" w:type="dxa"/>
          <w:tcBorders>
            <w:top w:val="single" w:sz="6" w:space="0" w:color="auto"/>
            <w:left w:val="single" w:sz="6" w:space="0" w:color="auto"/>
            <w:bottom w:val="single" w:sz="6" w:space="0" w:color="auto"/>
            <w:right w:val="single" w:sz="6" w:space="0" w:color="auto"/>
          </w:tcBorders>
        </w:tcPr>
        <w:p w14:paraId="42602911" w14:textId="77777777" w:rsidR="00860408" w:rsidRDefault="00860408" w:rsidP="00E97390">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143B20" w14:textId="26918FB5" w:rsidR="00860408" w:rsidRDefault="00860408" w:rsidP="00DF1284">
          <w:pPr>
            <w:pStyle w:val="HeaderRegProc"/>
            <w:rPr>
              <w:lang w:val="fr-CH"/>
            </w:rPr>
          </w:pPr>
          <w:proofErr w:type="gramStart"/>
          <w:r>
            <w:rPr>
              <w:lang w:val="fr-CH"/>
            </w:rPr>
            <w:t>rev</w:t>
          </w:r>
          <w:proofErr w:type="gramEnd"/>
          <w:r>
            <w:rPr>
              <w:lang w:val="fr-CH"/>
            </w:rPr>
            <w:t>.</w:t>
          </w:r>
          <w:r>
            <w:t xml:space="preserve"> </w:t>
          </w:r>
          <w:r w:rsidR="00FD7AC5">
            <w:t>-</w:t>
          </w:r>
        </w:p>
      </w:tc>
    </w:tr>
  </w:tbl>
  <w:p w14:paraId="08D1B659" w14:textId="77777777" w:rsidR="00860408" w:rsidRDefault="00860408" w:rsidP="00DA5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C6A7A" w14:paraId="455890B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294BA7" w14:textId="37F8C841" w:rsidR="003C6A7A" w:rsidRDefault="003C6A7A">
          <w:pPr>
            <w:pStyle w:val="HeaderRegProc"/>
          </w:pPr>
          <w:r>
            <w:t>Parte A</w:t>
          </w:r>
          <w:r>
            <w:fldChar w:fldCharType="begin"/>
          </w:r>
          <w:r>
            <w:instrText>styleref href</w:instrText>
          </w:r>
          <w:r>
            <w:fldChar w:fldCharType="separate"/>
          </w:r>
          <w:r w:rsidR="0077787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7484221" w14:textId="2291D8A0" w:rsidR="003C6A7A" w:rsidRDefault="00E04C17">
          <w:pPr>
            <w:pStyle w:val="HeaderRegProc"/>
            <w:rPr>
              <w:lang w:val="fr-FR"/>
            </w:rPr>
          </w:pPr>
          <w:fldSimple w:instr=" DOCPROPERTY &quot;Header1&quot; \* MERGEFORMAT ">
            <w:r w:rsidR="00777877">
              <w:t>AP</w:t>
            </w:r>
          </w:fldSimple>
          <w:r w:rsidR="003C6A7A">
            <w:fldChar w:fldCharType="begin"/>
          </w:r>
          <w:r w:rsidR="003C6A7A">
            <w:instrText>styleref href2</w:instrText>
          </w:r>
          <w:r w:rsidR="003C6A7A">
            <w:fldChar w:fldCharType="separate"/>
          </w:r>
          <w:r w:rsidR="00777877">
            <w:rPr>
              <w:noProof/>
            </w:rPr>
            <w:t>4</w:t>
          </w:r>
          <w:r w:rsidR="003C6A7A">
            <w:fldChar w:fldCharType="end"/>
          </w:r>
        </w:p>
      </w:tc>
      <w:tc>
        <w:tcPr>
          <w:tcW w:w="1701" w:type="dxa"/>
          <w:tcBorders>
            <w:top w:val="single" w:sz="6" w:space="0" w:color="auto"/>
            <w:left w:val="single" w:sz="6" w:space="0" w:color="auto"/>
            <w:bottom w:val="single" w:sz="6" w:space="0" w:color="auto"/>
            <w:right w:val="single" w:sz="6" w:space="0" w:color="auto"/>
          </w:tcBorders>
        </w:tcPr>
        <w:p w14:paraId="7A1D9439" w14:textId="77777777" w:rsidR="003C6A7A" w:rsidRPr="009D5403" w:rsidRDefault="003C6A7A" w:rsidP="00097CC6">
          <w:pPr>
            <w:pStyle w:val="HeaderRegProc"/>
            <w:rPr>
              <w:i/>
              <w:iCs/>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CC3D4D" w14:textId="2DD76793" w:rsidR="003C6A7A" w:rsidRDefault="003C6A7A" w:rsidP="009D5403">
          <w:pPr>
            <w:pStyle w:val="HeaderRegProc"/>
            <w:rPr>
              <w:lang w:val="fr-CH"/>
            </w:rPr>
          </w:pPr>
          <w:proofErr w:type="gramStart"/>
          <w:r>
            <w:rPr>
              <w:lang w:val="fr-CH"/>
            </w:rPr>
            <w:t>rev</w:t>
          </w:r>
          <w:proofErr w:type="gramEnd"/>
          <w:r>
            <w:rPr>
              <w:lang w:val="fr-CH"/>
            </w:rPr>
            <w:t>.</w:t>
          </w:r>
          <w:r>
            <w:t xml:space="preserve"> </w:t>
          </w:r>
          <w:r w:rsidR="00FD7AC5">
            <w:t>-</w:t>
          </w:r>
        </w:p>
      </w:tc>
    </w:tr>
  </w:tbl>
  <w:p w14:paraId="71B45282" w14:textId="77777777" w:rsidR="003C6A7A" w:rsidRDefault="003C6A7A">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6A7A" w14:paraId="618FC477" w14:textId="77777777" w:rsidTr="00E97390">
      <w:trPr>
        <w:cantSplit/>
        <w:jc w:val="right"/>
      </w:trPr>
      <w:tc>
        <w:tcPr>
          <w:tcW w:w="1701" w:type="dxa"/>
          <w:tcBorders>
            <w:top w:val="single" w:sz="6" w:space="0" w:color="auto"/>
            <w:left w:val="single" w:sz="6" w:space="0" w:color="auto"/>
            <w:bottom w:val="single" w:sz="6" w:space="0" w:color="auto"/>
            <w:right w:val="single" w:sz="6" w:space="0" w:color="auto"/>
          </w:tcBorders>
        </w:tcPr>
        <w:p w14:paraId="341D67B6" w14:textId="64F3B606" w:rsidR="003C6A7A" w:rsidRDefault="003C6A7A" w:rsidP="00E97390">
          <w:pPr>
            <w:pStyle w:val="HeaderRegProc"/>
          </w:pPr>
          <w:r>
            <w:t>Parte A</w:t>
          </w:r>
          <w:r>
            <w:fldChar w:fldCharType="begin"/>
          </w:r>
          <w:r>
            <w:instrText>styleref href</w:instrText>
          </w:r>
          <w:r>
            <w:fldChar w:fldCharType="separate"/>
          </w:r>
          <w:r w:rsidR="0077787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7207CF1" w14:textId="798B3AB4" w:rsidR="003C6A7A" w:rsidRDefault="00E04C17" w:rsidP="00E97390">
          <w:pPr>
            <w:pStyle w:val="HeaderRegProc"/>
            <w:rPr>
              <w:lang w:val="fr-FR"/>
            </w:rPr>
          </w:pPr>
          <w:fldSimple w:instr=" DOCPROPERTY &quot;Header1&quot; \* MERGEFORMAT ">
            <w:r w:rsidR="00777877">
              <w:t>AP</w:t>
            </w:r>
          </w:fldSimple>
          <w:r w:rsidR="003C6A7A">
            <w:fldChar w:fldCharType="begin"/>
          </w:r>
          <w:r w:rsidR="003C6A7A">
            <w:instrText>styleref href2</w:instrText>
          </w:r>
          <w:r w:rsidR="003C6A7A">
            <w:fldChar w:fldCharType="separate"/>
          </w:r>
          <w:r w:rsidR="00777877">
            <w:rPr>
              <w:noProof/>
            </w:rPr>
            <w:t>4</w:t>
          </w:r>
          <w:r w:rsidR="003C6A7A">
            <w:fldChar w:fldCharType="end"/>
          </w:r>
        </w:p>
      </w:tc>
      <w:tc>
        <w:tcPr>
          <w:tcW w:w="1701" w:type="dxa"/>
          <w:tcBorders>
            <w:top w:val="single" w:sz="6" w:space="0" w:color="auto"/>
            <w:left w:val="single" w:sz="6" w:space="0" w:color="auto"/>
            <w:bottom w:val="single" w:sz="6" w:space="0" w:color="auto"/>
            <w:right w:val="single" w:sz="6" w:space="0" w:color="auto"/>
          </w:tcBorders>
        </w:tcPr>
        <w:p w14:paraId="646622DC" w14:textId="18CC9A24" w:rsidR="003C6A7A" w:rsidRPr="003C6A7A" w:rsidRDefault="003C6A7A" w:rsidP="00E97390">
          <w:pPr>
            <w:pStyle w:val="HeaderRegProc"/>
            <w:rPr>
              <w:lang w:val="fr-CH"/>
            </w:rPr>
          </w:pPr>
          <w:proofErr w:type="gramStart"/>
          <w:r>
            <w:rPr>
              <w:lang w:val="fr-FR"/>
            </w:rPr>
            <w:t>página</w:t>
          </w:r>
          <w:proofErr w:type="gramEnd"/>
          <w:r>
            <w:rPr>
              <w:lang w:val="fr-FR"/>
            </w:rPr>
            <w:t xml:space="preserve"> </w:t>
          </w:r>
          <w:r w:rsidR="00092159">
            <w:rPr>
              <w:lang w:val="fr-FR"/>
            </w:rPr>
            <w:t>3</w:t>
          </w:r>
        </w:p>
      </w:tc>
      <w:tc>
        <w:tcPr>
          <w:tcW w:w="1701" w:type="dxa"/>
          <w:tcBorders>
            <w:top w:val="single" w:sz="6" w:space="0" w:color="auto"/>
            <w:left w:val="single" w:sz="6" w:space="0" w:color="auto"/>
            <w:bottom w:val="single" w:sz="6" w:space="0" w:color="auto"/>
            <w:right w:val="single" w:sz="6" w:space="0" w:color="auto"/>
          </w:tcBorders>
        </w:tcPr>
        <w:p w14:paraId="3D542EAF" w14:textId="575B53ED" w:rsidR="003C6A7A" w:rsidRDefault="003C6A7A" w:rsidP="00DF1284">
          <w:pPr>
            <w:pStyle w:val="HeaderRegProc"/>
            <w:rPr>
              <w:lang w:val="fr-CH"/>
            </w:rPr>
          </w:pPr>
          <w:proofErr w:type="gramStart"/>
          <w:r>
            <w:rPr>
              <w:lang w:val="fr-CH"/>
            </w:rPr>
            <w:t>rev</w:t>
          </w:r>
          <w:proofErr w:type="gramEnd"/>
          <w:r>
            <w:rPr>
              <w:lang w:val="fr-CH"/>
            </w:rPr>
            <w:t>.</w:t>
          </w:r>
          <w:r>
            <w:t xml:space="preserve"> </w:t>
          </w:r>
          <w:r w:rsidR="00FD7AC5">
            <w:t>-</w:t>
          </w:r>
        </w:p>
      </w:tc>
    </w:tr>
  </w:tbl>
  <w:p w14:paraId="637101B7" w14:textId="77777777" w:rsidR="003C6A7A" w:rsidRDefault="003C6A7A" w:rsidP="00DA5E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C6A7A" w14:paraId="14C3E84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3C8DA29" w14:textId="62E1B912" w:rsidR="003C6A7A" w:rsidRDefault="003C6A7A">
          <w:pPr>
            <w:pStyle w:val="HeaderRegProc"/>
          </w:pPr>
          <w:r>
            <w:t>Parte A</w:t>
          </w:r>
          <w:r>
            <w:fldChar w:fldCharType="begin"/>
          </w:r>
          <w:r>
            <w:instrText>styleref href</w:instrText>
          </w:r>
          <w:r>
            <w:fldChar w:fldCharType="separate"/>
          </w:r>
          <w:r w:rsidR="0077787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B660AAB" w14:textId="12354B6D" w:rsidR="003C6A7A" w:rsidRDefault="00E04C17">
          <w:pPr>
            <w:pStyle w:val="HeaderRegProc"/>
            <w:rPr>
              <w:lang w:val="fr-FR"/>
            </w:rPr>
          </w:pPr>
          <w:fldSimple w:instr=" DOCPROPERTY &quot;Header1&quot; \* MERGEFORMAT ">
            <w:r w:rsidR="00777877">
              <w:t>AP</w:t>
            </w:r>
          </w:fldSimple>
          <w:r w:rsidR="003C6A7A">
            <w:fldChar w:fldCharType="begin"/>
          </w:r>
          <w:r w:rsidR="003C6A7A">
            <w:instrText>styleref href2</w:instrText>
          </w:r>
          <w:r w:rsidR="003C6A7A">
            <w:fldChar w:fldCharType="separate"/>
          </w:r>
          <w:r w:rsidR="00777877">
            <w:rPr>
              <w:noProof/>
            </w:rPr>
            <w:t>4</w:t>
          </w:r>
          <w:r w:rsidR="003C6A7A">
            <w:fldChar w:fldCharType="end"/>
          </w:r>
        </w:p>
      </w:tc>
      <w:tc>
        <w:tcPr>
          <w:tcW w:w="1701" w:type="dxa"/>
          <w:tcBorders>
            <w:top w:val="single" w:sz="6" w:space="0" w:color="auto"/>
            <w:left w:val="single" w:sz="6" w:space="0" w:color="auto"/>
            <w:bottom w:val="single" w:sz="6" w:space="0" w:color="auto"/>
            <w:right w:val="single" w:sz="6" w:space="0" w:color="auto"/>
          </w:tcBorders>
        </w:tcPr>
        <w:p w14:paraId="24B42FAB" w14:textId="77777777" w:rsidR="003C6A7A" w:rsidRPr="009D5403" w:rsidRDefault="003C6A7A" w:rsidP="00097CC6">
          <w:pPr>
            <w:pStyle w:val="HeaderRegProc"/>
            <w:rPr>
              <w:i/>
              <w:iCs/>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957C07" w14:textId="1196B3EF" w:rsidR="003C6A7A" w:rsidRDefault="003C6A7A" w:rsidP="009D5403">
          <w:pPr>
            <w:pStyle w:val="HeaderRegProc"/>
            <w:rPr>
              <w:lang w:val="fr-CH"/>
            </w:rPr>
          </w:pPr>
          <w:proofErr w:type="gramStart"/>
          <w:r>
            <w:rPr>
              <w:lang w:val="fr-CH"/>
            </w:rPr>
            <w:t>rev</w:t>
          </w:r>
          <w:proofErr w:type="gramEnd"/>
          <w:r>
            <w:rPr>
              <w:lang w:val="fr-CH"/>
            </w:rPr>
            <w:t>.</w:t>
          </w:r>
          <w:r>
            <w:t xml:space="preserve"> </w:t>
          </w:r>
          <w:r w:rsidR="00092159">
            <w:t>-</w:t>
          </w:r>
        </w:p>
      </w:tc>
    </w:tr>
  </w:tbl>
  <w:p w14:paraId="3AB25CBC" w14:textId="77777777" w:rsidR="003C6A7A" w:rsidRDefault="003C6A7A">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21C25" w14:paraId="50E7A790" w14:textId="77777777" w:rsidTr="00E97390">
      <w:trPr>
        <w:cantSplit/>
        <w:jc w:val="right"/>
      </w:trPr>
      <w:tc>
        <w:tcPr>
          <w:tcW w:w="1701" w:type="dxa"/>
          <w:tcBorders>
            <w:top w:val="single" w:sz="6" w:space="0" w:color="auto"/>
            <w:left w:val="single" w:sz="6" w:space="0" w:color="auto"/>
            <w:bottom w:val="single" w:sz="6" w:space="0" w:color="auto"/>
            <w:right w:val="single" w:sz="6" w:space="0" w:color="auto"/>
          </w:tcBorders>
        </w:tcPr>
        <w:p w14:paraId="54D4F432" w14:textId="089508D8" w:rsidR="00421C25" w:rsidRDefault="00421C25" w:rsidP="00E97390">
          <w:pPr>
            <w:pStyle w:val="HeaderRegProc"/>
          </w:pPr>
          <w:r>
            <w:t>Parte A</w:t>
          </w:r>
          <w:r>
            <w:fldChar w:fldCharType="begin"/>
          </w:r>
          <w:r>
            <w:instrText>styleref href</w:instrText>
          </w:r>
          <w:r>
            <w:fldChar w:fldCharType="separate"/>
          </w:r>
          <w:r w:rsidR="0077787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A90AC5" w14:textId="48043E61" w:rsidR="00421C25" w:rsidRDefault="00E04C17" w:rsidP="00E97390">
          <w:pPr>
            <w:pStyle w:val="HeaderRegProc"/>
            <w:rPr>
              <w:lang w:val="fr-FR"/>
            </w:rPr>
          </w:pPr>
          <w:fldSimple w:instr=" DOCPROPERTY &quot;Header1&quot; \* MERGEFORMAT ">
            <w:r w:rsidR="00777877">
              <w:t>AP</w:t>
            </w:r>
          </w:fldSimple>
          <w:r w:rsidR="00421C25">
            <w:fldChar w:fldCharType="begin"/>
          </w:r>
          <w:r w:rsidR="00421C25">
            <w:instrText>styleref href2</w:instrText>
          </w:r>
          <w:r w:rsidR="00421C25">
            <w:fldChar w:fldCharType="separate"/>
          </w:r>
          <w:r w:rsidR="00777877">
            <w:rPr>
              <w:noProof/>
            </w:rPr>
            <w:t>4</w:t>
          </w:r>
          <w:r w:rsidR="00421C25">
            <w:fldChar w:fldCharType="end"/>
          </w:r>
        </w:p>
      </w:tc>
      <w:tc>
        <w:tcPr>
          <w:tcW w:w="1701" w:type="dxa"/>
          <w:tcBorders>
            <w:top w:val="single" w:sz="6" w:space="0" w:color="auto"/>
            <w:left w:val="single" w:sz="6" w:space="0" w:color="auto"/>
            <w:bottom w:val="single" w:sz="6" w:space="0" w:color="auto"/>
            <w:right w:val="single" w:sz="6" w:space="0" w:color="auto"/>
          </w:tcBorders>
        </w:tcPr>
        <w:p w14:paraId="580ECA8F" w14:textId="77777777" w:rsidR="00421C25" w:rsidRDefault="00421C25" w:rsidP="00E97390">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7DA31F" w14:textId="6326EF6D" w:rsidR="00421C25" w:rsidRDefault="00421C25" w:rsidP="00DF1284">
          <w:pPr>
            <w:pStyle w:val="HeaderRegProc"/>
            <w:rPr>
              <w:lang w:val="fr-CH"/>
            </w:rPr>
          </w:pPr>
          <w:proofErr w:type="gramStart"/>
          <w:r>
            <w:rPr>
              <w:lang w:val="fr-CH"/>
            </w:rPr>
            <w:t>rev</w:t>
          </w:r>
          <w:proofErr w:type="gramEnd"/>
          <w:r>
            <w:rPr>
              <w:lang w:val="fr-CH"/>
            </w:rPr>
            <w:t>.</w:t>
          </w:r>
          <w:r>
            <w:t xml:space="preserve"> </w:t>
          </w:r>
          <w:r w:rsidR="00FD7AC5">
            <w:t>-</w:t>
          </w:r>
        </w:p>
      </w:tc>
    </w:tr>
  </w:tbl>
  <w:p w14:paraId="62142E34" w14:textId="77777777" w:rsidR="00421C25" w:rsidRDefault="00421C25" w:rsidP="00DA5EF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92159" w14:paraId="25B81B33" w14:textId="77777777" w:rsidTr="00A05598">
      <w:trPr>
        <w:cantSplit/>
        <w:jc w:val="right"/>
      </w:trPr>
      <w:tc>
        <w:tcPr>
          <w:tcW w:w="1701" w:type="dxa"/>
          <w:tcBorders>
            <w:top w:val="single" w:sz="6" w:space="0" w:color="auto"/>
            <w:left w:val="single" w:sz="6" w:space="0" w:color="auto"/>
            <w:bottom w:val="single" w:sz="6" w:space="0" w:color="auto"/>
            <w:right w:val="single" w:sz="6" w:space="0" w:color="auto"/>
          </w:tcBorders>
        </w:tcPr>
        <w:p w14:paraId="6BE11F72" w14:textId="5D5C903F" w:rsidR="00092159" w:rsidRDefault="00092159" w:rsidP="00092159">
          <w:pPr>
            <w:pStyle w:val="HeaderRegProc"/>
          </w:pPr>
          <w:r>
            <w:t>Parte A</w:t>
          </w:r>
          <w:r>
            <w:fldChar w:fldCharType="begin"/>
          </w:r>
          <w:r>
            <w:instrText>styleref href</w:instrText>
          </w:r>
          <w:r>
            <w:fldChar w:fldCharType="separate"/>
          </w:r>
          <w:r w:rsidR="0077787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68044D6" w14:textId="558B1F9F" w:rsidR="00092159" w:rsidRDefault="00092159" w:rsidP="00092159">
          <w:pPr>
            <w:pStyle w:val="HeaderRegProc"/>
            <w:rPr>
              <w:lang w:val="fr-FR"/>
            </w:rPr>
          </w:pPr>
          <w:fldSimple w:instr=" DOCPROPERTY &quot;Header1&quot; \* MERGEFORMAT ">
            <w:r w:rsidR="00777877">
              <w:t>AP</w:t>
            </w:r>
          </w:fldSimple>
          <w:r>
            <w:fldChar w:fldCharType="begin"/>
          </w:r>
          <w:r>
            <w:instrText>styleref href2</w:instrText>
          </w:r>
          <w:r>
            <w:fldChar w:fldCharType="separate"/>
          </w:r>
          <w:r w:rsidR="00777877">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1DD9949" w14:textId="3608C179" w:rsidR="00092159" w:rsidRPr="003C6A7A" w:rsidRDefault="00092159" w:rsidP="00092159">
          <w:pPr>
            <w:pStyle w:val="HeaderRegProc"/>
            <w:rPr>
              <w:lang w:val="fr-CH"/>
            </w:rPr>
          </w:pPr>
          <w:proofErr w:type="gramStart"/>
          <w:r>
            <w:rPr>
              <w:lang w:val="fr-FR"/>
            </w:rPr>
            <w:t>página</w:t>
          </w:r>
          <w:proofErr w:type="gramEnd"/>
          <w:r>
            <w:rPr>
              <w:lang w:val="fr-FR"/>
            </w:rPr>
            <w:t xml:space="preserve"> 5</w:t>
          </w:r>
        </w:p>
      </w:tc>
      <w:tc>
        <w:tcPr>
          <w:tcW w:w="1701" w:type="dxa"/>
          <w:tcBorders>
            <w:top w:val="single" w:sz="6" w:space="0" w:color="auto"/>
            <w:left w:val="single" w:sz="6" w:space="0" w:color="auto"/>
            <w:bottom w:val="single" w:sz="6" w:space="0" w:color="auto"/>
            <w:right w:val="single" w:sz="6" w:space="0" w:color="auto"/>
          </w:tcBorders>
        </w:tcPr>
        <w:p w14:paraId="5D4E73AA" w14:textId="77777777" w:rsidR="00092159" w:rsidRDefault="00092159" w:rsidP="00092159">
          <w:pPr>
            <w:pStyle w:val="HeaderRegProc"/>
            <w:rPr>
              <w:lang w:val="fr-CH"/>
            </w:rPr>
          </w:pPr>
          <w:proofErr w:type="gramStart"/>
          <w:r>
            <w:rPr>
              <w:lang w:val="fr-CH"/>
            </w:rPr>
            <w:t>rev</w:t>
          </w:r>
          <w:proofErr w:type="gramEnd"/>
          <w:r>
            <w:rPr>
              <w:lang w:val="fr-CH"/>
            </w:rPr>
            <w:t>.</w:t>
          </w:r>
          <w:r>
            <w:t xml:space="preserve"> -</w:t>
          </w:r>
        </w:p>
      </w:tc>
    </w:tr>
  </w:tbl>
  <w:p w14:paraId="3CAC3E4F" w14:textId="77777777" w:rsidR="00454B7A" w:rsidRDefault="00454B7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004D6" w14:textId="77777777" w:rsidR="00FD7AC5" w:rsidRPr="00FD7AC5" w:rsidRDefault="00FD7AC5" w:rsidP="00FD7A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84B"/>
    <w:rsid w:val="00014758"/>
    <w:rsid w:val="00092159"/>
    <w:rsid w:val="00097CC6"/>
    <w:rsid w:val="00142712"/>
    <w:rsid w:val="001D26EE"/>
    <w:rsid w:val="00276630"/>
    <w:rsid w:val="003C6A7A"/>
    <w:rsid w:val="0041084B"/>
    <w:rsid w:val="00421C25"/>
    <w:rsid w:val="00421FBF"/>
    <w:rsid w:val="00454B7A"/>
    <w:rsid w:val="004D5E3A"/>
    <w:rsid w:val="00571015"/>
    <w:rsid w:val="006C6EED"/>
    <w:rsid w:val="006F26AF"/>
    <w:rsid w:val="00704901"/>
    <w:rsid w:val="00777877"/>
    <w:rsid w:val="00835E3F"/>
    <w:rsid w:val="00860408"/>
    <w:rsid w:val="008F67F6"/>
    <w:rsid w:val="00957942"/>
    <w:rsid w:val="0097241E"/>
    <w:rsid w:val="0097301F"/>
    <w:rsid w:val="009D5403"/>
    <w:rsid w:val="009E482D"/>
    <w:rsid w:val="009F7BC6"/>
    <w:rsid w:val="00A6497E"/>
    <w:rsid w:val="00AF0D08"/>
    <w:rsid w:val="00B34A03"/>
    <w:rsid w:val="00B50F24"/>
    <w:rsid w:val="00D0605A"/>
    <w:rsid w:val="00D105BE"/>
    <w:rsid w:val="00DA5EF2"/>
    <w:rsid w:val="00DF1284"/>
    <w:rsid w:val="00E04C17"/>
    <w:rsid w:val="00E77484"/>
    <w:rsid w:val="00E957B9"/>
    <w:rsid w:val="00E97390"/>
    <w:rsid w:val="00E9776E"/>
    <w:rsid w:val="00EF1AFC"/>
    <w:rsid w:val="00F95C20"/>
    <w:rsid w:val="00FB00B5"/>
    <w:rsid w:val="00FD7AC5"/>
    <w:rsid w:val="00FE21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7A2D58"/>
  <w15:docId w15:val="{EFAA09F6-62EE-452A-8E40-C85CC2B86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rsid w:val="00E77484"/>
    <w:pPr>
      <w:outlineLvl w:val="0"/>
    </w:pPr>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enumlev1Char">
    <w:name w:val="enumlev1 Char"/>
    <w:basedOn w:val="DefaultParagraphFont"/>
    <w:link w:val="enumlev1"/>
    <w:rsid w:val="006C6EED"/>
    <w:rPr>
      <w:sz w:val="24"/>
      <w:lang w:val="en-GB" w:eastAsia="en-US"/>
    </w:rPr>
  </w:style>
  <w:style w:type="character" w:styleId="Hyperlink">
    <w:name w:val="Hyperlink"/>
    <w:basedOn w:val="DefaultParagraphFont"/>
    <w:unhideWhenUsed/>
    <w:rsid w:val="00D060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15-WRC15-C-0004/es" TargetMode="External"/><Relationship Id="rId18" Type="http://schemas.openxmlformats.org/officeDocument/2006/relationships/header" Target="header8.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yperlink" Target="https://www.itu.int/md/R16-WRC19-C-0451/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www.itu.int/md/R15-WRC15-C-0505/es" TargetMode="Externa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itu.int/md/R16-WRC19-C-0004/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A320-BBC9-428A-9618-2D1120FA1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85</TotalTime>
  <Pages>6</Pages>
  <Words>2027</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Règles de procédures / Edición 2024</vt:lpstr>
    </vt:vector>
  </TitlesOfParts>
  <Manager>CP--107223/DD</Manager>
  <Company>ITU</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2024</dc:title>
  <dc:subject>AP4</dc:subject>
  <dc:creator>Composition des Publications</dc:creator>
  <cp:keywords>FOLIOS:  1  -  2</cp:keywords>
  <dc:description>Edition 2009:  13.02.2009/DD (dict. ok)</dc:description>
  <cp:lastModifiedBy>Saez Grau, Ricardo</cp:lastModifiedBy>
  <cp:revision>36</cp:revision>
  <cp:lastPrinted>2025-11-28T15:08:00Z</cp:lastPrinted>
  <dcterms:created xsi:type="dcterms:W3CDTF">2012-10-02T09:54:00Z</dcterms:created>
  <dcterms:modified xsi:type="dcterms:W3CDTF">2025-11-28T15:08:00Z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