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48B9D" w14:textId="77777777" w:rsidR="001531A7" w:rsidRPr="003C34C5" w:rsidRDefault="001531A7" w:rsidP="003C34C5">
      <w:pPr>
        <w:pStyle w:val="Heading1"/>
        <w:spacing w:before="300"/>
        <w:jc w:val="center"/>
        <w:rPr>
          <w:lang w:val="es-ES_tradnl"/>
        </w:rPr>
      </w:pPr>
      <w:r w:rsidRPr="003C34C5">
        <w:rPr>
          <w:lang w:val="es-ES_tradnl"/>
        </w:rPr>
        <w:t>Reglas relativas al</w:t>
      </w:r>
    </w:p>
    <w:p w14:paraId="323CE39F" w14:textId="77777777" w:rsidR="001531A7" w:rsidRDefault="001531A7">
      <w:pPr>
        <w:pStyle w:val="Heading2"/>
        <w:jc w:val="center"/>
        <w:rPr>
          <w:lang w:val="es-ES_tradnl"/>
        </w:rPr>
      </w:pPr>
      <w:r w:rsidRPr="003C34C5">
        <w:rPr>
          <w:lang w:val="es-ES_tradnl"/>
        </w:rPr>
        <w:t xml:space="preserve">ARTÍCULO </w:t>
      </w:r>
      <w:r w:rsidR="003C34C5" w:rsidRPr="003C34C5">
        <w:rPr>
          <w:lang w:val="es-ES_tradnl"/>
        </w:rPr>
        <w:t xml:space="preserve"> </w:t>
      </w:r>
      <w:r w:rsidRPr="003C34C5">
        <w:rPr>
          <w:rStyle w:val="href2"/>
          <w:lang w:val="es-ES_tradnl"/>
        </w:rPr>
        <w:t>23</w:t>
      </w:r>
      <w:r w:rsidRPr="003C34C5">
        <w:rPr>
          <w:lang w:val="es-ES_tradnl"/>
        </w:rPr>
        <w:t xml:space="preserve"> del RR</w:t>
      </w:r>
    </w:p>
    <w:p w14:paraId="64F51F94" w14:textId="6C7F756C" w:rsidR="001531A7" w:rsidRPr="003C34C5" w:rsidRDefault="001531A7" w:rsidP="002074AC">
      <w:pPr>
        <w:pStyle w:val="Heading8"/>
        <w:spacing w:before="240"/>
        <w:jc w:val="left"/>
        <w:rPr>
          <w:lang w:val="es-ES_tradnl"/>
        </w:rPr>
      </w:pPr>
      <w:r w:rsidRPr="003C34C5">
        <w:rPr>
          <w:lang w:val="es-ES_tradnl"/>
        </w:rPr>
        <w:t>23.13B</w:t>
      </w:r>
      <w:r w:rsidR="002074AC">
        <w:rPr>
          <w:lang w:val="es-ES_tradnl"/>
        </w:rPr>
        <w:t xml:space="preserve"> y</w:t>
      </w:r>
      <w:r w:rsidRPr="003C34C5">
        <w:rPr>
          <w:lang w:val="es-ES_tradnl"/>
        </w:rPr>
        <w:br/>
        <w:t>23.13C</w:t>
      </w:r>
    </w:p>
    <w:p w14:paraId="2AC96249" w14:textId="1D724438" w:rsidR="001531A7" w:rsidRPr="003C34C5" w:rsidRDefault="001531A7" w:rsidP="00D21ECD">
      <w:pPr>
        <w:rPr>
          <w:lang w:val="es-ES_tradnl"/>
        </w:rPr>
      </w:pPr>
      <w:r w:rsidRPr="003C34C5">
        <w:rPr>
          <w:lang w:val="es-ES_tradnl"/>
        </w:rPr>
        <w:t>1</w:t>
      </w:r>
      <w:r w:rsidRPr="003C34C5">
        <w:rPr>
          <w:lang w:val="es-ES_tradnl"/>
        </w:rPr>
        <w:tab/>
        <w:t>En caso de desacuerdo de una administración sobre la inclusión de su territorio en la zona de servicio de una red del servicio de radiodifusión por satélite (salvo radiodifusión sonora), la Oficina modificará dicha zona de servicio excluyendo el territorio de la admi</w:t>
      </w:r>
      <w:r w:rsidR="003C34C5" w:rsidRPr="003C34C5">
        <w:rPr>
          <w:lang w:val="es-ES_tradnl"/>
        </w:rPr>
        <w:softHyphen/>
      </w:r>
      <w:r w:rsidRPr="003C34C5">
        <w:rPr>
          <w:lang w:val="es-ES_tradnl"/>
        </w:rPr>
        <w:t>nistración que plantea objeciones y, para las presentaciones con arreglo al Artículo</w:t>
      </w:r>
      <w:r w:rsidR="00030EA6">
        <w:rPr>
          <w:lang w:val="es-ES_tradnl"/>
        </w:rPr>
        <w:t> </w:t>
      </w:r>
      <w:r w:rsidRPr="003C34C5">
        <w:rPr>
          <w:lang w:val="es-ES_tradnl"/>
        </w:rPr>
        <w:t>4 del Apéndice </w:t>
      </w:r>
      <w:r w:rsidRPr="003C34C5">
        <w:rPr>
          <w:rStyle w:val="Appref"/>
          <w:b/>
          <w:bCs/>
          <w:color w:val="000000"/>
          <w:lang w:val="es-ES_tradnl"/>
        </w:rPr>
        <w:t>30</w:t>
      </w:r>
      <w:r w:rsidRPr="003C34C5">
        <w:rPr>
          <w:lang w:val="es-ES_tradnl"/>
        </w:rPr>
        <w:t>, excluyendo los puntos de prueba citados en dicho territorio de la zona de servicio de la estación espacial del SRS propuesta. La exclusión del territorio de las adminis</w:t>
      </w:r>
      <w:r w:rsidR="003C34C5" w:rsidRPr="003C34C5">
        <w:rPr>
          <w:lang w:val="es-ES_tradnl"/>
        </w:rPr>
        <w:softHyphen/>
      </w:r>
      <w:r w:rsidRPr="003C34C5">
        <w:rPr>
          <w:lang w:val="es-ES_tradnl"/>
        </w:rPr>
        <w:t>traciones que presentan objeciones de la zona de servicio deberá reflejarse en el sistema de redes espaciales (SNS) de la Oficina. En estos casos, la recepción de las emisiones de la estación espacial del SRS no tendrá derecho a protección dentro del territorio excluido de la zona de servicio.</w:t>
      </w:r>
    </w:p>
    <w:p w14:paraId="0ACC451E" w14:textId="77777777" w:rsidR="001531A7" w:rsidRPr="003C34C5" w:rsidRDefault="001531A7">
      <w:pPr>
        <w:rPr>
          <w:lang w:val="es-ES_tradnl"/>
        </w:rPr>
      </w:pPr>
      <w:r w:rsidRPr="003C34C5">
        <w:rPr>
          <w:lang w:val="es-ES_tradnl"/>
        </w:rPr>
        <w:t>2</w:t>
      </w:r>
      <w:r w:rsidRPr="003C34C5">
        <w:rPr>
          <w:lang w:val="es-ES_tradnl"/>
        </w:rPr>
        <w:tab/>
        <w:t>Si, como consecuencia de lo anterior, la administración notificante pide a la Oficina que desplace los puntos de prueba para asegurar que el resto de la zona de servicio no resulta afectada, la Oficina introducirá los cambios solicitados y actualizará la situación de referencia de la red en cuestión. No obstante, la Oficina no necesita examinar los requisitos de coordinación de redes posteriores que ya se han publicado como resultado de la actualización mencionada.</w:t>
      </w:r>
    </w:p>
    <w:p w14:paraId="59844505" w14:textId="77777777" w:rsidR="0071293D" w:rsidRPr="0071293D" w:rsidRDefault="0071293D" w:rsidP="0071293D">
      <w:pPr>
        <w:rPr>
          <w:rFonts w:eastAsia="SimSun"/>
          <w:lang w:val="es-ES_tradnl"/>
        </w:rPr>
      </w:pPr>
      <w:r w:rsidRPr="0071293D">
        <w:rPr>
          <w:rFonts w:asciiTheme="majorBidi" w:hAnsiTheme="majorBidi" w:cstheme="majorBidi"/>
          <w:b/>
          <w:bCs/>
          <w:szCs w:val="24"/>
          <w:lang w:val="es-ES_tradnl"/>
        </w:rPr>
        <w:t>Nota</w:t>
      </w:r>
      <w:r w:rsidRPr="0071293D">
        <w:rPr>
          <w:lang w:val="es-ES_tradnl"/>
        </w:rPr>
        <w:t xml:space="preserve"> – </w:t>
      </w:r>
      <w:r w:rsidRPr="0071293D">
        <w:rPr>
          <w:rFonts w:asciiTheme="majorBidi" w:hAnsiTheme="majorBidi" w:cstheme="majorBidi"/>
          <w:szCs w:val="24"/>
          <w:lang w:val="es-ES_tradnl"/>
        </w:rPr>
        <w:t xml:space="preserve">La CMR-15 tomó una decisión relacionada con la Regla de Procedimiento relativa a los números </w:t>
      </w:r>
      <w:r w:rsidRPr="0071293D">
        <w:rPr>
          <w:rFonts w:asciiTheme="majorBidi" w:hAnsiTheme="majorBidi" w:cstheme="majorBidi"/>
          <w:b/>
          <w:bCs/>
          <w:szCs w:val="24"/>
          <w:lang w:val="es-ES_tradnl"/>
        </w:rPr>
        <w:t>23.13B</w:t>
      </w:r>
      <w:r w:rsidRPr="0071293D">
        <w:rPr>
          <w:rFonts w:asciiTheme="majorBidi" w:hAnsiTheme="majorBidi" w:cstheme="majorBidi"/>
          <w:szCs w:val="24"/>
          <w:lang w:val="es-ES_tradnl"/>
        </w:rPr>
        <w:t xml:space="preserve"> y </w:t>
      </w:r>
      <w:r w:rsidRPr="0071293D">
        <w:rPr>
          <w:rFonts w:asciiTheme="majorBidi" w:hAnsiTheme="majorBidi" w:cstheme="majorBidi"/>
          <w:b/>
          <w:bCs/>
          <w:szCs w:val="24"/>
          <w:lang w:val="es-ES_tradnl"/>
        </w:rPr>
        <w:t>23.13C</w:t>
      </w:r>
      <w:r w:rsidRPr="0071293D">
        <w:rPr>
          <w:rFonts w:asciiTheme="majorBidi" w:hAnsiTheme="majorBidi" w:cstheme="majorBidi"/>
          <w:szCs w:val="24"/>
          <w:lang w:val="es-ES_tradnl"/>
        </w:rPr>
        <w:t xml:space="preserve"> durante la 8ª </w:t>
      </w:r>
      <w:r w:rsidRPr="0071293D">
        <w:rPr>
          <w:lang w:val="es-ES_tradnl"/>
        </w:rPr>
        <w:t>Sesión</w:t>
      </w:r>
      <w:r w:rsidRPr="0071293D">
        <w:rPr>
          <w:rFonts w:asciiTheme="majorBidi" w:hAnsiTheme="majorBidi" w:cstheme="majorBidi"/>
          <w:szCs w:val="24"/>
          <w:lang w:val="es-ES_tradnl"/>
        </w:rPr>
        <w:t xml:space="preserve"> Plenaria (véanse los párrafos 1.39 a 1.42 del Documento 505 de la CMR-15) con la aprobación del Documento 416 de la CMR-15 en relación con el apartado 3.2.4.2 del Documento 4 (Add.2)(Rev.1)</w:t>
      </w:r>
      <w:r w:rsidRPr="0071293D">
        <w:rPr>
          <w:rFonts w:asciiTheme="majorBidi" w:eastAsia="SimSun" w:hAnsiTheme="majorBidi" w:cstheme="majorBidi"/>
          <w:szCs w:val="24"/>
          <w:lang w:val="es-ES_tradnl" w:eastAsia="zh-CN"/>
        </w:rPr>
        <w:t xml:space="preserve">, </w:t>
      </w:r>
      <w:r w:rsidRPr="0071293D">
        <w:rPr>
          <w:rFonts w:asciiTheme="majorBidi" w:hAnsiTheme="majorBidi" w:cstheme="majorBidi"/>
          <w:szCs w:val="24"/>
          <w:lang w:val="es-ES_tradnl"/>
        </w:rPr>
        <w:t>y estipuló lo siguiente</w:t>
      </w:r>
      <w:r w:rsidRPr="0071293D">
        <w:rPr>
          <w:rFonts w:asciiTheme="majorBidi" w:eastAsia="SimSun" w:hAnsiTheme="majorBidi" w:cstheme="majorBidi"/>
          <w:szCs w:val="24"/>
          <w:lang w:val="es-ES_tradnl" w:eastAsia="zh-CN"/>
        </w:rPr>
        <w:t>:</w:t>
      </w:r>
    </w:p>
    <w:p w14:paraId="4258C8B4" w14:textId="24E43742" w:rsidR="0071293D" w:rsidRPr="0071293D" w:rsidRDefault="0071293D" w:rsidP="0071293D">
      <w:pPr>
        <w:rPr>
          <w:i/>
          <w:iCs/>
          <w:spacing w:val="-6"/>
          <w:lang w:val="es-ES_tradnl"/>
        </w:rPr>
      </w:pPr>
      <w:r w:rsidRPr="0071293D">
        <w:rPr>
          <w:i/>
          <w:iCs/>
          <w:spacing w:val="-6"/>
          <w:lang w:val="es-ES_tradnl"/>
        </w:rPr>
        <w:t xml:space="preserve">«De conformidad con el número </w:t>
      </w:r>
      <w:r w:rsidRPr="0071293D">
        <w:rPr>
          <w:b/>
          <w:bCs/>
          <w:i/>
          <w:iCs/>
          <w:spacing w:val="-6"/>
          <w:lang w:val="es-ES_tradnl"/>
        </w:rPr>
        <w:t xml:space="preserve">23.13B </w:t>
      </w:r>
      <w:r w:rsidRPr="0071293D">
        <w:rPr>
          <w:i/>
          <w:iCs/>
          <w:spacing w:val="-6"/>
          <w:lang w:val="es-ES_tradnl"/>
        </w:rPr>
        <w:t>del Reglamento de Radiocomunicaciones, si en el plazo de cuatro</w:t>
      </w:r>
      <w:r w:rsidR="002074AC">
        <w:rPr>
          <w:i/>
          <w:iCs/>
          <w:spacing w:val="-6"/>
          <w:lang w:val="es-ES_tradnl"/>
        </w:rPr>
        <w:t> </w:t>
      </w:r>
      <w:r w:rsidRPr="0071293D">
        <w:rPr>
          <w:i/>
          <w:iCs/>
          <w:spacing w:val="-6"/>
          <w:lang w:val="es-ES_tradnl"/>
        </w:rPr>
        <w:t xml:space="preserve">meses tras la publicación de la sección especial de una red del servicio de radiodifusión por satélite en virtud del Apéndice </w:t>
      </w:r>
      <w:r w:rsidRPr="0071293D">
        <w:rPr>
          <w:b/>
          <w:bCs/>
          <w:i/>
          <w:iCs/>
          <w:spacing w:val="-6"/>
          <w:lang w:val="es-ES_tradnl"/>
        </w:rPr>
        <w:t>30</w:t>
      </w:r>
      <w:r w:rsidRPr="0071293D">
        <w:rPr>
          <w:i/>
          <w:iCs/>
          <w:spacing w:val="-6"/>
          <w:lang w:val="es-ES_tradnl"/>
        </w:rPr>
        <w:t>, una administración informa a la Oficina de que no se han utilizado todos los medios técnicos para disminuir la radiación en su territorio, la Oficina señalará a la atención de la administración responsable los comentarios recibidos.</w:t>
      </w:r>
    </w:p>
    <w:p w14:paraId="63186CD7" w14:textId="77777777" w:rsidR="00E0428C" w:rsidRDefault="00E0428C" w:rsidP="0071293D">
      <w:pPr>
        <w:rPr>
          <w:i/>
          <w:iCs/>
          <w:lang w:val="es-ES_tradnl"/>
        </w:rPr>
      </w:pPr>
      <w:r>
        <w:rPr>
          <w:i/>
          <w:iCs/>
          <w:lang w:val="es-ES_tradnl"/>
        </w:rPr>
        <w:br w:type="page"/>
      </w:r>
    </w:p>
    <w:p w14:paraId="3B1470F0" w14:textId="77777777" w:rsidR="0071293D" w:rsidRPr="0071293D" w:rsidRDefault="0071293D" w:rsidP="0071293D">
      <w:pPr>
        <w:rPr>
          <w:i/>
          <w:iCs/>
          <w:lang w:val="es-ES_tradnl"/>
        </w:rPr>
      </w:pPr>
      <w:r w:rsidRPr="0071293D">
        <w:rPr>
          <w:i/>
          <w:iCs/>
          <w:lang w:val="es-ES_tradnl"/>
        </w:rPr>
        <w:lastRenderedPageBreak/>
        <w:t>Aunque no se impone a la Oficina un plazo para actuar, hasta la fecha la Oficina envía un fax a las administraciones responsable y solicitante inmediatamente después de recibir los comentarios solicitando a ambas administraciones que hagan todo lo posible para resolver el problema. Dado el número cada vez mayor de comentarios recibidos en virtud del número</w:t>
      </w:r>
      <w:r>
        <w:rPr>
          <w:i/>
          <w:iCs/>
          <w:lang w:val="es-ES_tradnl"/>
        </w:rPr>
        <w:t> </w:t>
      </w:r>
      <w:r w:rsidRPr="0071293D">
        <w:rPr>
          <w:b/>
          <w:bCs/>
          <w:i/>
          <w:iCs/>
          <w:lang w:val="es-ES_tradnl"/>
        </w:rPr>
        <w:t>23.13B</w:t>
      </w:r>
      <w:r w:rsidRPr="0071293D">
        <w:rPr>
          <w:i/>
          <w:iCs/>
          <w:lang w:val="es-ES_tradnl"/>
        </w:rPr>
        <w:t>, este proceder está afectando a la carga de trabajo de la Oficina.</w:t>
      </w:r>
    </w:p>
    <w:p w14:paraId="1A3D7231" w14:textId="5ACD7C47" w:rsidR="0071293D" w:rsidRPr="00E0428C" w:rsidRDefault="0071293D" w:rsidP="00E0428C">
      <w:pPr>
        <w:rPr>
          <w:i/>
          <w:iCs/>
          <w:lang w:val="es-ES_tradnl"/>
        </w:rPr>
      </w:pPr>
      <w:r w:rsidRPr="0071293D">
        <w:rPr>
          <w:i/>
          <w:iCs/>
          <w:lang w:val="es-ES_tradnl"/>
        </w:rPr>
        <w:t xml:space="preserve">A fin de realizar esta tarea de manera más eficaz y optimizar los recursos de la Oficina, se propone enviar una comunicación multipaís, por una parte, a todas las administraciones que han formulado observaciones en virtud del número </w:t>
      </w:r>
      <w:r w:rsidRPr="0071293D">
        <w:rPr>
          <w:b/>
          <w:bCs/>
          <w:i/>
          <w:iCs/>
          <w:lang w:val="es-ES_tradnl"/>
        </w:rPr>
        <w:t>23.13B</w:t>
      </w:r>
      <w:r w:rsidRPr="0071293D">
        <w:rPr>
          <w:i/>
          <w:iCs/>
          <w:lang w:val="es-ES_tradnl"/>
        </w:rPr>
        <w:t xml:space="preserve">, y por la otra, a la administración responsable de la red de satélites del servicio de radiodifusión por satélite cuando se cumpla el periodo reglamentario de cuatro meses para presentar observaciones sobre la red de satélites del SRS comunicadas con arreglo al Apéndice </w:t>
      </w:r>
      <w:r w:rsidRPr="0071293D">
        <w:rPr>
          <w:b/>
          <w:bCs/>
          <w:i/>
          <w:iCs/>
          <w:lang w:val="es-ES_tradnl"/>
        </w:rPr>
        <w:t>30</w:t>
      </w:r>
      <w:r w:rsidRPr="0071293D">
        <w:rPr>
          <w:rFonts w:asciiTheme="minorHAnsi" w:hAnsiTheme="minorHAnsi"/>
          <w:i/>
          <w:iCs/>
          <w:szCs w:val="24"/>
          <w:lang w:val="es-ES_tradnl"/>
        </w:rPr>
        <w:t>.</w:t>
      </w:r>
      <w:r w:rsidRPr="0071293D">
        <w:rPr>
          <w:i/>
          <w:iCs/>
          <w:lang w:val="es-ES_tradnl"/>
        </w:rPr>
        <w:t>»</w:t>
      </w:r>
    </w:p>
    <w:p w14:paraId="425294D2" w14:textId="77777777" w:rsidR="001531A7" w:rsidRPr="003C34C5" w:rsidRDefault="001531A7">
      <w:pPr>
        <w:jc w:val="center"/>
        <w:rPr>
          <w:lang w:val="es-ES_tradnl"/>
        </w:rPr>
      </w:pPr>
      <w:r w:rsidRPr="003C34C5">
        <w:rPr>
          <w:lang w:val="es-ES_tradnl"/>
        </w:rPr>
        <w:t>____________________</w:t>
      </w:r>
    </w:p>
    <w:p w14:paraId="75242004" w14:textId="77777777" w:rsidR="001531A7" w:rsidRDefault="001531A7" w:rsidP="003C34C5">
      <w:pPr>
        <w:rPr>
          <w:lang w:val="es-ES_tradnl"/>
        </w:rPr>
      </w:pPr>
    </w:p>
    <w:p w14:paraId="05ED3098" w14:textId="4F14036D" w:rsidR="00E0428C" w:rsidRDefault="00E0428C" w:rsidP="003C34C5">
      <w:pPr>
        <w:rPr>
          <w:lang w:val="es-ES_tradnl"/>
        </w:rPr>
      </w:pPr>
    </w:p>
    <w:p w14:paraId="4DD45BCA" w14:textId="2C9F6594" w:rsidR="00FF07E7" w:rsidRDefault="00FF07E7" w:rsidP="003C34C5">
      <w:pPr>
        <w:rPr>
          <w:lang w:val="es-ES_tradnl"/>
        </w:rPr>
      </w:pPr>
    </w:p>
    <w:p w14:paraId="7A08A44C" w14:textId="42F81FDC" w:rsidR="00FF07E7" w:rsidRDefault="00FF07E7" w:rsidP="003C34C5">
      <w:pPr>
        <w:rPr>
          <w:lang w:val="es-ES_tradnl"/>
        </w:rPr>
      </w:pPr>
    </w:p>
    <w:p w14:paraId="43EB1B48" w14:textId="77777777" w:rsidR="00144DFE" w:rsidRDefault="00144DFE" w:rsidP="003C34C5">
      <w:pPr>
        <w:rPr>
          <w:lang w:val="es-ES_tradnl"/>
        </w:rPr>
      </w:pPr>
    </w:p>
    <w:p w14:paraId="776DE380" w14:textId="77777777" w:rsidR="00E0428C" w:rsidRDefault="00E0428C" w:rsidP="003C34C5">
      <w:pPr>
        <w:rPr>
          <w:lang w:val="es-ES_tradnl"/>
        </w:rPr>
      </w:pPr>
    </w:p>
    <w:p w14:paraId="4DBD8CC0" w14:textId="77777777" w:rsidR="00E0428C" w:rsidRPr="003C34C5" w:rsidRDefault="00E0428C" w:rsidP="003C34C5">
      <w:pPr>
        <w:rPr>
          <w:lang w:val="es-ES_tradnl"/>
        </w:rPr>
      </w:pPr>
    </w:p>
    <w:p w14:paraId="7BCD8746" w14:textId="77777777" w:rsidR="001531A7" w:rsidRPr="003C34C5" w:rsidRDefault="001531A7" w:rsidP="003C34C5">
      <w:pPr>
        <w:rPr>
          <w:lang w:val="es-ES_tradnl"/>
        </w:rPr>
      </w:pPr>
    </w:p>
    <w:p w14:paraId="16CB8D5B" w14:textId="77777777" w:rsidR="001531A7" w:rsidRPr="003C34C5" w:rsidRDefault="001531A7" w:rsidP="003C34C5">
      <w:pPr>
        <w:rPr>
          <w:lang w:val="es-ES_tradnl"/>
        </w:rPr>
      </w:pPr>
    </w:p>
    <w:p w14:paraId="19FA9887" w14:textId="77777777" w:rsidR="001531A7" w:rsidRPr="003C34C5" w:rsidRDefault="001531A7" w:rsidP="003C34C5">
      <w:pPr>
        <w:rPr>
          <w:lang w:val="es-ES_tradnl"/>
        </w:rPr>
      </w:pPr>
    </w:p>
    <w:p w14:paraId="3DBA3CEC" w14:textId="77777777" w:rsidR="001531A7" w:rsidRPr="003C34C5" w:rsidRDefault="001531A7" w:rsidP="003C34C5">
      <w:pPr>
        <w:rPr>
          <w:lang w:val="es-ES_tradnl"/>
        </w:rPr>
      </w:pPr>
    </w:p>
    <w:p w14:paraId="2CC00752" w14:textId="77777777" w:rsidR="001531A7" w:rsidRPr="003C34C5" w:rsidRDefault="001531A7" w:rsidP="003C34C5">
      <w:pPr>
        <w:rPr>
          <w:lang w:val="es-ES_tradnl"/>
        </w:rPr>
      </w:pPr>
    </w:p>
    <w:p w14:paraId="5DE5A99B" w14:textId="77777777" w:rsidR="001531A7" w:rsidRPr="003C34C5" w:rsidRDefault="001531A7" w:rsidP="003C34C5">
      <w:pPr>
        <w:rPr>
          <w:lang w:val="es-ES_tradnl"/>
        </w:rPr>
      </w:pPr>
    </w:p>
    <w:p w14:paraId="4EA890D3" w14:textId="77777777" w:rsidR="001531A7" w:rsidRPr="003C34C5" w:rsidRDefault="001531A7" w:rsidP="003C34C5">
      <w:pPr>
        <w:rPr>
          <w:lang w:val="es-ES_tradnl"/>
        </w:rPr>
      </w:pPr>
    </w:p>
    <w:p w14:paraId="33C8CF9C" w14:textId="77777777" w:rsidR="001531A7" w:rsidRPr="003C34C5" w:rsidRDefault="001531A7" w:rsidP="003C34C5">
      <w:pPr>
        <w:rPr>
          <w:lang w:val="es-ES_tradnl"/>
        </w:rPr>
        <w:sectPr w:rsidR="001531A7" w:rsidRPr="003C34C5">
          <w:headerReference w:type="even" r:id="rId6"/>
          <w:headerReference w:type="first" r:id="rId7"/>
          <w:footnotePr>
            <w:pos w:val="beneathText"/>
          </w:footnotePr>
          <w:type w:val="oddPage"/>
          <w:pgSz w:w="11907" w:h="16840" w:code="9"/>
          <w:pgMar w:top="1701" w:right="851" w:bottom="1134" w:left="1985" w:header="720" w:footer="482" w:gutter="0"/>
          <w:cols w:space="720"/>
          <w:vAlign w:val="both"/>
          <w:titlePg/>
        </w:sectPr>
      </w:pPr>
    </w:p>
    <w:p w14:paraId="39D16F29" w14:textId="77777777" w:rsidR="001531A7" w:rsidRPr="003C34C5" w:rsidRDefault="001531A7" w:rsidP="003C34C5">
      <w:pPr>
        <w:rPr>
          <w:lang w:val="es-ES_tradnl"/>
        </w:rPr>
      </w:pPr>
    </w:p>
    <w:sectPr w:rsidR="001531A7" w:rsidRPr="003C34C5">
      <w:headerReference w:type="even" r:id="rId8"/>
      <w:headerReference w:type="default" r:id="rId9"/>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E4B3A" w14:textId="77777777" w:rsidR="00EC6EA6" w:rsidRDefault="00EC6EA6">
      <w:r>
        <w:separator/>
      </w:r>
    </w:p>
  </w:endnote>
  <w:endnote w:type="continuationSeparator" w:id="0">
    <w:p w14:paraId="68C27275" w14:textId="77777777" w:rsidR="00EC6EA6" w:rsidRDefault="00EC6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2496B" w14:textId="77777777" w:rsidR="00EC6EA6" w:rsidRDefault="00EC6EA6">
      <w:r>
        <w:rPr>
          <w:b/>
        </w:rPr>
        <w:t>_______________</w:t>
      </w:r>
    </w:p>
  </w:footnote>
  <w:footnote w:type="continuationSeparator" w:id="0">
    <w:p w14:paraId="445A9B9F" w14:textId="77777777" w:rsidR="00EC6EA6" w:rsidRDefault="00EC6E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0428C" w14:paraId="7F82F5BC" w14:textId="77777777" w:rsidTr="00E0428C">
      <w:trPr>
        <w:cantSplit/>
      </w:trPr>
      <w:tc>
        <w:tcPr>
          <w:tcW w:w="1701" w:type="dxa"/>
          <w:tcBorders>
            <w:top w:val="single" w:sz="6" w:space="0" w:color="auto"/>
            <w:left w:val="single" w:sz="6" w:space="0" w:color="auto"/>
            <w:bottom w:val="single" w:sz="6" w:space="0" w:color="auto"/>
            <w:right w:val="single" w:sz="6" w:space="0" w:color="auto"/>
          </w:tcBorders>
        </w:tcPr>
        <w:p w14:paraId="592B2819" w14:textId="77777777" w:rsidR="00E0428C" w:rsidRDefault="00E0428C" w:rsidP="00E0428C">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67AE34B3" w14:textId="33B0FFD4" w:rsidR="00E0428C" w:rsidRDefault="00144DFE" w:rsidP="00E0428C">
          <w:pPr>
            <w:pStyle w:val="HeaderRegProc"/>
          </w:pPr>
          <w:fldSimple w:instr=" DOCPROPERTY &quot;Header&quot; \* MERGEFORMAT ">
            <w:r w:rsidR="00254983">
              <w:t>AR</w:t>
            </w:r>
          </w:fldSimple>
          <w:r w:rsidR="00E0428C">
            <w:fldChar w:fldCharType="begin"/>
          </w:r>
          <w:r w:rsidR="00E0428C">
            <w:instrText>styleref href2</w:instrText>
          </w:r>
          <w:r w:rsidR="00E0428C">
            <w:fldChar w:fldCharType="separate"/>
          </w:r>
          <w:r w:rsidR="00254983">
            <w:rPr>
              <w:noProof/>
            </w:rPr>
            <w:t>23</w:t>
          </w:r>
          <w:r w:rsidR="00E0428C">
            <w:fldChar w:fldCharType="end"/>
          </w:r>
        </w:p>
      </w:tc>
      <w:tc>
        <w:tcPr>
          <w:tcW w:w="1701" w:type="dxa"/>
          <w:tcBorders>
            <w:top w:val="single" w:sz="6" w:space="0" w:color="auto"/>
            <w:left w:val="single" w:sz="6" w:space="0" w:color="auto"/>
            <w:bottom w:val="single" w:sz="6" w:space="0" w:color="auto"/>
            <w:right w:val="single" w:sz="6" w:space="0" w:color="auto"/>
          </w:tcBorders>
        </w:tcPr>
        <w:p w14:paraId="2128AD44" w14:textId="77777777" w:rsidR="00E0428C" w:rsidRDefault="00E0428C" w:rsidP="00E0428C">
          <w:pPr>
            <w:pStyle w:val="HeaderRegProc"/>
            <w:rPr>
              <w:lang w:val="fr-CH"/>
            </w:rPr>
          </w:pPr>
          <w:r>
            <w:t xml:space="preserve">página </w:t>
          </w:r>
          <w:r>
            <w:rPr>
              <w:rStyle w:val="PageNumber"/>
            </w:rPr>
            <w:fldChar w:fldCharType="begin"/>
          </w:r>
          <w:r>
            <w:rPr>
              <w:rStyle w:val="PageNumber"/>
            </w:rPr>
            <w:instrText xml:space="preserve"> PAGE </w:instrText>
          </w:r>
          <w:r>
            <w:rPr>
              <w:rStyle w:val="PageNumber"/>
            </w:rPr>
            <w:fldChar w:fldCharType="separate"/>
          </w:r>
          <w:r w:rsidR="00C92C38">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08BD54F" w14:textId="77777777" w:rsidR="00E0428C" w:rsidRDefault="00E0428C" w:rsidP="00E0428C">
          <w:pPr>
            <w:pStyle w:val="HeaderRegProc"/>
            <w:rPr>
              <w:lang w:val="fr-CH"/>
            </w:rPr>
          </w:pPr>
          <w:proofErr w:type="gramStart"/>
          <w:r>
            <w:rPr>
              <w:lang w:val="fr-CH"/>
            </w:rPr>
            <w:t>rev</w:t>
          </w:r>
          <w:proofErr w:type="gramEnd"/>
          <w:r>
            <w:rPr>
              <w:lang w:val="fr-CH"/>
            </w:rPr>
            <w:t>.</w:t>
          </w:r>
          <w:r>
            <w:t xml:space="preserve"> -</w:t>
          </w:r>
        </w:p>
      </w:tc>
    </w:tr>
  </w:tbl>
  <w:p w14:paraId="5E1A3CC8" w14:textId="77777777" w:rsidR="00E0428C" w:rsidRDefault="00E042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531A7" w14:paraId="21C8DC2A"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E9907F0" w14:textId="77777777" w:rsidR="001531A7" w:rsidRDefault="001531A7">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2FD2725B" w14:textId="62575BA7" w:rsidR="001531A7" w:rsidRDefault="00144DFE">
          <w:pPr>
            <w:pStyle w:val="HeaderRegProc"/>
          </w:pPr>
          <w:fldSimple w:instr=" DOCPROPERTY &quot;Header&quot; \* MERGEFORMAT ">
            <w:r w:rsidR="00254983">
              <w:t>AR</w:t>
            </w:r>
          </w:fldSimple>
          <w:r w:rsidR="001531A7">
            <w:fldChar w:fldCharType="begin"/>
          </w:r>
          <w:r w:rsidR="001531A7">
            <w:instrText>styleref href2</w:instrText>
          </w:r>
          <w:r w:rsidR="001531A7">
            <w:fldChar w:fldCharType="separate"/>
          </w:r>
          <w:r w:rsidR="00254983">
            <w:rPr>
              <w:noProof/>
            </w:rPr>
            <w:t>23</w:t>
          </w:r>
          <w:r w:rsidR="001531A7">
            <w:fldChar w:fldCharType="end"/>
          </w:r>
        </w:p>
      </w:tc>
      <w:tc>
        <w:tcPr>
          <w:tcW w:w="1701" w:type="dxa"/>
          <w:tcBorders>
            <w:top w:val="single" w:sz="6" w:space="0" w:color="auto"/>
            <w:left w:val="single" w:sz="6" w:space="0" w:color="auto"/>
            <w:bottom w:val="single" w:sz="6" w:space="0" w:color="auto"/>
            <w:right w:val="single" w:sz="6" w:space="0" w:color="auto"/>
          </w:tcBorders>
        </w:tcPr>
        <w:p w14:paraId="3779E3AD" w14:textId="77777777" w:rsidR="001531A7" w:rsidRDefault="001531A7">
          <w:pPr>
            <w:pStyle w:val="HeaderRegProc"/>
            <w:rPr>
              <w:lang w:val="fr-CH"/>
            </w:rPr>
          </w:pPr>
          <w:r>
            <w:t xml:space="preserve">página </w:t>
          </w:r>
          <w:r>
            <w:rPr>
              <w:rStyle w:val="PageNumber"/>
            </w:rPr>
            <w:fldChar w:fldCharType="begin"/>
          </w:r>
          <w:r>
            <w:rPr>
              <w:rStyle w:val="PageNumber"/>
            </w:rPr>
            <w:instrText xml:space="preserve"> PAGE </w:instrText>
          </w:r>
          <w:r>
            <w:rPr>
              <w:rStyle w:val="PageNumber"/>
            </w:rPr>
            <w:fldChar w:fldCharType="separate"/>
          </w:r>
          <w:r w:rsidR="00C92C38">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A203CC9" w14:textId="77777777" w:rsidR="001531A7" w:rsidRDefault="001531A7" w:rsidP="0060008F">
          <w:pPr>
            <w:pStyle w:val="HeaderRegProc"/>
            <w:rPr>
              <w:lang w:val="fr-CH"/>
            </w:rPr>
          </w:pPr>
          <w:proofErr w:type="gramStart"/>
          <w:r>
            <w:rPr>
              <w:lang w:val="fr-CH"/>
            </w:rPr>
            <w:t>rev</w:t>
          </w:r>
          <w:proofErr w:type="gramEnd"/>
          <w:r>
            <w:rPr>
              <w:lang w:val="fr-CH"/>
            </w:rPr>
            <w:t>.</w:t>
          </w:r>
          <w:r w:rsidR="004D31A7">
            <w:t xml:space="preserve"> </w:t>
          </w:r>
          <w:r w:rsidR="0060008F">
            <w:t>-</w:t>
          </w:r>
        </w:p>
      </w:tc>
    </w:tr>
  </w:tbl>
  <w:p w14:paraId="31B2F560" w14:textId="77777777" w:rsidR="001531A7" w:rsidRDefault="001531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E62F4" w14:textId="77777777" w:rsidR="001531A7" w:rsidRDefault="001531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F0CBB" w14:textId="77777777" w:rsidR="001531A7" w:rsidRDefault="001531A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31A7"/>
    <w:rsid w:val="00030EA6"/>
    <w:rsid w:val="00144DFE"/>
    <w:rsid w:val="001531A7"/>
    <w:rsid w:val="002074AC"/>
    <w:rsid w:val="00254983"/>
    <w:rsid w:val="003106BD"/>
    <w:rsid w:val="003322B6"/>
    <w:rsid w:val="003C34C5"/>
    <w:rsid w:val="004D31A7"/>
    <w:rsid w:val="0060008F"/>
    <w:rsid w:val="006F26AF"/>
    <w:rsid w:val="0071293D"/>
    <w:rsid w:val="007736F6"/>
    <w:rsid w:val="00957EAC"/>
    <w:rsid w:val="00A76EBA"/>
    <w:rsid w:val="00C92C38"/>
    <w:rsid w:val="00D153D2"/>
    <w:rsid w:val="00D21ECD"/>
    <w:rsid w:val="00E0428C"/>
    <w:rsid w:val="00E457BF"/>
    <w:rsid w:val="00EA467A"/>
    <w:rsid w:val="00EB2FB3"/>
    <w:rsid w:val="00EC6EA6"/>
    <w:rsid w:val="00EE09EF"/>
    <w:rsid w:val="00FF07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C42AB1"/>
  <w15:docId w15:val="{03424E14-517B-436F-97AE-2D5D59BFA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11</TotalTime>
  <Pages>3</Pages>
  <Words>473</Words>
  <Characters>2698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3165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23</dc:subject>
  <dc:creator>Composition des Publications</dc:creator>
  <cp:keywords>Folios: 1 - 2 (blanc)</cp:keywords>
  <dc:description>Edition 2009:  13.02.2009/DD (dict. ok)</dc:description>
  <cp:lastModifiedBy>Saez Grau, Ricardo</cp:lastModifiedBy>
  <cp:revision>20</cp:revision>
  <cp:lastPrinted>2025-11-28T14:09:00Z</cp:lastPrinted>
  <dcterms:created xsi:type="dcterms:W3CDTF">2012-10-02T09:52:00Z</dcterms:created>
  <dcterms:modified xsi:type="dcterms:W3CDTF">2025-11-28T14:10:00Z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