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BE6E" w14:textId="0E2668CB" w:rsidR="00FF5E31" w:rsidRPr="00AA3B89" w:rsidRDefault="00AA3B89" w:rsidP="00AA3B89">
      <w:pPr>
        <w:pStyle w:val="Heading1"/>
        <w:jc w:val="center"/>
        <w:rPr>
          <w:lang w:val="es-ES"/>
        </w:rPr>
      </w:pPr>
      <w:r w:rsidRPr="00AA3B89">
        <w:rPr>
          <w:rFonts w:eastAsia="SimSun"/>
          <w:szCs w:val="24"/>
          <w:lang w:val="es-ES"/>
        </w:rPr>
        <w:t>Reglas relativas a la puesta en servicio de múltiples redes</w:t>
      </w:r>
      <w:r>
        <w:rPr>
          <w:rFonts w:eastAsia="SimSun"/>
          <w:szCs w:val="24"/>
          <w:lang w:val="es-ES"/>
        </w:rPr>
        <w:br/>
      </w:r>
      <w:r w:rsidRPr="00AA3B89">
        <w:rPr>
          <w:rFonts w:eastAsia="SimSun"/>
          <w:szCs w:val="24"/>
          <w:lang w:val="es-ES"/>
        </w:rPr>
        <w:t>de satélites geoestacionarios con un único satélite</w:t>
      </w:r>
      <w:r w:rsidR="00F04F43">
        <w:rPr>
          <w:rStyle w:val="FootnoteReference"/>
          <w:rFonts w:hint="eastAsia"/>
          <w:lang w:val="es-ES"/>
        </w:rPr>
        <w:footnoteReference w:id="1"/>
      </w:r>
    </w:p>
    <w:p w14:paraId="772C7460" w14:textId="14599230" w:rsidR="00FF5E31" w:rsidRPr="00AA3B89" w:rsidRDefault="00AA3B89" w:rsidP="00FF5E31">
      <w:pPr>
        <w:tabs>
          <w:tab w:val="left" w:pos="3402"/>
        </w:tabs>
        <w:spacing w:before="360"/>
        <w:rPr>
          <w:szCs w:val="24"/>
          <w:lang w:val="es-ES"/>
        </w:rPr>
      </w:pPr>
      <w:r w:rsidRPr="00AA3B89">
        <w:rPr>
          <w:szCs w:val="24"/>
          <w:lang w:val="es-ES"/>
        </w:rPr>
        <w:t xml:space="preserve">Por motivos operativos como, por ejemplo, riesgo de colisión, operaciones de telemedida, seguimiento y telemando, acuerdo de coordinación, etc., un satélite en ocasiones tiene que desplazarse ligeramente de la posición orbital nominal notificada (incluida la tolerancia de ±0,1 grados para las estaciones espaciales a bordo de satélites geoestacionarios del servicio fijo por satélite o el servicio de radiodifusión por satélite) para prestar los servicios necesarios. En ese caso concreto, al solicitar aclaraciones en virtud de los números </w:t>
      </w:r>
      <w:r w:rsidRPr="008B631B">
        <w:rPr>
          <w:b/>
          <w:bCs/>
          <w:szCs w:val="24"/>
          <w:lang w:val="es-ES"/>
        </w:rPr>
        <w:t>11.44</w:t>
      </w:r>
      <w:r w:rsidRPr="00AA3B89">
        <w:rPr>
          <w:szCs w:val="24"/>
          <w:lang w:val="es-ES"/>
        </w:rPr>
        <w:t xml:space="preserve">, </w:t>
      </w:r>
      <w:r w:rsidRPr="008B631B">
        <w:rPr>
          <w:b/>
          <w:bCs/>
          <w:szCs w:val="24"/>
          <w:lang w:val="es-ES"/>
        </w:rPr>
        <w:t>11.44B</w:t>
      </w:r>
      <w:r w:rsidRPr="00AA3B89">
        <w:rPr>
          <w:szCs w:val="24"/>
          <w:lang w:val="es-ES"/>
        </w:rPr>
        <w:t xml:space="preserve">, </w:t>
      </w:r>
      <w:r w:rsidRPr="008B631B">
        <w:rPr>
          <w:b/>
          <w:bCs/>
          <w:szCs w:val="24"/>
          <w:lang w:val="es-ES"/>
        </w:rPr>
        <w:t>11.49</w:t>
      </w:r>
      <w:r w:rsidRPr="00AA3B89">
        <w:rPr>
          <w:szCs w:val="24"/>
          <w:lang w:val="es-ES"/>
        </w:rPr>
        <w:t xml:space="preserve"> o </w:t>
      </w:r>
      <w:r w:rsidRPr="008B631B">
        <w:rPr>
          <w:b/>
          <w:bCs/>
          <w:szCs w:val="24"/>
          <w:lang w:val="es-ES"/>
        </w:rPr>
        <w:t>13.6</w:t>
      </w:r>
      <w:r w:rsidRPr="00AA3B89">
        <w:rPr>
          <w:szCs w:val="24"/>
          <w:lang w:val="es-ES"/>
        </w:rPr>
        <w:t xml:space="preserve"> del Reglamento de Radiocomunicaciones sobre la puesta en servicio, la reanudación del servicio o la utilización continua de las características notificadas de una red de satélites, la Junta decidió que la Oficina considere que un satélite ubicado a no más de 0,5 grados de la longitud de la posición nominal notificada de la red de satélites se considera conforme con los requisitos de los números </w:t>
      </w:r>
      <w:r w:rsidRPr="008B631B">
        <w:rPr>
          <w:b/>
          <w:bCs/>
          <w:szCs w:val="24"/>
          <w:lang w:val="es-ES"/>
        </w:rPr>
        <w:t>11.44</w:t>
      </w:r>
      <w:r w:rsidRPr="00AA3B89">
        <w:rPr>
          <w:szCs w:val="24"/>
          <w:lang w:val="es-ES"/>
        </w:rPr>
        <w:t xml:space="preserve">, </w:t>
      </w:r>
      <w:r w:rsidRPr="008B631B">
        <w:rPr>
          <w:b/>
          <w:bCs/>
          <w:szCs w:val="24"/>
          <w:lang w:val="es-ES"/>
        </w:rPr>
        <w:t>11.44B</w:t>
      </w:r>
      <w:r w:rsidRPr="00AA3B89">
        <w:rPr>
          <w:szCs w:val="24"/>
          <w:lang w:val="es-ES"/>
        </w:rPr>
        <w:t xml:space="preserve">, </w:t>
      </w:r>
      <w:r w:rsidRPr="008B631B">
        <w:rPr>
          <w:b/>
          <w:bCs/>
          <w:szCs w:val="24"/>
          <w:lang w:val="es-ES"/>
        </w:rPr>
        <w:t>11.49</w:t>
      </w:r>
      <w:r w:rsidRPr="00AA3B89">
        <w:rPr>
          <w:szCs w:val="24"/>
          <w:lang w:val="es-ES"/>
        </w:rPr>
        <w:t xml:space="preserve"> o </w:t>
      </w:r>
      <w:r w:rsidRPr="008B631B">
        <w:rPr>
          <w:b/>
          <w:bCs/>
          <w:szCs w:val="24"/>
          <w:lang w:val="es-ES"/>
        </w:rPr>
        <w:t>13.6</w:t>
      </w:r>
      <w:r w:rsidRPr="00AA3B89">
        <w:rPr>
          <w:szCs w:val="24"/>
          <w:lang w:val="es-ES"/>
        </w:rPr>
        <w:t>, según proceda, a condición de que</w:t>
      </w:r>
      <w:r w:rsidR="00FF5E31" w:rsidRPr="00AA3B89">
        <w:rPr>
          <w:szCs w:val="24"/>
          <w:lang w:val="es-ES"/>
        </w:rPr>
        <w:t xml:space="preserve">: </w:t>
      </w:r>
    </w:p>
    <w:p w14:paraId="6F0C37AB" w14:textId="77777777" w:rsidR="00AA3B89" w:rsidRPr="00AA3B89" w:rsidRDefault="00AA3B89" w:rsidP="00AA3B89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794"/>
          <w:tab w:val="left" w:pos="1191"/>
          <w:tab w:val="left" w:pos="1588"/>
          <w:tab w:val="left" w:pos="1985"/>
        </w:tabs>
        <w:spacing w:before="80"/>
        <w:ind w:left="794" w:hanging="794"/>
        <w:jc w:val="left"/>
        <w:rPr>
          <w:lang w:val="es-ES_tradnl"/>
        </w:rPr>
      </w:pPr>
      <w:r w:rsidRPr="00AA3B89">
        <w:rPr>
          <w:lang w:val="es-ES_tradnl"/>
        </w:rPr>
        <w:t>1)</w:t>
      </w:r>
      <w:r w:rsidRPr="00AA3B89">
        <w:rPr>
          <w:lang w:val="es-ES_tradnl"/>
        </w:rPr>
        <w:tab/>
        <w:t>la estación espacial esté asociada a una o más notificaciones de redes de satélites en una única posición orbital;</w:t>
      </w:r>
    </w:p>
    <w:p w14:paraId="42C090D5" w14:textId="77777777" w:rsidR="00AA3B89" w:rsidRPr="00AA3B89" w:rsidRDefault="00AA3B89" w:rsidP="00AA3B89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794"/>
          <w:tab w:val="left" w:pos="1191"/>
          <w:tab w:val="left" w:pos="1588"/>
          <w:tab w:val="left" w:pos="1985"/>
        </w:tabs>
        <w:spacing w:before="80"/>
        <w:ind w:left="794" w:hanging="794"/>
        <w:jc w:val="left"/>
        <w:rPr>
          <w:lang w:val="es-ES_tradnl"/>
        </w:rPr>
      </w:pPr>
      <w:r w:rsidRPr="00AA3B89">
        <w:rPr>
          <w:lang w:val="es-ES_tradnl"/>
        </w:rPr>
        <w:t>2)</w:t>
      </w:r>
      <w:r w:rsidRPr="00AA3B89">
        <w:rPr>
          <w:lang w:val="es-ES_tradnl"/>
        </w:rPr>
        <w:tab/>
        <w:t>la estación espacial tenga la capacidad de mantener su posición dentro de ±0,1 grados de su posición nominal;</w:t>
      </w:r>
    </w:p>
    <w:p w14:paraId="70812301" w14:textId="77777777" w:rsidR="00AA3B89" w:rsidRPr="00AA3B89" w:rsidRDefault="00AA3B89" w:rsidP="00AA3B89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794"/>
          <w:tab w:val="left" w:pos="1191"/>
          <w:tab w:val="left" w:pos="1588"/>
          <w:tab w:val="left" w:pos="1985"/>
        </w:tabs>
        <w:spacing w:before="80"/>
        <w:ind w:left="794" w:hanging="794"/>
        <w:jc w:val="left"/>
        <w:rPr>
          <w:lang w:val="es-ES_tradnl"/>
        </w:rPr>
      </w:pPr>
      <w:r w:rsidRPr="00AA3B89">
        <w:rPr>
          <w:lang w:val="es-ES_tradnl"/>
        </w:rPr>
        <w:t>3)</w:t>
      </w:r>
      <w:r w:rsidRPr="00AA3B89">
        <w:rPr>
          <w:lang w:val="es-ES_tradnl"/>
        </w:rPr>
        <w:tab/>
        <w:t>no se comuniquen casos de interferencia inaceptable cuando la excursión del satélite rebase esa tolerancia (hasta un máximo de 0,5 grados); y</w:t>
      </w:r>
    </w:p>
    <w:p w14:paraId="2528BF39" w14:textId="77777777" w:rsidR="00AA3B89" w:rsidRPr="00AA3B89" w:rsidRDefault="00AA3B89" w:rsidP="00AA3B89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794"/>
          <w:tab w:val="left" w:pos="1191"/>
          <w:tab w:val="left" w:pos="1588"/>
          <w:tab w:val="left" w:pos="1985"/>
        </w:tabs>
        <w:spacing w:before="80"/>
        <w:ind w:left="794" w:hanging="794"/>
        <w:jc w:val="left"/>
        <w:rPr>
          <w:lang w:val="es-ES_tradnl"/>
        </w:rPr>
      </w:pPr>
      <w:r w:rsidRPr="00AA3B89">
        <w:rPr>
          <w:lang w:val="es-ES_tradnl"/>
        </w:rPr>
        <w:t>4)</w:t>
      </w:r>
      <w:r w:rsidRPr="00AA3B89">
        <w:rPr>
          <w:lang w:val="es-ES_tradnl"/>
        </w:rPr>
        <w:tab/>
        <w:t>ese funcionamiento no cause más interferencia ni necesite más protección que si la estación espacial funcionase dentro de la tolerancia de ±0,1 grados de la posición orbital notificada.</w:t>
      </w:r>
    </w:p>
    <w:p w14:paraId="6F152144" w14:textId="273CA9E0" w:rsidR="00FF5E31" w:rsidRPr="00896F1E" w:rsidRDefault="00AA3B89" w:rsidP="00AA3B89">
      <w:pPr>
        <w:tabs>
          <w:tab w:val="left" w:pos="3402"/>
        </w:tabs>
        <w:rPr>
          <w:szCs w:val="24"/>
        </w:rPr>
      </w:pPr>
      <w:r w:rsidRPr="00AA3B89">
        <w:rPr>
          <w:lang w:val="es-ES"/>
        </w:rPr>
        <w:t xml:space="preserve">Además, la Junta decidió que la Oficina debe considerar que un satélite situado a no más de 0,5 grados de varias posiciones nominales notificadas de redes de satélites puede utilizarse para poner en servicio, reanudar el servicio o seguir utilizando las características notificadas de asignaciones de frecuencias de esas redes de satélites en virtud de los números </w:t>
      </w:r>
      <w:r w:rsidRPr="008B631B">
        <w:rPr>
          <w:b/>
          <w:bCs/>
          <w:lang w:val="es-ES"/>
        </w:rPr>
        <w:t>11.44</w:t>
      </w:r>
      <w:r w:rsidRPr="00AA3B89">
        <w:rPr>
          <w:lang w:val="es-ES"/>
        </w:rPr>
        <w:t xml:space="preserve">, </w:t>
      </w:r>
      <w:r w:rsidRPr="008B631B">
        <w:rPr>
          <w:b/>
          <w:bCs/>
          <w:lang w:val="es-ES"/>
        </w:rPr>
        <w:t>11.44B</w:t>
      </w:r>
      <w:r w:rsidRPr="00AA3B89">
        <w:rPr>
          <w:lang w:val="es-ES"/>
        </w:rPr>
        <w:t xml:space="preserve">, </w:t>
      </w:r>
      <w:r w:rsidRPr="008B631B">
        <w:rPr>
          <w:b/>
          <w:bCs/>
          <w:lang w:val="es-ES"/>
        </w:rPr>
        <w:t>11.49</w:t>
      </w:r>
      <w:r w:rsidRPr="00AA3B89">
        <w:rPr>
          <w:lang w:val="es-ES"/>
        </w:rPr>
        <w:t xml:space="preserve"> o </w:t>
      </w:r>
      <w:r w:rsidRPr="008B631B">
        <w:rPr>
          <w:b/>
          <w:bCs/>
          <w:lang w:val="es-ES"/>
        </w:rPr>
        <w:t>13.6</w:t>
      </w:r>
      <w:r w:rsidRPr="00AA3B89">
        <w:rPr>
          <w:lang w:val="es-ES"/>
        </w:rPr>
        <w:t xml:space="preserve">, sólo si los anchos de banda de esas asignaciones de frecuencias no se solapan. </w:t>
      </w:r>
      <w:r>
        <w:t>Son también de aplicación las condiciones 2 a 4 anteriores.</w:t>
      </w:r>
    </w:p>
    <w:p w14:paraId="18AA2AC3" w14:textId="77777777" w:rsidR="00FF5E31" w:rsidRPr="00AA3B89" w:rsidRDefault="00FF5E31" w:rsidP="00FF5E31">
      <w:pPr>
        <w:tabs>
          <w:tab w:val="left" w:pos="3402"/>
        </w:tabs>
        <w:spacing w:line="280" w:lineRule="exact"/>
        <w:rPr>
          <w:szCs w:val="24"/>
        </w:rPr>
      </w:pPr>
    </w:p>
    <w:p w14:paraId="53373475" w14:textId="77777777" w:rsidR="00FF5E31" w:rsidRPr="0069500F" w:rsidRDefault="00FF5E31" w:rsidP="00FF5E31">
      <w:pPr>
        <w:jc w:val="center"/>
      </w:pPr>
      <w:r w:rsidRPr="0069500F">
        <w:t>___________________</w:t>
      </w:r>
    </w:p>
    <w:p w14:paraId="07E4607F" w14:textId="77777777" w:rsidR="00FF5E31" w:rsidRDefault="00FF5E31" w:rsidP="00FF5E31"/>
    <w:p w14:paraId="5F56A281" w14:textId="77777777" w:rsidR="00FF5E31" w:rsidRDefault="00FF5E31" w:rsidP="00FF5E31"/>
    <w:p w14:paraId="5F1054D0" w14:textId="77777777" w:rsidR="000C08ED" w:rsidRDefault="000C08ED" w:rsidP="00FF5E31">
      <w:pPr>
        <w:sectPr w:rsidR="000C08ED" w:rsidSect="00A46460">
          <w:headerReference w:type="even" r:id="rId8"/>
          <w:headerReference w:type="default" r:id="rId9"/>
          <w:headerReference w:type="first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pgNumType w:start="1"/>
          <w:cols w:space="720"/>
          <w:vAlign w:val="both"/>
          <w:titlePg/>
          <w:docGrid w:linePitch="326"/>
        </w:sectPr>
      </w:pPr>
    </w:p>
    <w:p w14:paraId="5B00D4C6" w14:textId="77777777" w:rsidR="00FF5E31" w:rsidRDefault="00FF5E31" w:rsidP="00FF5E31"/>
    <w:sectPr w:rsidR="00FF5E31" w:rsidSect="00A46460">
      <w:headerReference w:type="first" r:id="rId11"/>
      <w:footnotePr>
        <w:pos w:val="beneathText"/>
      </w:footnotePr>
      <w:pgSz w:w="11907" w:h="16840" w:code="9"/>
      <w:pgMar w:top="1701" w:right="851" w:bottom="1134" w:left="1985" w:header="720" w:footer="482" w:gutter="0"/>
      <w:pgNumType w:start="1"/>
      <w:cols w:space="720"/>
      <w:vAlign w:val="both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52A64" w14:textId="77777777" w:rsidR="005D29E0" w:rsidRDefault="005D29E0">
      <w:r>
        <w:separator/>
      </w:r>
    </w:p>
  </w:endnote>
  <w:endnote w:type="continuationSeparator" w:id="0">
    <w:p w14:paraId="6A37727F" w14:textId="77777777" w:rsidR="005D29E0" w:rsidRDefault="005D2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BA0B8" w14:textId="77777777" w:rsidR="005D29E0" w:rsidRDefault="005D29E0">
      <w:r>
        <w:rPr>
          <w:b/>
        </w:rPr>
        <w:t>_______________</w:t>
      </w:r>
    </w:p>
  </w:footnote>
  <w:footnote w:type="continuationSeparator" w:id="0">
    <w:p w14:paraId="49F94276" w14:textId="77777777" w:rsidR="005D29E0" w:rsidRDefault="005D29E0">
      <w:r>
        <w:continuationSeparator/>
      </w:r>
    </w:p>
  </w:footnote>
  <w:footnote w:id="1">
    <w:p w14:paraId="4B8389FE" w14:textId="77777777" w:rsidR="00F04F43" w:rsidRPr="007E7E51" w:rsidRDefault="00F04F43" w:rsidP="00F04F43">
      <w:pPr>
        <w:pStyle w:val="FootnoteText"/>
        <w:ind w:left="284" w:hanging="284"/>
        <w:rPr>
          <w:lang w:val="es-ES"/>
        </w:rPr>
      </w:pPr>
      <w:r>
        <w:rPr>
          <w:rStyle w:val="FootnoteReference"/>
        </w:rPr>
        <w:footnoteRef/>
      </w:r>
      <w:r w:rsidRPr="00F04F43">
        <w:rPr>
          <w:lang w:val="es-ES"/>
        </w:rPr>
        <w:tab/>
      </w:r>
      <w:r w:rsidRPr="007E7E51">
        <w:rPr>
          <w:lang w:val="es-ES"/>
        </w:rPr>
        <w:t xml:space="preserve">Véanse también las disposiciones del Anexo 7, Restricciones aplicables a la posición orbital, del Apéndice </w:t>
      </w:r>
      <w:r w:rsidRPr="00A17C51">
        <w:rPr>
          <w:rStyle w:val="Appref"/>
          <w:b/>
          <w:bCs/>
          <w:color w:val="auto"/>
          <w:lang w:val="es-ES"/>
        </w:rPr>
        <w:t>30</w:t>
      </w:r>
      <w:r w:rsidRPr="00A17C51">
        <w:rPr>
          <w:lang w:val="es-ES"/>
        </w:rPr>
        <w:t xml:space="preserve"> </w:t>
      </w:r>
      <w:r w:rsidRPr="007E7E51">
        <w:rPr>
          <w:lang w:val="es-ES"/>
        </w:rPr>
        <w:t xml:space="preserve">y la Resolución </w:t>
      </w:r>
      <w:r w:rsidRPr="007E7E51">
        <w:rPr>
          <w:b/>
          <w:bCs/>
          <w:lang w:val="es-ES"/>
        </w:rPr>
        <w:t>548 (Rev.CMR-12)</w:t>
      </w:r>
      <w:r w:rsidRPr="007E7E51">
        <w:rPr>
          <w:lang w:val="es-ES"/>
        </w:rPr>
        <w:t xml:space="preserve">, Aplicación del concepto de agrupación a los Apéndices </w:t>
      </w:r>
      <w:r w:rsidRPr="00A17C51">
        <w:rPr>
          <w:rStyle w:val="Appref"/>
          <w:b/>
          <w:bCs/>
          <w:color w:val="auto"/>
          <w:lang w:val="es-ES"/>
        </w:rPr>
        <w:t>30</w:t>
      </w:r>
      <w:r w:rsidRPr="00A17C51">
        <w:rPr>
          <w:lang w:val="es-ES"/>
        </w:rPr>
        <w:t xml:space="preserve"> </w:t>
      </w:r>
      <w:r w:rsidRPr="007E7E51">
        <w:rPr>
          <w:lang w:val="es-ES"/>
        </w:rPr>
        <w:t xml:space="preserve">y </w:t>
      </w:r>
      <w:r w:rsidRPr="00A17C51">
        <w:rPr>
          <w:rStyle w:val="Appref"/>
          <w:b/>
          <w:bCs/>
          <w:color w:val="auto"/>
          <w:lang w:val="es-ES"/>
        </w:rPr>
        <w:t>30A</w:t>
      </w:r>
      <w:r w:rsidRPr="007E7E51">
        <w:rPr>
          <w:lang w:val="es-ES"/>
        </w:rPr>
        <w:t xml:space="preserve"> en las Regiones 1 y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B1C38" w14:paraId="576046C2" w14:textId="77777777" w:rsidTr="00AE2E1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F2F1DE3" w14:textId="260534E6" w:rsidR="00EB1C38" w:rsidRDefault="00EB1C38" w:rsidP="00EB1C38">
          <w:pPr>
            <w:pStyle w:val="HeaderRegProc"/>
          </w:pPr>
          <w: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D9A5805" w14:textId="5C45A315" w:rsidR="00EB1C38" w:rsidRDefault="00912DE4" w:rsidP="00EB1C38">
          <w:pPr>
            <w:pStyle w:val="HeaderRegProc"/>
            <w:rPr>
              <w:lang w:val="fr-FR"/>
            </w:rPr>
          </w:pPr>
          <w:r w:rsidRPr="00912DE4">
            <w:rPr>
              <w:lang w:val="fr-FR"/>
            </w:rPr>
            <w:t>Receivability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2F8763" w14:textId="77777777" w:rsidR="00EB1C38" w:rsidRDefault="00EB1C38" w:rsidP="00EB1C38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69DD6B" w14:textId="77777777" w:rsidR="00EB1C38" w:rsidRDefault="00EB1C38" w:rsidP="00EB1C38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 1</w:t>
          </w:r>
        </w:p>
      </w:tc>
    </w:tr>
  </w:tbl>
  <w:p w14:paraId="604CF5C6" w14:textId="77777777" w:rsidR="004B0044" w:rsidRDefault="004B0044"/>
  <w:p w14:paraId="67D71A82" w14:textId="77777777" w:rsidR="00C71486" w:rsidRDefault="00C714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B1C38" w14:paraId="2CC7D28E" w14:textId="77777777" w:rsidTr="00AE2E1D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391995" w14:textId="0A54C467" w:rsidR="00EB1C38" w:rsidRDefault="00EB1C38" w:rsidP="00EB1C38">
          <w:pPr>
            <w:pStyle w:val="HeaderRegProc"/>
            <w:ind w:right="360" w:firstLine="360"/>
            <w:jc w:val="left"/>
          </w:pPr>
          <w: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9745F7" w14:textId="3BDDEE39" w:rsidR="00EB1C38" w:rsidRDefault="00912DE4" w:rsidP="00EB1C38">
          <w:pPr>
            <w:pStyle w:val="HeaderRegProc"/>
            <w:rPr>
              <w:lang w:val="fr-FR"/>
            </w:rPr>
          </w:pPr>
          <w:r w:rsidRPr="00912DE4">
            <w:rPr>
              <w:lang w:val="fr-FR"/>
            </w:rPr>
            <w:t>Receivability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63F099" w14:textId="77777777" w:rsidR="00EB1C38" w:rsidRDefault="00EB1C38" w:rsidP="00EB1C38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11C539" w14:textId="43A47FA9" w:rsidR="00EB1C38" w:rsidRDefault="00EB1C38" w:rsidP="00EB1C38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>
            <w:t xml:space="preserve"> </w:t>
          </w:r>
          <w:r w:rsidR="00A46460">
            <w:t>2</w:t>
          </w:r>
        </w:p>
      </w:tc>
    </w:tr>
  </w:tbl>
  <w:p w14:paraId="0317F4B0" w14:textId="77777777" w:rsidR="0023504D" w:rsidRDefault="0023504D">
    <w:pPr>
      <w:pStyle w:val="Header"/>
    </w:pPr>
  </w:p>
  <w:p w14:paraId="1A2A22B7" w14:textId="77777777" w:rsidR="00C71486" w:rsidRDefault="00C7148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2834"/>
      <w:gridCol w:w="1701"/>
      <w:gridCol w:w="1701"/>
    </w:tblGrid>
    <w:tr w:rsidR="00A46460" w14:paraId="127AAEAA" w14:textId="77777777" w:rsidTr="00CE2982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606B9C" w14:textId="0F9C8FD0" w:rsidR="00A46460" w:rsidRDefault="00A46460" w:rsidP="00A46460">
          <w:pPr>
            <w:pStyle w:val="HeaderRegProc"/>
            <w:ind w:right="360" w:firstLine="360"/>
            <w:jc w:val="left"/>
          </w:pPr>
          <w:r>
            <w:t>Part</w:t>
          </w:r>
          <w:r w:rsidR="00B95823">
            <w:t>e</w:t>
          </w:r>
          <w:r>
            <w:t xml:space="preserve"> A1</w:t>
          </w:r>
        </w:p>
      </w:tc>
      <w:tc>
        <w:tcPr>
          <w:tcW w:w="28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0CF459" w14:textId="0803FBA5" w:rsidR="00A46460" w:rsidRPr="00F31DD9" w:rsidRDefault="00A726E3" w:rsidP="00A46460">
          <w:pPr>
            <w:pStyle w:val="HeaderRegProc"/>
            <w:rPr>
              <w:lang w:val="fr-FR"/>
            </w:rPr>
          </w:pPr>
          <w:r w:rsidRPr="00A726E3">
            <w:rPr>
              <w:rFonts w:eastAsia="SimSun"/>
              <w:szCs w:val="24"/>
              <w:lang w:val="en-CA"/>
            </w:rPr>
            <w:t>Puesta en servicio simultánea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06C867" w14:textId="464F7221" w:rsidR="00A46460" w:rsidRDefault="00A46460" w:rsidP="00A46460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</w:t>
          </w:r>
          <w:r w:rsidR="00AA3B89">
            <w:rPr>
              <w:lang w:val="fr-FR"/>
            </w:rPr>
            <w:t>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4321F7" w14:textId="7D04C0B0" w:rsidR="00A46460" w:rsidRDefault="00A46460" w:rsidP="00A46460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>
            <w:t xml:space="preserve"> </w:t>
          </w:r>
          <w:r w:rsidR="00C45ED3">
            <w:t>-</w:t>
          </w:r>
        </w:p>
      </w:tc>
    </w:tr>
  </w:tbl>
  <w:p w14:paraId="6F71DF67" w14:textId="77777777" w:rsidR="004B0044" w:rsidRDefault="004B00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0CC64" w14:textId="77777777" w:rsidR="000C08ED" w:rsidRDefault="000C08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C803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C072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7E3D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E275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908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54F5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0264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3A60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8CDC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CAB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F5EBC"/>
    <w:multiLevelType w:val="hybridMultilevel"/>
    <w:tmpl w:val="B7C219D0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71484E"/>
    <w:multiLevelType w:val="hybridMultilevel"/>
    <w:tmpl w:val="922AD90A"/>
    <w:lvl w:ilvl="0" w:tplc="2A86E584">
      <w:start w:val="1"/>
      <w:numFmt w:val="decimal"/>
      <w:lvlText w:val="%1."/>
      <w:lvlJc w:val="left"/>
      <w:pPr>
        <w:ind w:left="790" w:hanging="79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857ED"/>
    <w:multiLevelType w:val="hybridMultilevel"/>
    <w:tmpl w:val="61F8DC44"/>
    <w:lvl w:ilvl="0" w:tplc="77B4BA0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63617071">
    <w:abstractNumId w:val="12"/>
  </w:num>
  <w:num w:numId="2" w16cid:durableId="1696803434">
    <w:abstractNumId w:val="9"/>
  </w:num>
  <w:num w:numId="3" w16cid:durableId="1493331811">
    <w:abstractNumId w:val="7"/>
  </w:num>
  <w:num w:numId="4" w16cid:durableId="1832520439">
    <w:abstractNumId w:val="6"/>
  </w:num>
  <w:num w:numId="5" w16cid:durableId="84615808">
    <w:abstractNumId w:val="5"/>
  </w:num>
  <w:num w:numId="6" w16cid:durableId="199169378">
    <w:abstractNumId w:val="4"/>
  </w:num>
  <w:num w:numId="7" w16cid:durableId="627858157">
    <w:abstractNumId w:val="8"/>
  </w:num>
  <w:num w:numId="8" w16cid:durableId="802968922">
    <w:abstractNumId w:val="3"/>
  </w:num>
  <w:num w:numId="9" w16cid:durableId="1513881662">
    <w:abstractNumId w:val="2"/>
  </w:num>
  <w:num w:numId="10" w16cid:durableId="2046440973">
    <w:abstractNumId w:val="1"/>
  </w:num>
  <w:num w:numId="11" w16cid:durableId="945698487">
    <w:abstractNumId w:val="0"/>
  </w:num>
  <w:num w:numId="12" w16cid:durableId="1434670618">
    <w:abstractNumId w:val="11"/>
  </w:num>
  <w:num w:numId="13" w16cid:durableId="1626154224">
    <w:abstractNumId w:val="10"/>
  </w:num>
  <w:num w:numId="14" w16cid:durableId="1116314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mirrorMargins/>
  <w:proofState w:grammar="clean"/>
  <w:attachedTemplate r:id="rId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0747"/>
    <w:rsid w:val="000231C4"/>
    <w:rsid w:val="00040FB9"/>
    <w:rsid w:val="00044936"/>
    <w:rsid w:val="00045F2B"/>
    <w:rsid w:val="000472D3"/>
    <w:rsid w:val="00062244"/>
    <w:rsid w:val="000C08ED"/>
    <w:rsid w:val="000C6AFF"/>
    <w:rsid w:val="000D6D11"/>
    <w:rsid w:val="000F1F42"/>
    <w:rsid w:val="000F264F"/>
    <w:rsid w:val="001222F2"/>
    <w:rsid w:val="00145B32"/>
    <w:rsid w:val="0016757F"/>
    <w:rsid w:val="001A0553"/>
    <w:rsid w:val="001A5382"/>
    <w:rsid w:val="001D530B"/>
    <w:rsid w:val="001D56EA"/>
    <w:rsid w:val="002106DE"/>
    <w:rsid w:val="0023504D"/>
    <w:rsid w:val="00241E1D"/>
    <w:rsid w:val="002B0706"/>
    <w:rsid w:val="002C18EA"/>
    <w:rsid w:val="002C76FC"/>
    <w:rsid w:val="002F1791"/>
    <w:rsid w:val="002F1FC2"/>
    <w:rsid w:val="00305A8C"/>
    <w:rsid w:val="0035062F"/>
    <w:rsid w:val="003809B6"/>
    <w:rsid w:val="003955F8"/>
    <w:rsid w:val="003A2A4D"/>
    <w:rsid w:val="003B41E5"/>
    <w:rsid w:val="003D5CCB"/>
    <w:rsid w:val="003E451F"/>
    <w:rsid w:val="003E610A"/>
    <w:rsid w:val="00404E18"/>
    <w:rsid w:val="0041362E"/>
    <w:rsid w:val="00450730"/>
    <w:rsid w:val="004518CE"/>
    <w:rsid w:val="004B0044"/>
    <w:rsid w:val="00503E9E"/>
    <w:rsid w:val="005058C5"/>
    <w:rsid w:val="00547728"/>
    <w:rsid w:val="005838BD"/>
    <w:rsid w:val="005909E8"/>
    <w:rsid w:val="005D29E0"/>
    <w:rsid w:val="005F039F"/>
    <w:rsid w:val="005F183C"/>
    <w:rsid w:val="00611A23"/>
    <w:rsid w:val="00642765"/>
    <w:rsid w:val="00643B88"/>
    <w:rsid w:val="00646EBE"/>
    <w:rsid w:val="00664897"/>
    <w:rsid w:val="00670019"/>
    <w:rsid w:val="0067377C"/>
    <w:rsid w:val="006937D8"/>
    <w:rsid w:val="006B051C"/>
    <w:rsid w:val="006C4065"/>
    <w:rsid w:val="006D5F81"/>
    <w:rsid w:val="007054AB"/>
    <w:rsid w:val="00747BF9"/>
    <w:rsid w:val="00783926"/>
    <w:rsid w:val="007A126D"/>
    <w:rsid w:val="007B7840"/>
    <w:rsid w:val="007C1377"/>
    <w:rsid w:val="007C70D7"/>
    <w:rsid w:val="007F75DE"/>
    <w:rsid w:val="00814A83"/>
    <w:rsid w:val="008361BF"/>
    <w:rsid w:val="00840D85"/>
    <w:rsid w:val="00843FC7"/>
    <w:rsid w:val="008700C5"/>
    <w:rsid w:val="00870BDA"/>
    <w:rsid w:val="00876020"/>
    <w:rsid w:val="008B204F"/>
    <w:rsid w:val="008B5723"/>
    <w:rsid w:val="008B5CB6"/>
    <w:rsid w:val="008B631B"/>
    <w:rsid w:val="008E130C"/>
    <w:rsid w:val="008E7106"/>
    <w:rsid w:val="008F6813"/>
    <w:rsid w:val="00910747"/>
    <w:rsid w:val="00912DE4"/>
    <w:rsid w:val="00941E78"/>
    <w:rsid w:val="00952F21"/>
    <w:rsid w:val="00963E65"/>
    <w:rsid w:val="009970A4"/>
    <w:rsid w:val="009970C1"/>
    <w:rsid w:val="00A17C51"/>
    <w:rsid w:val="00A20629"/>
    <w:rsid w:val="00A25E08"/>
    <w:rsid w:val="00A379E0"/>
    <w:rsid w:val="00A46460"/>
    <w:rsid w:val="00A46AEA"/>
    <w:rsid w:val="00A60E53"/>
    <w:rsid w:val="00A726E3"/>
    <w:rsid w:val="00A72783"/>
    <w:rsid w:val="00A83E58"/>
    <w:rsid w:val="00AA1CF8"/>
    <w:rsid w:val="00AA3B89"/>
    <w:rsid w:val="00AA57C2"/>
    <w:rsid w:val="00AE4765"/>
    <w:rsid w:val="00B25D44"/>
    <w:rsid w:val="00B50E85"/>
    <w:rsid w:val="00B66C2E"/>
    <w:rsid w:val="00B73439"/>
    <w:rsid w:val="00B95823"/>
    <w:rsid w:val="00BD62BE"/>
    <w:rsid w:val="00BE4286"/>
    <w:rsid w:val="00BF093C"/>
    <w:rsid w:val="00C1667D"/>
    <w:rsid w:val="00C43686"/>
    <w:rsid w:val="00C45ED3"/>
    <w:rsid w:val="00C51C05"/>
    <w:rsid w:val="00C61280"/>
    <w:rsid w:val="00C71486"/>
    <w:rsid w:val="00C76B35"/>
    <w:rsid w:val="00C80872"/>
    <w:rsid w:val="00C842B7"/>
    <w:rsid w:val="00C956D9"/>
    <w:rsid w:val="00CB20C5"/>
    <w:rsid w:val="00CB3C41"/>
    <w:rsid w:val="00CE2982"/>
    <w:rsid w:val="00CF345E"/>
    <w:rsid w:val="00D43E9F"/>
    <w:rsid w:val="00D5648A"/>
    <w:rsid w:val="00D82336"/>
    <w:rsid w:val="00DB3204"/>
    <w:rsid w:val="00DE107C"/>
    <w:rsid w:val="00E06BFA"/>
    <w:rsid w:val="00E07B66"/>
    <w:rsid w:val="00E27CF6"/>
    <w:rsid w:val="00E36754"/>
    <w:rsid w:val="00E4236A"/>
    <w:rsid w:val="00E51ECB"/>
    <w:rsid w:val="00E63F84"/>
    <w:rsid w:val="00E67915"/>
    <w:rsid w:val="00E8606A"/>
    <w:rsid w:val="00EA6A01"/>
    <w:rsid w:val="00EB1C38"/>
    <w:rsid w:val="00ED3C36"/>
    <w:rsid w:val="00ED5502"/>
    <w:rsid w:val="00EE0555"/>
    <w:rsid w:val="00EE5A52"/>
    <w:rsid w:val="00F04F43"/>
    <w:rsid w:val="00F05D32"/>
    <w:rsid w:val="00F21188"/>
    <w:rsid w:val="00F31DD9"/>
    <w:rsid w:val="00F71A96"/>
    <w:rsid w:val="00FA23ED"/>
    <w:rsid w:val="00FB2B30"/>
    <w:rsid w:val="00FC6209"/>
    <w:rsid w:val="00FE3729"/>
    <w:rsid w:val="00FF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46AC067"/>
  <w15:docId w15:val="{1C44F4BA-D7A5-4B68-AB4D-CC5F80014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3F8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link w:val="HeaderChar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rtref0">
    <w:name w:val="Art#_ref"/>
    <w:basedOn w:val="DefaultParagraphFont"/>
  </w:style>
  <w:style w:type="character" w:customStyle="1" w:styleId="Appref0">
    <w:name w:val="App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Char">
    <w:name w:val="Char"/>
    <w:basedOn w:val="Normal"/>
    <w:rsid w:val="0091074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 w:val="20"/>
      <w:lang w:val="fr-FR" w:eastAsia="zh-CN"/>
    </w:rPr>
  </w:style>
  <w:style w:type="character" w:styleId="Hyperlink">
    <w:name w:val="Hyperlink"/>
    <w:basedOn w:val="DefaultParagraphFont"/>
    <w:rsid w:val="00404E18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67915"/>
    <w:rPr>
      <w:b/>
      <w:sz w:val="28"/>
      <w:lang w:val="en-GB" w:eastAsia="en-US"/>
    </w:rPr>
  </w:style>
  <w:style w:type="character" w:customStyle="1" w:styleId="HeaderChar">
    <w:name w:val="Header Char"/>
    <w:aliases w:val="encabezado Char"/>
    <w:basedOn w:val="DefaultParagraphFont"/>
    <w:link w:val="Header"/>
    <w:rsid w:val="00E67915"/>
    <w:rPr>
      <w:sz w:val="24"/>
      <w:lang w:val="en-GB" w:eastAsia="en-US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E67915"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63F84"/>
    <w:rPr>
      <w:lang w:val="fr-FR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F5E31"/>
    <w:rPr>
      <w:rFonts w:asciiTheme="minorHAnsi" w:eastAsiaTheme="minorEastAsia" w:hAnsiTheme="minorHAnsi" w:cstheme="minorBid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FF5E31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hgkelc">
    <w:name w:val="hgkelc"/>
    <w:basedOn w:val="DefaultParagraphFont"/>
    <w:rsid w:val="00FF5E31"/>
  </w:style>
  <w:style w:type="character" w:customStyle="1" w:styleId="enumlev1Char">
    <w:name w:val="enumlev1 Char"/>
    <w:basedOn w:val="DefaultParagraphFont"/>
    <w:link w:val="enumlev1"/>
    <w:rsid w:val="00AA3B89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D813E-97FF-4A64-A29E-761FA9F9E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19</TotalTime>
  <Pages>3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2005</vt:lpstr>
    </vt:vector>
  </TitlesOfParts>
  <Manager>CP--107223/DD</Manager>
  <Company>ITU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2005</dc:title>
  <dc:subject>Receivability</dc:subject>
  <dc:creator>Composition des Publications</dc:creator>
  <cp:keywords>Folios: 1 - 6  (blanc)</cp:keywords>
  <dc:description>Edition 2009:   10.02.2009/SdN_x000d_
Corr.:  23.02.2009/DD  (dict. ok)_x000d_
Corr. ULT:   27.02.2009/DD</dc:description>
  <cp:lastModifiedBy>Saez Grau, Ricardo</cp:lastModifiedBy>
  <cp:revision>15</cp:revision>
  <cp:lastPrinted>2022-03-30T06:24:00Z</cp:lastPrinted>
  <dcterms:created xsi:type="dcterms:W3CDTF">2022-03-30T06:23:00Z</dcterms:created>
  <dcterms:modified xsi:type="dcterms:W3CDTF">2025-11-28T10:40:00Z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