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01C18" w14:textId="77777777" w:rsidR="006E74A9" w:rsidRPr="006456E2" w:rsidRDefault="006E74A9" w:rsidP="00A7700C">
      <w:pPr>
        <w:pStyle w:val="Heading1"/>
        <w:spacing w:before="300"/>
        <w:jc w:val="center"/>
        <w:rPr>
          <w:lang w:val="es-ES_tradnl"/>
        </w:rPr>
      </w:pPr>
      <w:r w:rsidRPr="006456E2">
        <w:rPr>
          <w:lang w:val="es-ES_tradnl"/>
        </w:rPr>
        <w:t>Reglas relativas al</w:t>
      </w:r>
    </w:p>
    <w:p w14:paraId="4BB29438" w14:textId="77777777" w:rsidR="006E74A9" w:rsidRPr="006456E2" w:rsidRDefault="006E74A9" w:rsidP="006E74A9">
      <w:pPr>
        <w:pStyle w:val="Heading2"/>
        <w:tabs>
          <w:tab w:val="left" w:pos="2835"/>
        </w:tabs>
        <w:jc w:val="center"/>
        <w:rPr>
          <w:lang w:val="es-ES_tradnl"/>
        </w:rPr>
      </w:pPr>
      <w:r w:rsidRPr="006456E2">
        <w:rPr>
          <w:lang w:val="es-ES_tradnl"/>
        </w:rPr>
        <w:t xml:space="preserve">ARTÍCULO </w:t>
      </w:r>
      <w:r w:rsidR="00A7700C" w:rsidRPr="006456E2">
        <w:rPr>
          <w:lang w:val="es-ES_tradnl"/>
        </w:rPr>
        <w:t xml:space="preserve"> </w:t>
      </w:r>
      <w:r w:rsidRPr="006456E2">
        <w:rPr>
          <w:lang w:val="es-ES_tradnl"/>
        </w:rPr>
        <w:t>4 del RR</w:t>
      </w:r>
    </w:p>
    <w:p w14:paraId="1CECF778" w14:textId="77777777" w:rsidR="00647E55" w:rsidRPr="006456E2" w:rsidRDefault="00647E55">
      <w:pPr>
        <w:pStyle w:val="Heading8"/>
        <w:spacing w:before="600"/>
        <w:rPr>
          <w:lang w:val="es-ES_tradnl"/>
        </w:rPr>
      </w:pPr>
      <w:r w:rsidRPr="006456E2">
        <w:rPr>
          <w:rStyle w:val="href2"/>
          <w:lang w:val="es-ES_tradnl"/>
        </w:rPr>
        <w:t>4</w:t>
      </w:r>
      <w:r w:rsidRPr="006456E2">
        <w:rPr>
          <w:lang w:val="es-ES_tradnl"/>
        </w:rPr>
        <w:t>.4</w:t>
      </w:r>
    </w:p>
    <w:p w14:paraId="49DE893D" w14:textId="11A31D07" w:rsidR="00405C11" w:rsidRPr="0031795F" w:rsidRDefault="00405C11" w:rsidP="00405C11">
      <w:pPr>
        <w:pStyle w:val="Heading1"/>
        <w:spacing w:before="240"/>
        <w:rPr>
          <w:lang w:val="es-ES_tradnl"/>
        </w:rPr>
      </w:pPr>
      <w:r w:rsidRPr="006456E2">
        <w:rPr>
          <w:lang w:val="es-ES_tradnl"/>
        </w:rPr>
        <w:t>1</w:t>
      </w:r>
      <w:r w:rsidRPr="006456E2">
        <w:rPr>
          <w:lang w:val="es-ES_tradnl"/>
        </w:rPr>
        <w:tab/>
        <w:t>Utilización de una frecuencia conforme al número 4.4</w:t>
      </w:r>
    </w:p>
    <w:p w14:paraId="7943D068" w14:textId="77777777" w:rsidR="00C41CA4" w:rsidRPr="00666D7C" w:rsidRDefault="00C41CA4" w:rsidP="00C41CA4">
      <w:pPr>
        <w:rPr>
          <w:rFonts w:asciiTheme="majorBidi" w:hAnsiTheme="majorBidi" w:cstheme="majorBidi"/>
          <w:lang w:val="es-ES"/>
        </w:rPr>
      </w:pPr>
      <w:r w:rsidRPr="00666D7C">
        <w:rPr>
          <w:rFonts w:asciiTheme="majorBidi" w:hAnsiTheme="majorBidi" w:cstheme="majorBidi"/>
          <w:lang w:val="es-ES"/>
        </w:rPr>
        <w:t>1.1</w:t>
      </w:r>
      <w:r w:rsidRPr="00666D7C">
        <w:rPr>
          <w:rFonts w:asciiTheme="majorBidi" w:hAnsiTheme="majorBidi" w:cstheme="majorBidi"/>
          <w:lang w:val="es-ES"/>
        </w:rPr>
        <w:tab/>
        <w:t xml:space="preserve">Con arreglo a esta disposición, </w:t>
      </w:r>
      <w:r w:rsidRPr="00B129AD">
        <w:rPr>
          <w:rFonts w:asciiTheme="majorBidi" w:hAnsiTheme="majorBidi" w:cstheme="majorBidi"/>
          <w:i/>
          <w:iCs/>
          <w:lang w:val="es-ES"/>
        </w:rPr>
        <w:t>«las administraciones de los Estados Miembros no asignarán a una estación frecuencia alguna que no se ajuste al Cuadro de atribución de bandas de frecuencias incluido en este capítulo, o a las demás disposiciones del presente Reglamento, excepto en el caso de que tal estación, al utilizar dicha asignación de frecuencia, no produzca interferencia perjudicial a una estación que funcione de acuerdo con las disposiciones de la Constitución, del Convenio y del presente Reglamento, ni reclame protección contra la interferencia perjudicial causada por dicha estación»</w:t>
      </w:r>
      <w:r w:rsidRPr="00666D7C">
        <w:rPr>
          <w:rFonts w:asciiTheme="majorBidi" w:hAnsiTheme="majorBidi" w:cstheme="majorBidi"/>
          <w:lang w:val="es-ES"/>
        </w:rPr>
        <w:t>.</w:t>
      </w:r>
    </w:p>
    <w:p w14:paraId="399F3186" w14:textId="77777777" w:rsidR="00C41CA4" w:rsidRPr="00666D7C" w:rsidRDefault="00C41CA4" w:rsidP="00C41CA4">
      <w:pPr>
        <w:rPr>
          <w:rFonts w:asciiTheme="majorBidi" w:hAnsiTheme="majorBidi" w:cstheme="majorBidi"/>
          <w:lang w:val="es-ES"/>
        </w:rPr>
      </w:pPr>
      <w:r w:rsidRPr="00666D7C">
        <w:rPr>
          <w:rFonts w:asciiTheme="majorBidi" w:hAnsiTheme="majorBidi" w:cstheme="majorBidi"/>
          <w:lang w:val="es-ES"/>
        </w:rPr>
        <w:t>1.2</w:t>
      </w:r>
      <w:r w:rsidRPr="00666D7C">
        <w:rPr>
          <w:rFonts w:asciiTheme="majorBidi" w:hAnsiTheme="majorBidi" w:cstheme="majorBidi"/>
          <w:lang w:val="es-ES"/>
        </w:rPr>
        <w:tab/>
        <w:t xml:space="preserve">El ámbito de aplicación de lo que cabe entender por </w:t>
      </w:r>
      <w:r w:rsidRPr="006D7D77">
        <w:rPr>
          <w:rFonts w:asciiTheme="majorBidi" w:hAnsiTheme="majorBidi" w:cstheme="majorBidi"/>
          <w:i/>
          <w:iCs/>
          <w:lang w:val="es-ES"/>
        </w:rPr>
        <w:t xml:space="preserve">«sin ajustarse al Cuadro de atribución de bandas de frecuencias o a las demás disposiciones del Reglamento de Radiocomunicaciones» </w:t>
      </w:r>
      <w:r w:rsidRPr="006D7D77">
        <w:rPr>
          <w:rFonts w:asciiTheme="majorBidi" w:hAnsiTheme="majorBidi" w:cstheme="majorBidi"/>
          <w:lang w:val="es-ES"/>
        </w:rPr>
        <w:t xml:space="preserve">se especifica en el número </w:t>
      </w:r>
      <w:r w:rsidRPr="006D7D77">
        <w:rPr>
          <w:rFonts w:asciiTheme="majorBidi" w:hAnsiTheme="majorBidi" w:cstheme="majorBidi"/>
          <w:b/>
          <w:bCs/>
          <w:lang w:val="es-ES"/>
        </w:rPr>
        <w:t>8.4</w:t>
      </w:r>
      <w:r w:rsidRPr="006D7D77">
        <w:rPr>
          <w:rFonts w:asciiTheme="majorBidi" w:hAnsiTheme="majorBidi" w:cstheme="majorBidi"/>
          <w:lang w:val="es-ES"/>
        </w:rPr>
        <w:t xml:space="preserve">, en el que se indica </w:t>
      </w:r>
      <w:r w:rsidRPr="006D7D77">
        <w:rPr>
          <w:rFonts w:asciiTheme="majorBidi" w:hAnsiTheme="majorBidi" w:cstheme="majorBidi"/>
          <w:szCs w:val="24"/>
          <w:lang w:val="es-ES"/>
        </w:rPr>
        <w:t>que los términos de</w:t>
      </w:r>
      <w:r w:rsidRPr="006D7D77">
        <w:rPr>
          <w:rFonts w:asciiTheme="majorBidi" w:hAnsiTheme="majorBidi" w:cstheme="majorBidi"/>
          <w:i/>
          <w:iCs/>
          <w:szCs w:val="24"/>
          <w:lang w:val="es-ES"/>
        </w:rPr>
        <w:t xml:space="preserve"> </w:t>
      </w:r>
      <w:r w:rsidRPr="006D7D77">
        <w:rPr>
          <w:rFonts w:asciiTheme="majorBidi" w:hAnsiTheme="majorBidi" w:cstheme="majorBidi"/>
          <w:i/>
          <w:iCs/>
          <w:lang w:val="es-ES"/>
        </w:rPr>
        <w:t>«</w:t>
      </w:r>
      <w:r w:rsidRPr="006D7D77">
        <w:rPr>
          <w:rFonts w:asciiTheme="majorBidi" w:hAnsiTheme="majorBidi" w:cstheme="majorBidi"/>
          <w:i/>
          <w:iCs/>
          <w:szCs w:val="24"/>
          <w:lang w:val="es-ES"/>
        </w:rPr>
        <w:t>las demás disposiciones</w:t>
      </w:r>
      <w:r w:rsidRPr="006D7D77">
        <w:rPr>
          <w:rFonts w:asciiTheme="majorBidi" w:hAnsiTheme="majorBidi" w:cstheme="majorBidi"/>
          <w:i/>
          <w:iCs/>
          <w:lang w:val="es-ES"/>
        </w:rPr>
        <w:t>»</w:t>
      </w:r>
      <w:r w:rsidRPr="00666D7C">
        <w:rPr>
          <w:rFonts w:asciiTheme="majorBidi" w:hAnsiTheme="majorBidi" w:cstheme="majorBidi"/>
          <w:szCs w:val="24"/>
          <w:lang w:val="es-ES"/>
        </w:rPr>
        <w:t xml:space="preserve"> se identificarán e incluirán en una Regla de Procedimiento. Las actuales Reglas de Procedimiento relativas al número </w:t>
      </w:r>
      <w:r w:rsidRPr="00666D7C">
        <w:rPr>
          <w:rFonts w:asciiTheme="majorBidi" w:hAnsiTheme="majorBidi" w:cstheme="majorBidi"/>
          <w:b/>
          <w:bCs/>
          <w:szCs w:val="24"/>
          <w:lang w:val="es-ES"/>
        </w:rPr>
        <w:t>11.31</w:t>
      </w:r>
      <w:r w:rsidRPr="00666D7C">
        <w:rPr>
          <w:rFonts w:asciiTheme="majorBidi" w:hAnsiTheme="majorBidi" w:cstheme="majorBidi"/>
          <w:szCs w:val="24"/>
          <w:lang w:val="es-ES"/>
        </w:rPr>
        <w:t xml:space="preserve"> contienen una lista exhaustiva de estas </w:t>
      </w:r>
      <w:r w:rsidRPr="006D7D77">
        <w:rPr>
          <w:rFonts w:asciiTheme="majorBidi" w:hAnsiTheme="majorBidi" w:cstheme="majorBidi"/>
          <w:i/>
          <w:iCs/>
          <w:lang w:val="es-ES"/>
        </w:rPr>
        <w:t>«</w:t>
      </w:r>
      <w:r w:rsidRPr="006D7D77">
        <w:rPr>
          <w:rFonts w:asciiTheme="majorBidi" w:hAnsiTheme="majorBidi" w:cstheme="majorBidi"/>
          <w:i/>
          <w:iCs/>
          <w:szCs w:val="24"/>
          <w:lang w:val="es-ES"/>
        </w:rPr>
        <w:t>otras disposiciones</w:t>
      </w:r>
      <w:r w:rsidRPr="006D7D77">
        <w:rPr>
          <w:rFonts w:asciiTheme="majorBidi" w:hAnsiTheme="majorBidi" w:cstheme="majorBidi"/>
          <w:i/>
          <w:iCs/>
          <w:lang w:val="es-ES"/>
        </w:rPr>
        <w:t>»</w:t>
      </w:r>
      <w:r w:rsidRPr="00666D7C">
        <w:rPr>
          <w:rFonts w:asciiTheme="majorBidi" w:hAnsiTheme="majorBidi" w:cstheme="majorBidi"/>
          <w:szCs w:val="24"/>
          <w:lang w:val="es-ES"/>
        </w:rPr>
        <w:t>.</w:t>
      </w:r>
    </w:p>
    <w:p w14:paraId="2B3BB261" w14:textId="13CDFB45" w:rsidR="00C41CA4" w:rsidRPr="00666D7C" w:rsidRDefault="00C41CA4" w:rsidP="00C41CA4">
      <w:pPr>
        <w:rPr>
          <w:rFonts w:asciiTheme="majorBidi" w:hAnsiTheme="majorBidi" w:cstheme="majorBidi"/>
          <w:lang w:val="es-ES"/>
        </w:rPr>
      </w:pPr>
      <w:r w:rsidRPr="00666D7C">
        <w:rPr>
          <w:rFonts w:asciiTheme="majorBidi" w:hAnsiTheme="majorBidi" w:cstheme="majorBidi"/>
          <w:lang w:val="es-ES"/>
        </w:rPr>
        <w:t>1.3</w:t>
      </w:r>
      <w:r w:rsidRPr="00666D7C">
        <w:rPr>
          <w:rFonts w:asciiTheme="majorBidi" w:hAnsiTheme="majorBidi" w:cstheme="majorBidi"/>
          <w:lang w:val="es-ES"/>
        </w:rPr>
        <w:tab/>
        <w:t>Por consiguiente, el ámbito de aplicación del número</w:t>
      </w:r>
      <w:r w:rsidR="0064260C">
        <w:rPr>
          <w:rFonts w:asciiTheme="majorBidi" w:hAnsiTheme="majorBidi" w:cstheme="majorBidi"/>
          <w:lang w:val="es-ES"/>
        </w:rPr>
        <w:t> </w:t>
      </w:r>
      <w:r w:rsidRPr="00666D7C">
        <w:rPr>
          <w:rFonts w:asciiTheme="majorBidi" w:hAnsiTheme="majorBidi" w:cstheme="majorBidi"/>
          <w:b/>
          <w:bCs/>
          <w:lang w:val="es-ES"/>
        </w:rPr>
        <w:t>4.4</w:t>
      </w:r>
      <w:r w:rsidRPr="00666D7C">
        <w:rPr>
          <w:rFonts w:asciiTheme="majorBidi" w:hAnsiTheme="majorBidi" w:cstheme="majorBidi"/>
          <w:lang w:val="es-ES"/>
        </w:rPr>
        <w:t xml:space="preserve"> se limita a las derogaciones del Cuadro de atribución de bandas de frecuencias y de las disposiciones enumeradas en las Reglas de Procedimiento relativas al número </w:t>
      </w:r>
      <w:r w:rsidRPr="00666D7C">
        <w:rPr>
          <w:rFonts w:asciiTheme="majorBidi" w:hAnsiTheme="majorBidi" w:cstheme="majorBidi"/>
          <w:b/>
          <w:bCs/>
          <w:lang w:val="es-ES"/>
        </w:rPr>
        <w:t>11.31</w:t>
      </w:r>
      <w:r w:rsidRPr="00666D7C">
        <w:rPr>
          <w:rFonts w:asciiTheme="majorBidi" w:hAnsiTheme="majorBidi" w:cstheme="majorBidi"/>
          <w:bCs/>
          <w:lang w:val="es-ES"/>
        </w:rPr>
        <w:t xml:space="preserve"> con respecto a </w:t>
      </w:r>
      <w:r w:rsidRPr="00981145">
        <w:rPr>
          <w:rFonts w:asciiTheme="majorBidi" w:hAnsiTheme="majorBidi" w:cstheme="majorBidi"/>
          <w:bCs/>
          <w:i/>
          <w:iCs/>
          <w:lang w:val="es-ES"/>
        </w:rPr>
        <w:t>«otras disposiciones»</w:t>
      </w:r>
      <w:r w:rsidRPr="00666D7C">
        <w:rPr>
          <w:rFonts w:asciiTheme="majorBidi" w:hAnsiTheme="majorBidi" w:cstheme="majorBidi"/>
          <w:lang w:val="es-ES"/>
        </w:rPr>
        <w:t xml:space="preserve">. En particular, las administraciones que tengan previsto autorizar la utilización del espectro con arreglo al número </w:t>
      </w:r>
      <w:r w:rsidRPr="00666D7C">
        <w:rPr>
          <w:rFonts w:asciiTheme="majorBidi" w:hAnsiTheme="majorBidi" w:cstheme="majorBidi"/>
          <w:b/>
          <w:bCs/>
          <w:lang w:val="es-ES"/>
        </w:rPr>
        <w:t>4.4</w:t>
      </w:r>
      <w:r w:rsidRPr="00666D7C">
        <w:rPr>
          <w:rFonts w:asciiTheme="majorBidi" w:hAnsiTheme="majorBidi" w:cstheme="majorBidi"/>
          <w:lang w:val="es-ES"/>
        </w:rPr>
        <w:t xml:space="preserve"> siguen teniendo la obligación, en virtud de las Secciones I y II del Artículo </w:t>
      </w:r>
      <w:r w:rsidRPr="00666D7C">
        <w:rPr>
          <w:rFonts w:asciiTheme="majorBidi" w:hAnsiTheme="majorBidi" w:cstheme="majorBidi"/>
          <w:b/>
          <w:lang w:val="es-ES"/>
        </w:rPr>
        <w:t>9</w:t>
      </w:r>
      <w:r w:rsidRPr="00666D7C">
        <w:rPr>
          <w:rFonts w:asciiTheme="majorBidi" w:hAnsiTheme="majorBidi" w:cstheme="majorBidi"/>
          <w:lang w:val="es-ES"/>
        </w:rPr>
        <w:t xml:space="preserve">, números </w:t>
      </w:r>
      <w:r w:rsidRPr="00666D7C">
        <w:rPr>
          <w:rFonts w:asciiTheme="majorBidi" w:hAnsiTheme="majorBidi" w:cstheme="majorBidi"/>
          <w:b/>
          <w:bCs/>
          <w:lang w:val="es-ES"/>
        </w:rPr>
        <w:t>11.2</w:t>
      </w:r>
      <w:r w:rsidRPr="00666D7C">
        <w:rPr>
          <w:rFonts w:asciiTheme="majorBidi" w:hAnsiTheme="majorBidi" w:cstheme="majorBidi"/>
          <w:lang w:val="es-ES"/>
        </w:rPr>
        <w:t xml:space="preserve"> y </w:t>
      </w:r>
      <w:r w:rsidRPr="00666D7C">
        <w:rPr>
          <w:rFonts w:asciiTheme="majorBidi" w:hAnsiTheme="majorBidi" w:cstheme="majorBidi"/>
          <w:b/>
          <w:bCs/>
          <w:lang w:val="es-ES"/>
        </w:rPr>
        <w:t>11.3</w:t>
      </w:r>
      <w:r w:rsidRPr="00666D7C">
        <w:rPr>
          <w:rFonts w:asciiTheme="majorBidi" w:hAnsiTheme="majorBidi" w:cstheme="majorBidi"/>
          <w:lang w:val="es-ES"/>
        </w:rPr>
        <w:t xml:space="preserve">, de notificar a la Oficina </w:t>
      </w:r>
      <w:r w:rsidRPr="00981145">
        <w:rPr>
          <w:rFonts w:asciiTheme="majorBidi" w:hAnsiTheme="majorBidi" w:cstheme="majorBidi"/>
          <w:i/>
          <w:iCs/>
          <w:lang w:val="es-ES"/>
        </w:rPr>
        <w:t>«toda asignación de frecuencia cuya utilización</w:t>
      </w:r>
      <w:r w:rsidRPr="00981145">
        <w:rPr>
          <w:rFonts w:asciiTheme="majorBidi" w:eastAsiaTheme="minorHAnsi" w:hAnsiTheme="majorBidi" w:cstheme="majorBidi"/>
          <w:i/>
          <w:iCs/>
          <w:color w:val="000000"/>
          <w:lang w:val="es-ES"/>
        </w:rPr>
        <w:t xml:space="preserve"> pudiera causar interferencia perjudicial a cualquier servicio de otra administración</w:t>
      </w:r>
      <w:r w:rsidRPr="00981145">
        <w:rPr>
          <w:rFonts w:asciiTheme="majorBidi" w:hAnsiTheme="majorBidi" w:cstheme="majorBidi"/>
          <w:i/>
          <w:iCs/>
          <w:lang w:val="es-ES"/>
        </w:rPr>
        <w:t>»</w:t>
      </w:r>
      <w:r w:rsidRPr="00666D7C">
        <w:rPr>
          <w:rFonts w:asciiTheme="majorBidi" w:eastAsiaTheme="minorHAnsi" w:hAnsiTheme="majorBidi" w:cstheme="majorBidi"/>
          <w:color w:val="000000"/>
          <w:lang w:val="es-ES"/>
        </w:rPr>
        <w:t xml:space="preserve">. </w:t>
      </w:r>
    </w:p>
    <w:p w14:paraId="2C36FEC4" w14:textId="167CEB04" w:rsidR="00C41CA4" w:rsidRPr="00C41CA4" w:rsidRDefault="00C41CA4" w:rsidP="00C41CA4">
      <w:pPr>
        <w:rPr>
          <w:rFonts w:asciiTheme="minorHAnsi" w:hAnsiTheme="minorHAnsi" w:cstheme="minorHAnsi"/>
          <w:lang w:val="es-ES"/>
        </w:rPr>
      </w:pPr>
      <w:r w:rsidRPr="00666D7C">
        <w:rPr>
          <w:rFonts w:asciiTheme="majorBidi" w:hAnsiTheme="majorBidi" w:cstheme="majorBidi"/>
          <w:lang w:val="es-ES"/>
        </w:rPr>
        <w:t>1.4</w:t>
      </w:r>
      <w:r w:rsidRPr="00666D7C">
        <w:rPr>
          <w:rFonts w:asciiTheme="majorBidi" w:hAnsiTheme="majorBidi" w:cstheme="majorBidi"/>
          <w:lang w:val="es-ES"/>
        </w:rPr>
        <w:tab/>
        <w:t xml:space="preserve">Cabe deducir asimismo de los números </w:t>
      </w:r>
      <w:r w:rsidRPr="00666D7C">
        <w:rPr>
          <w:rStyle w:val="Artref"/>
          <w:rFonts w:asciiTheme="majorBidi" w:hAnsiTheme="majorBidi" w:cstheme="majorBidi"/>
          <w:b/>
          <w:color w:val="000000"/>
          <w:lang w:val="es-ES"/>
        </w:rPr>
        <w:t>8.5</w:t>
      </w:r>
      <w:r w:rsidRPr="00666D7C">
        <w:rPr>
          <w:rFonts w:asciiTheme="majorBidi" w:hAnsiTheme="majorBidi" w:cstheme="majorBidi"/>
          <w:lang w:val="es-ES"/>
        </w:rPr>
        <w:t xml:space="preserve"> y </w:t>
      </w:r>
      <w:r w:rsidRPr="00666D7C">
        <w:rPr>
          <w:rStyle w:val="Artref"/>
          <w:rFonts w:asciiTheme="majorBidi" w:hAnsiTheme="majorBidi" w:cstheme="majorBidi"/>
          <w:b/>
          <w:color w:val="000000"/>
          <w:lang w:val="es-ES"/>
        </w:rPr>
        <w:t>11.36</w:t>
      </w:r>
      <w:r w:rsidRPr="00666D7C">
        <w:rPr>
          <w:rFonts w:asciiTheme="majorBidi" w:hAnsiTheme="majorBidi" w:cstheme="majorBidi"/>
          <w:lang w:val="es-ES"/>
        </w:rPr>
        <w:t xml:space="preserve"> que la inscripción de una asignación con una referencia al número</w:t>
      </w:r>
      <w:r w:rsidR="0064260C">
        <w:rPr>
          <w:rFonts w:asciiTheme="majorBidi" w:hAnsiTheme="majorBidi" w:cstheme="majorBidi"/>
          <w:lang w:val="es-ES"/>
        </w:rPr>
        <w:t> </w:t>
      </w:r>
      <w:r w:rsidRPr="00666D7C">
        <w:rPr>
          <w:rStyle w:val="Artref"/>
          <w:rFonts w:asciiTheme="majorBidi" w:hAnsiTheme="majorBidi" w:cstheme="majorBidi"/>
          <w:b/>
          <w:color w:val="000000"/>
          <w:lang w:val="es-ES"/>
        </w:rPr>
        <w:t>4.4</w:t>
      </w:r>
      <w:r w:rsidRPr="00666D7C">
        <w:rPr>
          <w:rFonts w:asciiTheme="majorBidi" w:hAnsiTheme="majorBidi" w:cstheme="majorBidi"/>
          <w:lang w:val="es-ES"/>
        </w:rPr>
        <w:t xml:space="preserve"> incluye el compromiso de la administración notificante de eliminar inmediatamente toda interferencia perjudicial que se cause a otras asignaciones de frecuencia conformes al Reglamento de Radiocomunicaciones en cuanto reciba la correspondiente indicación. Esta limi</w:t>
      </w:r>
      <w:r w:rsidRPr="00666D7C">
        <w:rPr>
          <w:rFonts w:asciiTheme="majorBidi" w:hAnsiTheme="majorBidi" w:cstheme="majorBidi"/>
          <w:lang w:val="es-ES"/>
        </w:rPr>
        <w:softHyphen/>
        <w:t xml:space="preserve">tación del uso de una asignación notificada con una referencia al número </w:t>
      </w:r>
      <w:r w:rsidRPr="00666D7C">
        <w:rPr>
          <w:rStyle w:val="Artref"/>
          <w:rFonts w:asciiTheme="majorBidi" w:hAnsiTheme="majorBidi" w:cstheme="majorBidi"/>
          <w:b/>
          <w:color w:val="000000"/>
          <w:lang w:val="es-ES"/>
        </w:rPr>
        <w:t>4.4</w:t>
      </w:r>
      <w:r w:rsidRPr="00666D7C">
        <w:rPr>
          <w:rFonts w:asciiTheme="majorBidi" w:hAnsiTheme="majorBidi" w:cstheme="majorBidi"/>
          <w:lang w:val="es-ES"/>
        </w:rPr>
        <w:t xml:space="preserve"> es únicamente válida cuando las dos categorías de asignaciones detalladas en el número </w:t>
      </w:r>
      <w:r w:rsidRPr="00666D7C">
        <w:rPr>
          <w:rStyle w:val="Artref"/>
          <w:rFonts w:asciiTheme="majorBidi" w:hAnsiTheme="majorBidi" w:cstheme="majorBidi"/>
          <w:b/>
          <w:color w:val="000000"/>
          <w:lang w:val="es-ES"/>
        </w:rPr>
        <w:t>8.5</w:t>
      </w:r>
      <w:r w:rsidRPr="00666D7C">
        <w:rPr>
          <w:rFonts w:asciiTheme="majorBidi" w:hAnsiTheme="majorBidi" w:cstheme="majorBidi"/>
          <w:lang w:val="es-ES"/>
        </w:rPr>
        <w:t xml:space="preserve"> están en servicio.</w:t>
      </w:r>
    </w:p>
    <w:p w14:paraId="54D882A3" w14:textId="77777777" w:rsidR="00C41CA4" w:rsidRDefault="00C41CA4" w:rsidP="00C41CA4">
      <w:pPr>
        <w:rPr>
          <w:rFonts w:asciiTheme="minorHAnsi" w:hAnsiTheme="minorHAnsi" w:cstheme="minorHAnsi"/>
          <w:lang w:val="es-ES"/>
        </w:rPr>
      </w:pPr>
      <w:r>
        <w:rPr>
          <w:rFonts w:asciiTheme="minorHAnsi" w:hAnsiTheme="minorHAnsi" w:cstheme="minorHAnsi"/>
          <w:lang w:val="es-ES"/>
        </w:rPr>
        <w:br w:type="page"/>
      </w:r>
    </w:p>
    <w:p w14:paraId="11189477" w14:textId="77777777" w:rsidR="00C41CA4" w:rsidRPr="00666D7C" w:rsidRDefault="00C41CA4" w:rsidP="00C41CA4">
      <w:pPr>
        <w:rPr>
          <w:rFonts w:asciiTheme="majorBidi" w:eastAsiaTheme="minorHAnsi" w:hAnsiTheme="majorBidi" w:cstheme="majorBidi"/>
          <w:lang w:val="es-ES"/>
        </w:rPr>
      </w:pPr>
      <w:r w:rsidRPr="00666D7C">
        <w:rPr>
          <w:rFonts w:asciiTheme="majorBidi" w:hAnsiTheme="majorBidi" w:cstheme="majorBidi"/>
          <w:lang w:val="es-ES"/>
        </w:rPr>
        <w:lastRenderedPageBreak/>
        <w:t>1.5</w:t>
      </w:r>
      <w:r w:rsidRPr="00666D7C">
        <w:rPr>
          <w:rFonts w:asciiTheme="majorBidi" w:hAnsiTheme="majorBidi" w:cstheme="majorBidi"/>
          <w:lang w:val="es-ES"/>
        </w:rPr>
        <w:tab/>
      </w:r>
      <w:r w:rsidRPr="00666D7C">
        <w:rPr>
          <w:rFonts w:asciiTheme="majorBidi" w:eastAsiaTheme="minorHAnsi" w:hAnsiTheme="majorBidi" w:cstheme="majorBidi"/>
          <w:lang w:val="es-ES"/>
        </w:rPr>
        <w:t xml:space="preserve">La Junta estima que la determinación de si una asignación de frecuencia a una estación transmisora puede o no causar interferencia perjudicial a las estaciones de otras administraciones que funcionan de acuerdo con el Reglamento de Radiocomunicaciones no incumbe exclusivamente a la administración que explota la estación transmisora que puede ser causante de la interferencia, y otras administraciones deben disponer de información sobre una utilización con arreglo al número </w:t>
      </w:r>
      <w:r w:rsidRPr="00666D7C">
        <w:rPr>
          <w:rFonts w:asciiTheme="majorBidi" w:eastAsiaTheme="minorHAnsi" w:hAnsiTheme="majorBidi" w:cstheme="majorBidi"/>
          <w:b/>
          <w:bCs/>
          <w:lang w:val="es-ES"/>
        </w:rPr>
        <w:t xml:space="preserve">4.4 </w:t>
      </w:r>
      <w:r w:rsidRPr="00666D7C">
        <w:rPr>
          <w:rFonts w:asciiTheme="majorBidi" w:eastAsiaTheme="minorHAnsi" w:hAnsiTheme="majorBidi" w:cstheme="majorBidi"/>
          <w:lang w:val="es-ES"/>
        </w:rPr>
        <w:t>a fin de evaluar la posibilidad que tiene de causar interferencia o identificar la fuente de la interferencia perjudicial. Por ese motivo, una administración que tenga previsto poner en servicio una asignación de frecuencias para una estación transmisora con arreglo al número </w:t>
      </w:r>
      <w:r w:rsidRPr="00666D7C">
        <w:rPr>
          <w:rFonts w:asciiTheme="majorBidi" w:eastAsiaTheme="minorHAnsi" w:hAnsiTheme="majorBidi" w:cstheme="majorBidi"/>
          <w:b/>
          <w:bCs/>
          <w:lang w:val="es-ES"/>
        </w:rPr>
        <w:t>4.4</w:t>
      </w:r>
      <w:r w:rsidRPr="00666D7C">
        <w:rPr>
          <w:rFonts w:asciiTheme="majorBidi" w:eastAsiaTheme="minorHAnsi" w:hAnsiTheme="majorBidi" w:cstheme="majorBidi"/>
          <w:lang w:val="es-ES"/>
        </w:rPr>
        <w:t xml:space="preserve"> tendrá que notificar esa asignación de frecuencias a la Oficina, de conformidad con el Artículo </w:t>
      </w:r>
      <w:r w:rsidRPr="00666D7C">
        <w:rPr>
          <w:rFonts w:asciiTheme="majorBidi" w:eastAsiaTheme="minorHAnsi" w:hAnsiTheme="majorBidi" w:cstheme="majorBidi"/>
          <w:b/>
          <w:lang w:val="es-ES"/>
        </w:rPr>
        <w:t>11</w:t>
      </w:r>
      <w:r w:rsidRPr="00666D7C">
        <w:rPr>
          <w:rStyle w:val="FootnoteReference"/>
          <w:rFonts w:asciiTheme="majorBidi" w:hAnsiTheme="majorBidi" w:cstheme="majorBidi"/>
          <w:lang w:val="es-ES"/>
        </w:rPr>
        <w:footnoteReference w:id="1"/>
      </w:r>
      <w:r w:rsidRPr="00666D7C">
        <w:rPr>
          <w:rFonts w:asciiTheme="majorBidi" w:eastAsiaTheme="minorHAnsi" w:hAnsiTheme="majorBidi" w:cstheme="majorBidi"/>
          <w:lang w:val="es-ES"/>
        </w:rPr>
        <w:t xml:space="preserve">, si es posible antes de ponerla en servicio. En el caso de los servicios espaciales, implica la aplicación previa de las disposiciones pertinentes del Artículo </w:t>
      </w:r>
      <w:r w:rsidRPr="00666D7C">
        <w:rPr>
          <w:rFonts w:asciiTheme="majorBidi" w:eastAsiaTheme="minorHAnsi" w:hAnsiTheme="majorBidi" w:cstheme="majorBidi"/>
          <w:b/>
          <w:bCs/>
          <w:lang w:val="es-ES"/>
        </w:rPr>
        <w:t xml:space="preserve">9 </w:t>
      </w:r>
      <w:r w:rsidRPr="00666D7C">
        <w:rPr>
          <w:rFonts w:asciiTheme="majorBidi" w:eastAsiaTheme="minorHAnsi" w:hAnsiTheme="majorBidi" w:cstheme="majorBidi"/>
          <w:lang w:val="es-ES"/>
        </w:rPr>
        <w:t>(véase también el § 1.3 anterior)</w:t>
      </w:r>
      <w:r w:rsidRPr="00666D7C">
        <w:rPr>
          <w:rFonts w:asciiTheme="majorBidi" w:hAnsiTheme="majorBidi" w:cstheme="majorBidi"/>
          <w:lang w:val="es-ES"/>
        </w:rPr>
        <w:t>.</w:t>
      </w:r>
    </w:p>
    <w:p w14:paraId="77044642" w14:textId="77777777" w:rsidR="00C41CA4" w:rsidRPr="00666D7C" w:rsidRDefault="00C41CA4" w:rsidP="00C41CA4">
      <w:pPr>
        <w:rPr>
          <w:rFonts w:asciiTheme="majorBidi" w:hAnsiTheme="majorBidi" w:cstheme="majorBidi"/>
          <w:lang w:val="es-ES"/>
        </w:rPr>
      </w:pPr>
      <w:r w:rsidRPr="00666D7C">
        <w:rPr>
          <w:rFonts w:asciiTheme="majorBidi" w:hAnsiTheme="majorBidi" w:cstheme="majorBidi"/>
          <w:lang w:val="es-ES"/>
        </w:rPr>
        <w:t>1.6</w:t>
      </w:r>
      <w:r w:rsidRPr="00666D7C">
        <w:rPr>
          <w:rFonts w:asciiTheme="majorBidi" w:hAnsiTheme="majorBidi" w:cstheme="majorBidi"/>
          <w:lang w:val="es-ES"/>
        </w:rPr>
        <w:tab/>
        <w:t xml:space="preserve">La Junta también llegó a la conclusión de que las administraciones, antes de poner en servicio cualquier asignación de frecuencias a estaciones transmisoras que funcionan con arreglo al número </w:t>
      </w:r>
      <w:r w:rsidRPr="00666D7C">
        <w:rPr>
          <w:rFonts w:asciiTheme="majorBidi" w:hAnsiTheme="majorBidi" w:cstheme="majorBidi"/>
          <w:b/>
          <w:bCs/>
          <w:lang w:val="es-ES"/>
        </w:rPr>
        <w:t>4.4</w:t>
      </w:r>
      <w:r w:rsidRPr="00666D7C">
        <w:rPr>
          <w:rFonts w:asciiTheme="majorBidi" w:hAnsiTheme="majorBidi" w:cstheme="majorBidi"/>
          <w:lang w:val="es-ES"/>
        </w:rPr>
        <w:t>, deben determinar:</w:t>
      </w:r>
    </w:p>
    <w:p w14:paraId="7A08588B" w14:textId="77777777" w:rsidR="00C41CA4" w:rsidRPr="00666D7C" w:rsidRDefault="00C41CA4" w:rsidP="00C41CA4">
      <w:pPr>
        <w:pStyle w:val="enumlev1"/>
        <w:rPr>
          <w:rFonts w:asciiTheme="majorBidi" w:hAnsiTheme="majorBidi" w:cstheme="majorBidi"/>
          <w:lang w:val="es-ES"/>
        </w:rPr>
      </w:pPr>
      <w:r w:rsidRPr="00666D7C">
        <w:rPr>
          <w:rFonts w:asciiTheme="majorBidi" w:hAnsiTheme="majorBidi" w:cstheme="majorBidi"/>
          <w:lang w:val="es-ES"/>
        </w:rPr>
        <w:t>a)</w:t>
      </w:r>
      <w:r w:rsidRPr="00666D7C">
        <w:rPr>
          <w:rFonts w:asciiTheme="majorBidi" w:hAnsiTheme="majorBidi" w:cstheme="majorBidi"/>
          <w:lang w:val="es-ES"/>
        </w:rPr>
        <w:tab/>
        <w:t xml:space="preserve">que la utilización prevista de la asignación de frecuencia a la estación con arreglo al número </w:t>
      </w:r>
      <w:r w:rsidRPr="00666D7C">
        <w:rPr>
          <w:rFonts w:asciiTheme="majorBidi" w:hAnsiTheme="majorBidi" w:cstheme="majorBidi"/>
          <w:b/>
          <w:bCs/>
          <w:lang w:val="es-ES"/>
        </w:rPr>
        <w:t>4.4</w:t>
      </w:r>
      <w:r w:rsidRPr="00666D7C">
        <w:rPr>
          <w:rFonts w:asciiTheme="majorBidi" w:hAnsiTheme="majorBidi" w:cstheme="majorBidi"/>
          <w:lang w:val="es-ES"/>
        </w:rPr>
        <w:t xml:space="preserve"> no cause interferencia perjudicial a las estaciones de otras administraciones que funcionan de conformidad con lo estipulado en el Reglamento de Radiocomunicaciones;</w:t>
      </w:r>
    </w:p>
    <w:p w14:paraId="2D39D564" w14:textId="77777777" w:rsidR="00C41CA4" w:rsidRPr="00666D7C" w:rsidRDefault="00C41CA4" w:rsidP="00C41CA4">
      <w:pPr>
        <w:pStyle w:val="enumlev1"/>
        <w:rPr>
          <w:rFonts w:asciiTheme="majorBidi" w:hAnsiTheme="majorBidi" w:cstheme="majorBidi"/>
          <w:lang w:val="es-ES"/>
        </w:rPr>
      </w:pPr>
      <w:r w:rsidRPr="00666D7C">
        <w:rPr>
          <w:rFonts w:asciiTheme="majorBidi" w:hAnsiTheme="majorBidi" w:cstheme="majorBidi"/>
          <w:color w:val="000000"/>
          <w:lang w:val="es-ES"/>
        </w:rPr>
        <w:t>b)</w:t>
      </w:r>
      <w:r w:rsidRPr="00666D7C">
        <w:rPr>
          <w:rFonts w:asciiTheme="majorBidi" w:hAnsiTheme="majorBidi" w:cstheme="majorBidi"/>
          <w:color w:val="000000"/>
          <w:lang w:val="es-ES"/>
        </w:rPr>
        <w:tab/>
        <w:t xml:space="preserve">qué medidas se habrán de tomar para cumplir la obligación de eliminar inmediatamente la interferencia perjudicial con arreglo al número </w:t>
      </w:r>
      <w:r w:rsidRPr="00666D7C">
        <w:rPr>
          <w:rFonts w:asciiTheme="majorBidi" w:hAnsiTheme="majorBidi" w:cstheme="majorBidi"/>
          <w:b/>
          <w:bCs/>
          <w:color w:val="000000"/>
          <w:lang w:val="es-ES"/>
        </w:rPr>
        <w:t>8.5</w:t>
      </w:r>
      <w:r w:rsidRPr="00666D7C">
        <w:rPr>
          <w:rFonts w:asciiTheme="majorBidi" w:hAnsiTheme="majorBidi" w:cstheme="majorBidi"/>
          <w:color w:val="000000"/>
          <w:lang w:val="es-ES"/>
        </w:rPr>
        <w:t>.</w:t>
      </w:r>
    </w:p>
    <w:p w14:paraId="1EBC31C6" w14:textId="77777777" w:rsidR="00C41CA4" w:rsidRPr="00666D7C" w:rsidRDefault="00C41CA4" w:rsidP="00C41CA4">
      <w:pPr>
        <w:rPr>
          <w:rFonts w:asciiTheme="majorBidi" w:hAnsiTheme="majorBidi" w:cstheme="majorBidi"/>
          <w:lang w:val="es-ES"/>
        </w:rPr>
      </w:pPr>
      <w:r w:rsidRPr="00666D7C">
        <w:rPr>
          <w:rFonts w:asciiTheme="majorBidi" w:hAnsiTheme="majorBidi" w:cstheme="majorBidi"/>
          <w:lang w:val="es-ES"/>
        </w:rPr>
        <w:t xml:space="preserve">Cuando se notifique la utilización de asignaciones de frecuencias que funcionan con arreglo al número </w:t>
      </w:r>
      <w:r w:rsidRPr="00666D7C">
        <w:rPr>
          <w:rFonts w:asciiTheme="majorBidi" w:hAnsiTheme="majorBidi" w:cstheme="majorBidi"/>
          <w:b/>
          <w:lang w:val="es-ES"/>
        </w:rPr>
        <w:t>4.4</w:t>
      </w:r>
      <w:r w:rsidRPr="00666D7C">
        <w:rPr>
          <w:rFonts w:asciiTheme="majorBidi" w:hAnsiTheme="majorBidi" w:cstheme="majorBidi"/>
          <w:lang w:val="es-ES"/>
        </w:rPr>
        <w:t>, la Administración notificante debe proporcionar una confirmación de que ha determinado que estas asignaciones de frecuencias cumplen las condiciones indicadas anteriormente en el punto a) y de que ha identificado medidas para evitar interferencias perjudiciales y eliminarlas de inmediato en el caso de una denuncia.</w:t>
      </w:r>
    </w:p>
    <w:p w14:paraId="34CE479B" w14:textId="4A51B77F" w:rsidR="00C41CA4" w:rsidRPr="00666D7C" w:rsidRDefault="00C41CA4" w:rsidP="00C41CA4">
      <w:pPr>
        <w:rPr>
          <w:rFonts w:asciiTheme="majorBidi" w:hAnsiTheme="majorBidi" w:cstheme="majorBidi"/>
          <w:lang w:val="es-ES"/>
        </w:rPr>
      </w:pPr>
      <w:r w:rsidRPr="00666D7C">
        <w:rPr>
          <w:rFonts w:asciiTheme="majorBidi" w:hAnsiTheme="majorBidi" w:cstheme="majorBidi"/>
          <w:lang w:val="es-ES"/>
        </w:rPr>
        <w:t>1.7</w:t>
      </w:r>
      <w:r w:rsidRPr="00666D7C">
        <w:rPr>
          <w:rFonts w:asciiTheme="majorBidi" w:hAnsiTheme="majorBidi" w:cstheme="majorBidi"/>
          <w:lang w:val="es-ES"/>
        </w:rPr>
        <w:tab/>
        <w:t>Teniendo en cuenta el número</w:t>
      </w:r>
      <w:r w:rsidR="0064260C">
        <w:rPr>
          <w:rFonts w:asciiTheme="majorBidi" w:hAnsiTheme="majorBidi" w:cstheme="majorBidi"/>
          <w:lang w:val="es-ES"/>
        </w:rPr>
        <w:t> </w:t>
      </w:r>
      <w:r w:rsidRPr="00666D7C">
        <w:rPr>
          <w:rStyle w:val="Artref"/>
          <w:rFonts w:asciiTheme="majorBidi" w:hAnsiTheme="majorBidi" w:cstheme="majorBidi"/>
          <w:b/>
          <w:color w:val="000000"/>
          <w:lang w:val="es-ES"/>
        </w:rPr>
        <w:t>4.4</w:t>
      </w:r>
      <w:r w:rsidRPr="00666D7C">
        <w:rPr>
          <w:rFonts w:asciiTheme="majorBidi" w:hAnsiTheme="majorBidi" w:cstheme="majorBidi"/>
          <w:lang w:val="es-ES"/>
        </w:rPr>
        <w:t>, así como los números</w:t>
      </w:r>
      <w:r w:rsidR="0064260C">
        <w:rPr>
          <w:rFonts w:asciiTheme="majorBidi" w:hAnsiTheme="majorBidi" w:cstheme="majorBidi"/>
          <w:lang w:val="es-ES"/>
        </w:rPr>
        <w:t> </w:t>
      </w:r>
      <w:r w:rsidRPr="00666D7C">
        <w:rPr>
          <w:rStyle w:val="Artref"/>
          <w:rFonts w:asciiTheme="majorBidi" w:hAnsiTheme="majorBidi" w:cstheme="majorBidi"/>
          <w:b/>
          <w:color w:val="000000"/>
          <w:lang w:val="es-ES"/>
        </w:rPr>
        <w:t>5.43</w:t>
      </w:r>
      <w:r w:rsidRPr="00666D7C">
        <w:rPr>
          <w:rFonts w:asciiTheme="majorBidi" w:hAnsiTheme="majorBidi" w:cstheme="majorBidi"/>
          <w:lang w:val="es-ES"/>
        </w:rPr>
        <w:t xml:space="preserve"> y </w:t>
      </w:r>
      <w:r w:rsidRPr="00666D7C">
        <w:rPr>
          <w:rStyle w:val="Artref"/>
          <w:rFonts w:asciiTheme="majorBidi" w:hAnsiTheme="majorBidi" w:cstheme="majorBidi"/>
          <w:b/>
          <w:color w:val="000000"/>
          <w:lang w:val="es-ES"/>
        </w:rPr>
        <w:t>5.43A</w:t>
      </w:r>
      <w:r w:rsidRPr="00666D7C">
        <w:rPr>
          <w:rFonts w:asciiTheme="majorBidi" w:hAnsiTheme="majorBidi" w:cstheme="majorBidi"/>
          <w:lang w:val="es-ES"/>
        </w:rPr>
        <w:t>, las asignaciones de frecuencias a estaciones receptoras no conformes al Reglamento de Radiocomunicaciones se inscriben con un símbolo indicativo de que la administración notificante no puede reclamar protección contra la interferencia perjudicial que puedan provocar asignaciones de frecuencia explotadas de conformidad con el Reglamento de Radiocomunicaciones.</w:t>
      </w:r>
    </w:p>
    <w:p w14:paraId="689DD481" w14:textId="77777777" w:rsidR="00405C11" w:rsidRPr="00666D7C" w:rsidRDefault="00C41CA4" w:rsidP="00C41CA4">
      <w:pPr>
        <w:rPr>
          <w:rFonts w:asciiTheme="majorBidi" w:hAnsiTheme="majorBidi" w:cstheme="majorBidi"/>
          <w:lang w:val="es-ES"/>
        </w:rPr>
      </w:pPr>
      <w:r w:rsidRPr="00666D7C">
        <w:rPr>
          <w:rFonts w:asciiTheme="majorBidi" w:hAnsiTheme="majorBidi" w:cstheme="majorBidi"/>
          <w:lang w:val="es-ES"/>
        </w:rPr>
        <w:t xml:space="preserve">Véanse también las Reglas de Procedimiento relativas al número </w:t>
      </w:r>
      <w:r w:rsidRPr="00666D7C">
        <w:rPr>
          <w:rFonts w:asciiTheme="majorBidi" w:hAnsiTheme="majorBidi" w:cstheme="majorBidi"/>
          <w:b/>
          <w:lang w:val="es-ES"/>
        </w:rPr>
        <w:t>11.37</w:t>
      </w:r>
      <w:r w:rsidRPr="00666D7C">
        <w:rPr>
          <w:rFonts w:asciiTheme="majorBidi" w:hAnsiTheme="majorBidi" w:cstheme="majorBidi"/>
          <w:lang w:val="es-ES"/>
        </w:rPr>
        <w:t>.</w:t>
      </w:r>
    </w:p>
    <w:p w14:paraId="09EE58D8" w14:textId="77777777" w:rsidR="00C41CA4" w:rsidRDefault="00C41CA4" w:rsidP="00C41CA4">
      <w:pPr>
        <w:rPr>
          <w:rFonts w:asciiTheme="minorHAnsi" w:hAnsiTheme="minorHAnsi" w:cstheme="minorHAnsi"/>
          <w:lang w:val="es-ES"/>
        </w:rPr>
      </w:pPr>
      <w:r>
        <w:rPr>
          <w:rFonts w:asciiTheme="minorHAnsi" w:hAnsiTheme="minorHAnsi" w:cstheme="minorHAnsi"/>
          <w:lang w:val="es-ES"/>
        </w:rPr>
        <w:br w:type="page"/>
      </w:r>
    </w:p>
    <w:p w14:paraId="17D3133D" w14:textId="77777777" w:rsidR="00405C11" w:rsidRPr="006456E2" w:rsidRDefault="00405C11" w:rsidP="00405C11">
      <w:pPr>
        <w:pStyle w:val="Heading1"/>
        <w:rPr>
          <w:lang w:val="es-ES_tradnl"/>
        </w:rPr>
      </w:pPr>
      <w:r w:rsidRPr="006456E2">
        <w:rPr>
          <w:lang w:val="es-ES_tradnl"/>
        </w:rPr>
        <w:lastRenderedPageBreak/>
        <w:t>2</w:t>
      </w:r>
      <w:r w:rsidRPr="006456E2">
        <w:rPr>
          <w:lang w:val="es-ES_tradnl"/>
        </w:rPr>
        <w:tab/>
        <w:t>Emisiones en bandas donde están prohibidos los usos distintos de los autorizados</w:t>
      </w:r>
    </w:p>
    <w:p w14:paraId="1795CA8D" w14:textId="77777777" w:rsidR="00405C11" w:rsidRPr="006456E2" w:rsidRDefault="00405C11" w:rsidP="006A3CE2">
      <w:pPr>
        <w:spacing w:before="80"/>
        <w:rPr>
          <w:lang w:val="es-ES_tradnl"/>
        </w:rPr>
      </w:pPr>
      <w:r w:rsidRPr="006456E2">
        <w:rPr>
          <w:lang w:val="es-ES_tradnl"/>
        </w:rPr>
        <w:t>2.1</w:t>
      </w:r>
      <w:r w:rsidRPr="006456E2">
        <w:rPr>
          <w:lang w:val="es-ES_tradnl"/>
        </w:rPr>
        <w:tab/>
        <w:t>Las disposiciones indicadas a continuación que se refieren a frecuencias o bandas que se utilizan con fines de comunicaciones de socorro y seguridad o a utilización pasiva, prohíben todo otro uso.</w:t>
      </w:r>
    </w:p>
    <w:p w14:paraId="68885052" w14:textId="77777777" w:rsidR="00405C11" w:rsidRPr="006456E2" w:rsidRDefault="00405C11" w:rsidP="006A3CE2">
      <w:pPr>
        <w:pStyle w:val="enumlev1"/>
        <w:spacing w:before="60"/>
        <w:rPr>
          <w:lang w:val="es-ES_tradnl"/>
        </w:rPr>
      </w:pPr>
      <w:r w:rsidRPr="006456E2">
        <w:rPr>
          <w:i/>
          <w:lang w:val="es-ES_tradnl"/>
        </w:rPr>
        <w:t>a)</w:t>
      </w:r>
      <w:r w:rsidRPr="006456E2">
        <w:rPr>
          <w:lang w:val="es-ES_tradnl"/>
        </w:rPr>
        <w:tab/>
      </w:r>
      <w:r w:rsidRPr="006456E2">
        <w:rPr>
          <w:i/>
          <w:lang w:val="es-ES_tradnl"/>
        </w:rPr>
        <w:t>Disposiciones relativas a las comunicaciones de socorro y seguridad:</w:t>
      </w:r>
    </w:p>
    <w:p w14:paraId="507E5678" w14:textId="77777777" w:rsidR="00405C11" w:rsidRPr="006456E2" w:rsidRDefault="0081328A" w:rsidP="00A7700C">
      <w:pPr>
        <w:pStyle w:val="enumlev1"/>
        <w:rPr>
          <w:lang w:val="es-ES_tradnl"/>
        </w:rPr>
      </w:pPr>
      <w:r w:rsidRPr="006456E2">
        <w:rPr>
          <w:lang w:val="es-ES_tradnl"/>
        </w:rPr>
        <w:tab/>
      </w:r>
      <w:r w:rsidR="00405C11" w:rsidRPr="006456E2">
        <w:rPr>
          <w:lang w:val="es-ES_tradnl"/>
        </w:rPr>
        <w:t xml:space="preserve">Apéndice </w:t>
      </w:r>
      <w:r w:rsidR="00405C11" w:rsidRPr="006456E2">
        <w:rPr>
          <w:rStyle w:val="Appref"/>
          <w:b/>
          <w:color w:val="000000"/>
          <w:lang w:val="es-ES_tradnl"/>
        </w:rPr>
        <w:t>15</w:t>
      </w:r>
      <w:r w:rsidR="00405C11" w:rsidRPr="006456E2">
        <w:rPr>
          <w:lang w:val="es-ES_tradnl"/>
        </w:rPr>
        <w:t xml:space="preserve"> (SMSSM), Cuadros </w:t>
      </w:r>
      <w:r w:rsidR="00405C11" w:rsidRPr="006456E2">
        <w:rPr>
          <w:b/>
          <w:bCs/>
          <w:lang w:val="es-ES_tradnl"/>
        </w:rPr>
        <w:t>15-1</w:t>
      </w:r>
      <w:r w:rsidR="00405C11" w:rsidRPr="006456E2">
        <w:rPr>
          <w:lang w:val="es-ES_tradnl"/>
        </w:rPr>
        <w:t xml:space="preserve"> y </w:t>
      </w:r>
      <w:r w:rsidR="00405C11" w:rsidRPr="006456E2">
        <w:rPr>
          <w:b/>
          <w:bCs/>
          <w:lang w:val="es-ES_tradnl"/>
        </w:rPr>
        <w:t>15-2</w:t>
      </w:r>
      <w:r w:rsidR="00405C11" w:rsidRPr="006456E2">
        <w:rPr>
          <w:bCs/>
          <w:lang w:val="es-ES_tradnl"/>
        </w:rPr>
        <w:t>:</w:t>
      </w:r>
      <w:r w:rsidR="00405C11" w:rsidRPr="006456E2">
        <w:rPr>
          <w:lang w:val="es-ES_tradnl"/>
        </w:rPr>
        <w:t xml:space="preserve"> las frecuencias que llevan un asterisco</w:t>
      </w:r>
      <w:r w:rsidR="00E80B24">
        <w:rPr>
          <w:lang w:val="es-ES_tradnl"/>
        </w:rPr>
        <w:t xml:space="preserve"> </w:t>
      </w:r>
      <w:r w:rsidR="00A7700C" w:rsidRPr="006456E2">
        <w:rPr>
          <w:lang w:val="es-ES_tradnl"/>
        </w:rPr>
        <w:t>(*)</w:t>
      </w:r>
      <w:r w:rsidR="00405C11" w:rsidRPr="006456E2">
        <w:rPr>
          <w:lang w:val="es-ES_tradnl"/>
        </w:rPr>
        <w:t xml:space="preserve"> indican que queda prohibida toda emisión capaz de causar interferencia perjudicial a las comunicaciones de socorro y seguridad.</w:t>
      </w:r>
    </w:p>
    <w:p w14:paraId="19C81D07" w14:textId="77777777" w:rsidR="00405C11" w:rsidRPr="006456E2" w:rsidRDefault="00405C11" w:rsidP="006A3CE2">
      <w:pPr>
        <w:pStyle w:val="enumlev1"/>
        <w:spacing w:before="60"/>
        <w:rPr>
          <w:lang w:val="es-ES_tradnl"/>
        </w:rPr>
      </w:pPr>
      <w:r w:rsidRPr="006456E2">
        <w:rPr>
          <w:i/>
          <w:lang w:val="es-ES_tradnl"/>
        </w:rPr>
        <w:t>b)</w:t>
      </w:r>
      <w:r w:rsidRPr="006456E2">
        <w:rPr>
          <w:lang w:val="es-ES_tradnl"/>
        </w:rPr>
        <w:tab/>
      </w:r>
      <w:r w:rsidRPr="006456E2">
        <w:rPr>
          <w:i/>
          <w:lang w:val="es-ES_tradnl"/>
        </w:rPr>
        <w:t>Disposiciones relativas a la utilización pasiva:</w:t>
      </w:r>
    </w:p>
    <w:p w14:paraId="2D0E4A72" w14:textId="77777777" w:rsidR="009F622C" w:rsidRDefault="0081328A" w:rsidP="009F622C">
      <w:pPr>
        <w:pStyle w:val="enumlev2"/>
        <w:rPr>
          <w:lang w:val="es-ES_tradnl"/>
        </w:rPr>
      </w:pPr>
      <w:r w:rsidRPr="006456E2">
        <w:rPr>
          <w:lang w:val="es-ES_tradnl"/>
        </w:rPr>
        <w:t>N</w:t>
      </w:r>
      <w:r w:rsidR="00405C11" w:rsidRPr="006456E2">
        <w:rPr>
          <w:lang w:val="es-ES_tradnl"/>
        </w:rPr>
        <w:t xml:space="preserve">úmero </w:t>
      </w:r>
      <w:r w:rsidR="00405C11" w:rsidRPr="006456E2">
        <w:rPr>
          <w:rStyle w:val="Artref"/>
          <w:b/>
          <w:color w:val="000000"/>
          <w:lang w:val="es-ES_tradnl"/>
        </w:rPr>
        <w:t>5.340</w:t>
      </w:r>
      <w:r w:rsidR="00405C11" w:rsidRPr="006456E2">
        <w:rPr>
          <w:lang w:val="es-ES_tradnl"/>
        </w:rPr>
        <w:t>.</w:t>
      </w:r>
    </w:p>
    <w:p w14:paraId="184AB409" w14:textId="77777777" w:rsidR="00405C11" w:rsidRDefault="00405C11" w:rsidP="006A3CE2">
      <w:pPr>
        <w:spacing w:before="80"/>
        <w:rPr>
          <w:lang w:val="es-ES_tradnl"/>
        </w:rPr>
      </w:pPr>
      <w:r w:rsidRPr="006456E2">
        <w:rPr>
          <w:lang w:val="es-ES_tradnl"/>
        </w:rPr>
        <w:t>2.2</w:t>
      </w:r>
      <w:r w:rsidRPr="006456E2">
        <w:rPr>
          <w:lang w:val="es-ES_tradnl"/>
        </w:rPr>
        <w:tab/>
        <w:t xml:space="preserve">A la vista de esta prohibición, la Junta considera que una notificación relativa a cualquier otra utilización que las autorizadas en la banda o en las frecuencias en cuestión, no puede ser aceptada, incluso con una referencia al número </w:t>
      </w:r>
      <w:r w:rsidRPr="006456E2">
        <w:rPr>
          <w:rStyle w:val="Artref"/>
          <w:b/>
          <w:color w:val="000000"/>
          <w:lang w:val="es-ES_tradnl"/>
        </w:rPr>
        <w:t>4.4</w:t>
      </w:r>
      <w:r w:rsidRPr="006456E2">
        <w:rPr>
          <w:lang w:val="es-ES_tradnl"/>
        </w:rPr>
        <w:t>; además, se insta a la administración que presenta dicha notificación a evitar dicha utilización.</w:t>
      </w:r>
    </w:p>
    <w:p w14:paraId="0A5D2997" w14:textId="3C65B396" w:rsidR="009A7E06" w:rsidRPr="006A3CE2" w:rsidRDefault="009A7E06" w:rsidP="006A3CE2">
      <w:pPr>
        <w:pStyle w:val="Heading1"/>
        <w:spacing w:before="200"/>
        <w:rPr>
          <w:lang w:val="es-ES_tradnl"/>
        </w:rPr>
      </w:pPr>
      <w:r w:rsidRPr="006A3CE2">
        <w:rPr>
          <w:lang w:val="es-ES_tradnl"/>
        </w:rPr>
        <w:t>3</w:t>
      </w:r>
      <w:r w:rsidRPr="006A3CE2">
        <w:rPr>
          <w:lang w:val="es-ES_tradnl"/>
        </w:rPr>
        <w:tab/>
      </w:r>
      <w:r w:rsidR="006A3CE2" w:rsidRPr="006A3CE2">
        <w:rPr>
          <w:lang w:val="es-ES_tradnl"/>
        </w:rPr>
        <w:t>Inscripción de asignaciones de frecuencias a redes y sistemas de satélites conforme al número 4.4</w:t>
      </w:r>
    </w:p>
    <w:p w14:paraId="4527BCF7" w14:textId="77777777" w:rsidR="006A3CE2" w:rsidRDefault="006A3CE2" w:rsidP="006A3CE2">
      <w:pPr>
        <w:spacing w:before="120"/>
        <w:rPr>
          <w:lang w:val="es-ES_tradnl"/>
        </w:rPr>
      </w:pPr>
      <w:r>
        <w:rPr>
          <w:b/>
          <w:bCs/>
          <w:lang w:val="es-ES_tradnl"/>
        </w:rPr>
        <w:t>Nota</w:t>
      </w:r>
      <w:r w:rsidRPr="006A3CE2">
        <w:rPr>
          <w:lang w:val="es-ES_tradnl"/>
        </w:rPr>
        <w:t xml:space="preserve">: </w:t>
      </w:r>
      <w:r>
        <w:rPr>
          <w:lang w:val="es-ES_tradnl"/>
        </w:rPr>
        <w:t>La CMR-23 adoptó la siguiente decisión relativa a la inscripción de asignaciones de frecuencias a redes y sistemas de satélites conforme al número </w:t>
      </w:r>
      <w:r>
        <w:rPr>
          <w:b/>
          <w:bCs/>
          <w:lang w:val="es-ES_tradnl"/>
        </w:rPr>
        <w:t>4.4</w:t>
      </w:r>
      <w:r>
        <w:rPr>
          <w:lang w:val="es-ES_tradnl"/>
        </w:rPr>
        <w:t>, véase el punto 13.20 de las Actas de la 13.ª Sesión Plenaria, Doc. </w:t>
      </w:r>
      <w:hyperlink r:id="rId6" w:history="1">
        <w:r w:rsidRPr="00791D5E">
          <w:rPr>
            <w:rStyle w:val="Hyperlink"/>
            <w:lang w:val="es-ES_tradnl"/>
          </w:rPr>
          <w:t>CMR23/528</w:t>
        </w:r>
      </w:hyperlink>
      <w:r>
        <w:rPr>
          <w:lang w:val="es-ES_tradnl"/>
        </w:rPr>
        <w:t>:</w:t>
      </w:r>
    </w:p>
    <w:p w14:paraId="20892587" w14:textId="77777777" w:rsidR="006A3CE2" w:rsidRPr="00791D5E" w:rsidRDefault="006A3CE2" w:rsidP="006A3CE2">
      <w:pPr>
        <w:spacing w:before="60"/>
        <w:rPr>
          <w:i/>
          <w:iCs/>
          <w:lang w:val="es-ES"/>
        </w:rPr>
      </w:pPr>
      <w:r w:rsidRPr="00791D5E">
        <w:rPr>
          <w:i/>
          <w:iCs/>
          <w:lang w:val="es-ES_tradnl"/>
        </w:rPr>
        <w:t>«</w:t>
      </w:r>
      <w:r w:rsidRPr="00791D5E">
        <w:rPr>
          <w:i/>
          <w:iCs/>
          <w:lang w:val="es-ES"/>
        </w:rPr>
        <w:t>La CMR-23 examinó el uso del número </w:t>
      </w:r>
      <w:r w:rsidRPr="00791D5E">
        <w:rPr>
          <w:b/>
          <w:bCs/>
          <w:i/>
          <w:iCs/>
          <w:lang w:val="es-ES"/>
        </w:rPr>
        <w:t>4.4</w:t>
      </w:r>
      <w:r w:rsidRPr="00791D5E">
        <w:rPr>
          <w:i/>
          <w:iCs/>
          <w:lang w:val="es-ES"/>
        </w:rPr>
        <w:t xml:space="preserve"> del</w:t>
      </w:r>
      <w:r>
        <w:rPr>
          <w:lang w:val="es-ES_tradnl"/>
        </w:rPr>
        <w:t> </w:t>
      </w:r>
      <w:r w:rsidRPr="00791D5E">
        <w:rPr>
          <w:i/>
          <w:iCs/>
          <w:lang w:val="es-ES"/>
        </w:rPr>
        <w:t>RR planteado en la sección 4.14 del Informe, "Inscripción de asignaciones de frecuencias a las redes y sistemas de satélites en virtud del número </w:t>
      </w:r>
      <w:r w:rsidRPr="00791D5E">
        <w:rPr>
          <w:b/>
          <w:bCs/>
          <w:i/>
          <w:iCs/>
          <w:lang w:val="es-ES"/>
        </w:rPr>
        <w:t>4.4</w:t>
      </w:r>
      <w:r w:rsidRPr="00791D5E">
        <w:rPr>
          <w:i/>
          <w:iCs/>
          <w:lang w:val="es-ES"/>
        </w:rPr>
        <w:t>", y confirmó que "las asignaciones de frecuencias inscritas en virtud del número </w:t>
      </w:r>
      <w:r w:rsidRPr="00791D5E">
        <w:rPr>
          <w:b/>
          <w:bCs/>
          <w:i/>
          <w:iCs/>
          <w:lang w:val="es-ES"/>
        </w:rPr>
        <w:t>4.4</w:t>
      </w:r>
      <w:r w:rsidRPr="00791D5E">
        <w:rPr>
          <w:i/>
          <w:iCs/>
          <w:lang w:val="es-ES"/>
        </w:rPr>
        <w:t xml:space="preserve"> del RR no tienen derecho a protección contra la interferencia perjudicial causada por otras asignaciones de frecuencias inscritas en virtud del número </w:t>
      </w:r>
      <w:r w:rsidRPr="00791D5E">
        <w:rPr>
          <w:b/>
          <w:bCs/>
          <w:i/>
          <w:iCs/>
          <w:lang w:val="es-ES"/>
        </w:rPr>
        <w:t>4.4</w:t>
      </w:r>
      <w:r w:rsidRPr="00791D5E">
        <w:rPr>
          <w:i/>
          <w:iCs/>
          <w:lang w:val="es-ES"/>
        </w:rPr>
        <w:t xml:space="preserve"> del RR".</w:t>
      </w:r>
    </w:p>
    <w:p w14:paraId="48715EB2" w14:textId="77777777" w:rsidR="006A3CE2" w:rsidRPr="00791D5E" w:rsidRDefault="006A3CE2" w:rsidP="006A3CE2">
      <w:pPr>
        <w:spacing w:before="60"/>
        <w:rPr>
          <w:i/>
          <w:iCs/>
          <w:lang w:val="es-ES"/>
        </w:rPr>
      </w:pPr>
      <w:r w:rsidRPr="00791D5E">
        <w:rPr>
          <w:i/>
          <w:iCs/>
          <w:lang w:val="es-ES"/>
        </w:rPr>
        <w:t>Los derechos y obligaciones internacionales de las administraciones en lo que concierne a sus propias asignaciones de frecuencias o a las de otras administraciones se definen en el Artículo</w:t>
      </w:r>
      <w:r w:rsidRPr="00791D5E">
        <w:rPr>
          <w:b/>
          <w:bCs/>
          <w:i/>
          <w:iCs/>
          <w:lang w:val="es-ES"/>
        </w:rPr>
        <w:t> 8</w:t>
      </w:r>
      <w:r w:rsidRPr="00791D5E">
        <w:rPr>
          <w:i/>
          <w:iCs/>
          <w:lang w:val="es-ES"/>
        </w:rPr>
        <w:t xml:space="preserve"> y en otras disposiciones del RR. Véase también el Artículo </w:t>
      </w:r>
      <w:r w:rsidRPr="00791D5E">
        <w:rPr>
          <w:b/>
          <w:bCs/>
          <w:i/>
          <w:iCs/>
          <w:lang w:val="es-ES"/>
        </w:rPr>
        <w:t xml:space="preserve">8 </w:t>
      </w:r>
      <w:r w:rsidRPr="00791D5E">
        <w:rPr>
          <w:i/>
          <w:iCs/>
          <w:lang w:val="es-ES"/>
        </w:rPr>
        <w:t>del</w:t>
      </w:r>
      <w:r>
        <w:rPr>
          <w:lang w:val="es-ES_tradnl"/>
        </w:rPr>
        <w:t> </w:t>
      </w:r>
      <w:r w:rsidRPr="00791D5E">
        <w:rPr>
          <w:i/>
          <w:iCs/>
          <w:lang w:val="es-ES"/>
        </w:rPr>
        <w:t>RR.</w:t>
      </w:r>
    </w:p>
    <w:p w14:paraId="404AA469" w14:textId="77777777" w:rsidR="006A3CE2" w:rsidRPr="00791D5E" w:rsidRDefault="006A3CE2" w:rsidP="006A3CE2">
      <w:pPr>
        <w:spacing w:before="60"/>
        <w:rPr>
          <w:i/>
          <w:iCs/>
          <w:lang w:val="es-ES"/>
        </w:rPr>
      </w:pPr>
      <w:r w:rsidRPr="00791D5E">
        <w:rPr>
          <w:i/>
          <w:iCs/>
          <w:lang w:val="es-ES"/>
        </w:rPr>
        <w:t>En aras de una mayor transparencia, la CMR-23 encarga a la Oficina que añada la indicación de la notificación de asignación de frecuencias en virtud del número </w:t>
      </w:r>
      <w:r w:rsidRPr="00791D5E">
        <w:rPr>
          <w:b/>
          <w:bCs/>
          <w:i/>
          <w:iCs/>
          <w:lang w:val="es-ES"/>
        </w:rPr>
        <w:t>4.4</w:t>
      </w:r>
      <w:r w:rsidRPr="00791D5E">
        <w:rPr>
          <w:i/>
          <w:iCs/>
          <w:lang w:val="es-ES"/>
        </w:rPr>
        <w:t xml:space="preserve"> del</w:t>
      </w:r>
      <w:r>
        <w:rPr>
          <w:lang w:val="es-ES_tradnl"/>
        </w:rPr>
        <w:t> </w:t>
      </w:r>
      <w:r w:rsidRPr="00791D5E">
        <w:rPr>
          <w:i/>
          <w:iCs/>
          <w:lang w:val="es-ES"/>
        </w:rPr>
        <w:t>RR en el cuadro resumen de la Sección/Parte Especial. Además, para facilitar el intercambio de información, la CMR-23 encarga a la Oficina de Radiocomunicaciones (BR) que ponga a disposición en un formato fácilmente accesible toda la información de que disponga relativa a la notificación y puesta en servicio de asignaciones de frecuencias en virtud del número </w:t>
      </w:r>
      <w:r w:rsidRPr="00791D5E">
        <w:rPr>
          <w:b/>
          <w:bCs/>
          <w:i/>
          <w:iCs/>
          <w:lang w:val="es-ES"/>
        </w:rPr>
        <w:t>4.4</w:t>
      </w:r>
      <w:r w:rsidRPr="00791D5E">
        <w:rPr>
          <w:i/>
          <w:iCs/>
          <w:lang w:val="es-ES"/>
        </w:rPr>
        <w:t xml:space="preserve"> del RR, mediante, por ejemplo, su publicación en el sitio web de la BR o la introducción de una nueva opción de filtro en la herramienta de análisis de datos Space Explorer de la</w:t>
      </w:r>
      <w:r>
        <w:rPr>
          <w:lang w:val="es-ES_tradnl"/>
        </w:rPr>
        <w:t> </w:t>
      </w:r>
      <w:r w:rsidRPr="00791D5E">
        <w:rPr>
          <w:i/>
          <w:iCs/>
          <w:lang w:val="es-ES"/>
        </w:rPr>
        <w:t>UIT. Esta información podría incluir la lista de notificaciones que utilizan el número </w:t>
      </w:r>
      <w:r w:rsidRPr="00791D5E">
        <w:rPr>
          <w:b/>
          <w:bCs/>
          <w:i/>
          <w:iCs/>
          <w:lang w:val="es-ES"/>
        </w:rPr>
        <w:t>4.4</w:t>
      </w:r>
      <w:r w:rsidRPr="002E5BD9">
        <w:rPr>
          <w:i/>
          <w:iCs/>
          <w:lang w:val="es-ES"/>
        </w:rPr>
        <w:t xml:space="preserve"> </w:t>
      </w:r>
      <w:r w:rsidRPr="00791D5E">
        <w:rPr>
          <w:i/>
          <w:iCs/>
          <w:lang w:val="es-ES"/>
        </w:rPr>
        <w:t>del</w:t>
      </w:r>
      <w:r>
        <w:rPr>
          <w:lang w:val="es-ES_tradnl"/>
        </w:rPr>
        <w:t> </w:t>
      </w:r>
      <w:r w:rsidRPr="00791D5E">
        <w:rPr>
          <w:i/>
          <w:iCs/>
          <w:lang w:val="es-ES"/>
        </w:rPr>
        <w:t>RR y datos históricos, como la fecha de recepción de las asignaciones. Además, también se encarga a la BR que informe periódicamente a las administraciones sobre la información actualizada relativa a la notificación y puesta en servicio de asignaciones de frecuencias en virtud del número </w:t>
      </w:r>
      <w:r w:rsidRPr="00791D5E">
        <w:rPr>
          <w:b/>
          <w:bCs/>
          <w:i/>
          <w:iCs/>
          <w:lang w:val="es-ES"/>
        </w:rPr>
        <w:t>4.4</w:t>
      </w:r>
      <w:r w:rsidRPr="00791D5E">
        <w:rPr>
          <w:i/>
          <w:iCs/>
          <w:lang w:val="es-ES"/>
        </w:rPr>
        <w:t xml:space="preserve"> del</w:t>
      </w:r>
      <w:r>
        <w:rPr>
          <w:lang w:val="es-ES_tradnl"/>
        </w:rPr>
        <w:t> </w:t>
      </w:r>
      <w:r w:rsidRPr="00791D5E">
        <w:rPr>
          <w:i/>
          <w:iCs/>
          <w:lang w:val="es-ES"/>
        </w:rPr>
        <w:t>RR que la</w:t>
      </w:r>
      <w:r>
        <w:rPr>
          <w:lang w:val="es-ES_tradnl"/>
        </w:rPr>
        <w:t> </w:t>
      </w:r>
      <w:r w:rsidRPr="00791D5E">
        <w:rPr>
          <w:i/>
          <w:iCs/>
          <w:lang w:val="es-ES"/>
        </w:rPr>
        <w:t>BR pone a su disposición en su sitio web y que invite a las administraciones notificantes a adoptar medidas para cancelar las asignaciones en virtud del número </w:t>
      </w:r>
      <w:r w:rsidRPr="00791D5E">
        <w:rPr>
          <w:b/>
          <w:bCs/>
          <w:i/>
          <w:iCs/>
          <w:lang w:val="es-ES"/>
        </w:rPr>
        <w:t>4.4</w:t>
      </w:r>
      <w:r w:rsidRPr="00791D5E">
        <w:rPr>
          <w:i/>
          <w:iCs/>
          <w:lang w:val="es-ES"/>
        </w:rPr>
        <w:t xml:space="preserve"> del</w:t>
      </w:r>
      <w:r>
        <w:rPr>
          <w:lang w:val="es-ES_tradnl"/>
        </w:rPr>
        <w:t> </w:t>
      </w:r>
      <w:r w:rsidRPr="00791D5E">
        <w:rPr>
          <w:i/>
          <w:iCs/>
          <w:lang w:val="es-ES"/>
        </w:rPr>
        <w:t>RR si ya no se utilizan.</w:t>
      </w:r>
    </w:p>
    <w:p w14:paraId="0A923082" w14:textId="77777777" w:rsidR="006A3CE2" w:rsidRPr="00791D5E" w:rsidRDefault="006A3CE2" w:rsidP="006A3CE2">
      <w:pPr>
        <w:spacing w:before="60"/>
        <w:rPr>
          <w:i/>
          <w:iCs/>
          <w:lang w:val="es-ES"/>
        </w:rPr>
      </w:pPr>
      <w:r w:rsidRPr="00791D5E">
        <w:rPr>
          <w:i/>
          <w:iCs/>
          <w:lang w:val="es-ES"/>
        </w:rPr>
        <w:t>La CMR-23 insta a las administraciones a cumplir plenamente los objetivos y el propósito de esta disposición, incluida la RdP relativa al número </w:t>
      </w:r>
      <w:r w:rsidRPr="00791D5E">
        <w:rPr>
          <w:b/>
          <w:bCs/>
          <w:i/>
          <w:iCs/>
          <w:lang w:val="es-ES"/>
        </w:rPr>
        <w:t>4.4</w:t>
      </w:r>
      <w:r w:rsidRPr="00791D5E">
        <w:rPr>
          <w:i/>
          <w:iCs/>
          <w:lang w:val="es-ES"/>
        </w:rPr>
        <w:t xml:space="preserve"> del</w:t>
      </w:r>
      <w:r>
        <w:rPr>
          <w:lang w:val="es-ES_tradnl"/>
        </w:rPr>
        <w:t> </w:t>
      </w:r>
      <w:r w:rsidRPr="00791D5E">
        <w:rPr>
          <w:i/>
          <w:iCs/>
          <w:lang w:val="es-ES"/>
        </w:rPr>
        <w:t>RR, al utilizar las asignaciones de frecuencias en virtud del número </w:t>
      </w:r>
      <w:r w:rsidRPr="00791D5E">
        <w:rPr>
          <w:b/>
          <w:bCs/>
          <w:i/>
          <w:iCs/>
          <w:lang w:val="es-ES"/>
        </w:rPr>
        <w:t>4.4</w:t>
      </w:r>
      <w:r w:rsidRPr="00791D5E">
        <w:rPr>
          <w:i/>
          <w:iCs/>
          <w:lang w:val="es-ES"/>
        </w:rPr>
        <w:t xml:space="preserve"> del</w:t>
      </w:r>
      <w:r>
        <w:rPr>
          <w:lang w:val="es-ES_tradnl"/>
        </w:rPr>
        <w:t> </w:t>
      </w:r>
      <w:r w:rsidRPr="00791D5E">
        <w:rPr>
          <w:i/>
          <w:iCs/>
          <w:lang w:val="es-ES"/>
        </w:rPr>
        <w:t>RR».</w:t>
      </w:r>
    </w:p>
    <w:p w14:paraId="04E96EBA" w14:textId="77777777" w:rsidR="00647E55" w:rsidRPr="006456E2" w:rsidRDefault="00647E55">
      <w:pPr>
        <w:pStyle w:val="Heading8"/>
        <w:rPr>
          <w:lang w:val="es-ES_tradnl"/>
        </w:rPr>
      </w:pPr>
      <w:r w:rsidRPr="006456E2">
        <w:rPr>
          <w:lang w:val="es-ES_tradnl"/>
        </w:rPr>
        <w:lastRenderedPageBreak/>
        <w:t>4.5</w:t>
      </w:r>
    </w:p>
    <w:p w14:paraId="0A49848E" w14:textId="77777777" w:rsidR="00405C11" w:rsidRPr="006456E2" w:rsidRDefault="00405C11" w:rsidP="00405C11">
      <w:pPr>
        <w:rPr>
          <w:lang w:val="es-ES_tradnl"/>
        </w:rPr>
      </w:pPr>
      <w:r w:rsidRPr="006456E2">
        <w:rPr>
          <w:lang w:val="es-ES_tradnl"/>
        </w:rPr>
        <w:t>1</w:t>
      </w:r>
      <w:r w:rsidRPr="006456E2">
        <w:rPr>
          <w:lang w:val="es-ES_tradnl"/>
        </w:rPr>
        <w:tab/>
        <w:t>Esta disposición se aplica al caso de una banda adyacente no atribuida a un servicio dado y también atribuida a dicho servicio con una categoría diferente.</w:t>
      </w:r>
    </w:p>
    <w:p w14:paraId="416EEACA" w14:textId="77777777" w:rsidR="00405C11" w:rsidRPr="006456E2" w:rsidRDefault="00405C11" w:rsidP="00405C11">
      <w:pPr>
        <w:rPr>
          <w:lang w:val="es-ES_tradnl"/>
        </w:rPr>
      </w:pPr>
      <w:r w:rsidRPr="006456E2">
        <w:rPr>
          <w:lang w:val="es-ES_tradnl"/>
        </w:rPr>
        <w:t>1.1</w:t>
      </w:r>
      <w:r w:rsidRPr="006456E2">
        <w:rPr>
          <w:lang w:val="es-ES_tradnl"/>
        </w:rPr>
        <w:tab/>
        <w:t>Una asignación de frecuencia cuya banda de frecuencias asignada se superponga a una banda no atribuida al servicio en cuestión será motivo de conclusión desfavorable según el número </w:t>
      </w:r>
      <w:r w:rsidRPr="006456E2">
        <w:rPr>
          <w:rStyle w:val="Artref"/>
          <w:b/>
          <w:color w:val="000000"/>
          <w:lang w:val="es-ES_tradnl"/>
        </w:rPr>
        <w:t>11.31</w:t>
      </w:r>
      <w:r w:rsidRPr="006456E2">
        <w:rPr>
          <w:lang w:val="es-ES_tradnl"/>
        </w:rPr>
        <w:t>.</w:t>
      </w:r>
    </w:p>
    <w:p w14:paraId="573231DB" w14:textId="77777777" w:rsidR="00405C11" w:rsidRPr="006456E2" w:rsidRDefault="00405C11" w:rsidP="00405C11">
      <w:pPr>
        <w:rPr>
          <w:lang w:val="es-ES_tradnl"/>
        </w:rPr>
      </w:pPr>
      <w:r w:rsidRPr="006456E2">
        <w:rPr>
          <w:lang w:val="es-ES_tradnl"/>
        </w:rPr>
        <w:t>1.2</w:t>
      </w:r>
      <w:r w:rsidRPr="006456E2">
        <w:rPr>
          <w:lang w:val="es-ES_tradnl"/>
        </w:rPr>
        <w:tab/>
        <w:t>Se considerará que una asignación de frecuencia cuya banda de frecuencias asignada se superponga a una banda atribuida con categoría inferior de servicio tiene la categoría de servicio inferior y, al inscribirla, llevará el símbolo correspondiente (véanse los símbolos R y S en el Cuadro 13B, columna 13B2, del Prefacio a la LIF).</w:t>
      </w:r>
    </w:p>
    <w:p w14:paraId="3BAF7CAB" w14:textId="77777777" w:rsidR="00405C11" w:rsidRPr="006456E2" w:rsidRDefault="00405C11" w:rsidP="00405C11">
      <w:pPr>
        <w:rPr>
          <w:lang w:val="es-ES_tradnl"/>
        </w:rPr>
      </w:pPr>
      <w:r w:rsidRPr="006456E2">
        <w:rPr>
          <w:lang w:val="es-ES_tradnl"/>
        </w:rPr>
        <w:t>2</w:t>
      </w:r>
      <w:r w:rsidRPr="006456E2">
        <w:rPr>
          <w:lang w:val="es-ES_tradnl"/>
        </w:rPr>
        <w:tab/>
        <w:t>Para resolver casos de interferencia perjudicial entre servicios en bandas adyacentes, independientemente de los fenómenos causantes de la interferencia (emisiones fuera de banda, productos de intermodulación, etc.), la administración responsable de la emisión que se superpone a una banda no atribuida tomará las medidas oportunas para eliminar la interferencia.</w:t>
      </w:r>
    </w:p>
    <w:p w14:paraId="564E8B5B" w14:textId="77777777" w:rsidR="00A7700C" w:rsidRPr="006456E2" w:rsidRDefault="00A7700C" w:rsidP="00405C11">
      <w:pPr>
        <w:rPr>
          <w:lang w:val="es-ES_tradnl"/>
        </w:rPr>
      </w:pPr>
    </w:p>
    <w:p w14:paraId="1E44F6BB" w14:textId="77777777" w:rsidR="00405C11" w:rsidRPr="006456E2" w:rsidRDefault="00405C11" w:rsidP="00A7700C">
      <w:pPr>
        <w:jc w:val="center"/>
        <w:rPr>
          <w:lang w:val="es-ES_tradnl"/>
        </w:rPr>
      </w:pPr>
      <w:r w:rsidRPr="006456E2">
        <w:rPr>
          <w:lang w:val="es-ES_tradnl"/>
        </w:rPr>
        <w:t>__________________</w:t>
      </w:r>
      <w:r w:rsidR="00A7700C" w:rsidRPr="006456E2">
        <w:rPr>
          <w:lang w:val="es-ES_tradnl"/>
        </w:rPr>
        <w:t>__</w:t>
      </w:r>
    </w:p>
    <w:p w14:paraId="56BA2126" w14:textId="77777777" w:rsidR="0081328A" w:rsidRDefault="0081328A" w:rsidP="00A7700C">
      <w:pPr>
        <w:rPr>
          <w:lang w:val="es-ES_tradnl"/>
        </w:rPr>
      </w:pPr>
    </w:p>
    <w:p w14:paraId="11334EE5" w14:textId="77777777" w:rsidR="009A7E06" w:rsidRDefault="009A7E06" w:rsidP="00A7700C">
      <w:pPr>
        <w:rPr>
          <w:lang w:val="es-ES_tradnl"/>
        </w:rPr>
      </w:pPr>
    </w:p>
    <w:p w14:paraId="54DB8FC2" w14:textId="77777777" w:rsidR="009A7E06" w:rsidRDefault="009A7E06" w:rsidP="00A7700C">
      <w:pPr>
        <w:rPr>
          <w:lang w:val="es-ES_tradnl"/>
        </w:rPr>
      </w:pPr>
    </w:p>
    <w:p w14:paraId="3983D009" w14:textId="77777777" w:rsidR="009A7E06" w:rsidRDefault="009A7E06" w:rsidP="00A7700C">
      <w:pPr>
        <w:rPr>
          <w:lang w:val="es-ES_tradnl"/>
        </w:rPr>
      </w:pPr>
    </w:p>
    <w:p w14:paraId="2DFDE7E7" w14:textId="77777777" w:rsidR="009A7E06" w:rsidRDefault="009A7E06" w:rsidP="00A7700C">
      <w:pPr>
        <w:rPr>
          <w:lang w:val="es-ES_tradnl"/>
        </w:rPr>
      </w:pPr>
    </w:p>
    <w:p w14:paraId="004B0F8D" w14:textId="77777777" w:rsidR="009A7E06" w:rsidRDefault="009A7E06" w:rsidP="00A7700C">
      <w:pPr>
        <w:rPr>
          <w:lang w:val="es-ES_tradnl"/>
        </w:rPr>
      </w:pPr>
    </w:p>
    <w:p w14:paraId="6C65E2E3" w14:textId="77777777" w:rsidR="009A7E06" w:rsidRDefault="009A7E06" w:rsidP="00A7700C">
      <w:pPr>
        <w:rPr>
          <w:lang w:val="es-ES_tradnl"/>
        </w:rPr>
      </w:pPr>
    </w:p>
    <w:p w14:paraId="572C4B67" w14:textId="77777777" w:rsidR="009A7E06" w:rsidRDefault="009A7E06" w:rsidP="00A7700C">
      <w:pPr>
        <w:rPr>
          <w:lang w:val="es-ES_tradnl"/>
        </w:rPr>
      </w:pPr>
    </w:p>
    <w:p w14:paraId="70193F65" w14:textId="77777777" w:rsidR="009A7E06" w:rsidRDefault="009A7E06" w:rsidP="00A7700C">
      <w:pPr>
        <w:rPr>
          <w:lang w:val="es-ES_tradnl"/>
        </w:rPr>
      </w:pPr>
    </w:p>
    <w:p w14:paraId="1FC988DD" w14:textId="77777777" w:rsidR="009A7E06" w:rsidRDefault="009A7E06" w:rsidP="00A7700C">
      <w:pPr>
        <w:rPr>
          <w:lang w:val="es-ES_tradnl"/>
        </w:rPr>
      </w:pPr>
    </w:p>
    <w:p w14:paraId="7AAADF6A" w14:textId="77777777" w:rsidR="009A7E06" w:rsidRDefault="009A7E06" w:rsidP="00A7700C">
      <w:pPr>
        <w:rPr>
          <w:lang w:val="es-ES_tradnl"/>
        </w:rPr>
      </w:pPr>
    </w:p>
    <w:p w14:paraId="6B0FF763" w14:textId="77777777" w:rsidR="009A7E06" w:rsidRPr="006456E2" w:rsidRDefault="009A7E06" w:rsidP="00A7700C">
      <w:pPr>
        <w:rPr>
          <w:lang w:val="es-ES_tradnl"/>
        </w:rPr>
      </w:pPr>
    </w:p>
    <w:p w14:paraId="3D969801" w14:textId="77777777" w:rsidR="00647E55" w:rsidRPr="006456E2" w:rsidRDefault="00647E55" w:rsidP="00A7700C">
      <w:pPr>
        <w:rPr>
          <w:lang w:val="es-ES_tradnl"/>
        </w:rPr>
        <w:sectPr w:rsidR="00647E55" w:rsidRPr="006456E2" w:rsidSect="00A7700C">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5552391A" w14:textId="77777777" w:rsidR="00647E55" w:rsidRPr="006456E2" w:rsidRDefault="00647E55" w:rsidP="00A7700C">
      <w:pPr>
        <w:rPr>
          <w:lang w:val="es-ES_tradnl"/>
        </w:rPr>
      </w:pPr>
    </w:p>
    <w:sectPr w:rsidR="00647E55" w:rsidRPr="006456E2" w:rsidSect="00A7700C">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35007" w14:textId="77777777" w:rsidR="00652373" w:rsidRDefault="00652373">
      <w:r>
        <w:separator/>
      </w:r>
    </w:p>
  </w:endnote>
  <w:endnote w:type="continuationSeparator" w:id="0">
    <w:p w14:paraId="2BC2F0C0" w14:textId="77777777" w:rsidR="00652373" w:rsidRDefault="00652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57303" w14:textId="77777777" w:rsidR="00652373" w:rsidRDefault="00652373">
      <w:r>
        <w:rPr>
          <w:b/>
        </w:rPr>
        <w:t>_______________</w:t>
      </w:r>
    </w:p>
  </w:footnote>
  <w:footnote w:type="continuationSeparator" w:id="0">
    <w:p w14:paraId="2720B70D" w14:textId="77777777" w:rsidR="00652373" w:rsidRDefault="00652373">
      <w:r>
        <w:continuationSeparator/>
      </w:r>
    </w:p>
  </w:footnote>
  <w:footnote w:id="1">
    <w:p w14:paraId="4C857E2B" w14:textId="77777777" w:rsidR="00C41CA4" w:rsidRPr="00666D7C" w:rsidRDefault="00C41CA4" w:rsidP="00C41CA4">
      <w:pPr>
        <w:pStyle w:val="FootnoteText"/>
        <w:rPr>
          <w:rFonts w:asciiTheme="majorBidi" w:hAnsiTheme="majorBidi" w:cstheme="majorBidi"/>
          <w:highlight w:val="yellow"/>
          <w:lang w:val="es-ES_tradnl" w:eastAsia="zh-CN"/>
        </w:rPr>
      </w:pPr>
      <w:r w:rsidRPr="00AF4D9E">
        <w:rPr>
          <w:rStyle w:val="FootnoteReference"/>
          <w:rFonts w:asciiTheme="minorHAnsi" w:hAnsiTheme="minorHAnsi" w:cstheme="minorHAnsi"/>
        </w:rPr>
        <w:footnoteRef/>
      </w:r>
      <w:r w:rsidRPr="00C41CA4">
        <w:rPr>
          <w:rFonts w:asciiTheme="minorHAnsi" w:hAnsiTheme="minorHAnsi" w:cstheme="minorHAnsi"/>
          <w:lang w:val="es-ES_tradnl"/>
        </w:rPr>
        <w:tab/>
      </w:r>
      <w:r w:rsidRPr="00666D7C">
        <w:rPr>
          <w:rFonts w:asciiTheme="majorBidi" w:hAnsiTheme="majorBidi" w:cstheme="majorBidi"/>
          <w:lang w:val="es-ES_tradnl"/>
        </w:rPr>
        <w:t xml:space="preserve">Se reconoce que el intercambio de información sobre la utilización de asignaciones de frecuencias, incluido con arreglo al número </w:t>
      </w:r>
      <w:r w:rsidRPr="00666D7C">
        <w:rPr>
          <w:rFonts w:asciiTheme="majorBidi" w:hAnsiTheme="majorBidi" w:cstheme="majorBidi"/>
          <w:b/>
          <w:bCs/>
          <w:lang w:val="es-ES_tradnl"/>
        </w:rPr>
        <w:t>4.4</w:t>
      </w:r>
      <w:r w:rsidRPr="00666D7C">
        <w:rPr>
          <w:rFonts w:asciiTheme="majorBidi" w:hAnsiTheme="majorBidi" w:cstheme="majorBidi"/>
          <w:lang w:val="es-ES_tradnl"/>
        </w:rPr>
        <w:t xml:space="preserve"> por las estaciones de los servicios terrenales en algunas bandas (es decir en bandas no compartidas con servicios espaciales), también puede realizarse mediante acuerdos o mecanismos bilaterales o multilaterales.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42B0F" w:rsidRPr="00390252" w14:paraId="0CED1E57"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C2C3BC5" w14:textId="77777777" w:rsidR="00B42B0F" w:rsidRDefault="00B42B0F" w:rsidP="00390252">
          <w:pPr>
            <w:pStyle w:val="HeaderRegProc"/>
          </w:pPr>
          <w:r>
            <w:t>Parte A</w:t>
          </w:r>
          <w:r w:rsidR="00390252">
            <w:t>1</w:t>
          </w:r>
        </w:p>
      </w:tc>
      <w:tc>
        <w:tcPr>
          <w:tcW w:w="1701" w:type="dxa"/>
          <w:tcBorders>
            <w:top w:val="single" w:sz="6" w:space="0" w:color="auto"/>
            <w:left w:val="single" w:sz="6" w:space="0" w:color="auto"/>
            <w:bottom w:val="single" w:sz="6" w:space="0" w:color="auto"/>
            <w:right w:val="single" w:sz="6" w:space="0" w:color="auto"/>
          </w:tcBorders>
        </w:tcPr>
        <w:p w14:paraId="47FDE063" w14:textId="3DFE46E8" w:rsidR="00B42B0F" w:rsidRDefault="009B03A3">
          <w:pPr>
            <w:pStyle w:val="HeaderRegProc"/>
            <w:rPr>
              <w:lang w:val="fr-FR"/>
            </w:rPr>
          </w:pPr>
          <w:fldSimple w:instr=" DOCPROPERTY &quot;Header&quot; \* MERGEFORMAT ">
            <w:r w:rsidR="00704929">
              <w:t>AR</w:t>
            </w:r>
          </w:fldSimple>
          <w:r w:rsidR="00B42B0F">
            <w:fldChar w:fldCharType="begin"/>
          </w:r>
          <w:r w:rsidR="00B42B0F">
            <w:instrText>styleref href2</w:instrText>
          </w:r>
          <w:r w:rsidR="00B42B0F">
            <w:fldChar w:fldCharType="separate"/>
          </w:r>
          <w:r w:rsidR="00704929">
            <w:rPr>
              <w:noProof/>
            </w:rPr>
            <w:t>4</w:t>
          </w:r>
          <w:r w:rsidR="00B42B0F">
            <w:fldChar w:fldCharType="end"/>
          </w:r>
        </w:p>
      </w:tc>
      <w:tc>
        <w:tcPr>
          <w:tcW w:w="1701" w:type="dxa"/>
          <w:tcBorders>
            <w:top w:val="single" w:sz="6" w:space="0" w:color="auto"/>
            <w:left w:val="single" w:sz="6" w:space="0" w:color="auto"/>
            <w:bottom w:val="single" w:sz="6" w:space="0" w:color="auto"/>
            <w:right w:val="single" w:sz="6" w:space="0" w:color="auto"/>
          </w:tcBorders>
        </w:tcPr>
        <w:p w14:paraId="71961E7D" w14:textId="77777777" w:rsidR="00B42B0F" w:rsidRDefault="00B42B0F">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F34426">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71C8A29" w14:textId="15AE6C26" w:rsidR="00B42B0F" w:rsidRPr="00390252" w:rsidRDefault="00B42B0F" w:rsidP="00390252">
          <w:pPr>
            <w:pStyle w:val="HeaderRegProc"/>
            <w:rPr>
              <w:lang w:val="es-ES_tradnl"/>
            </w:rPr>
          </w:pPr>
          <w:r w:rsidRPr="00390252">
            <w:rPr>
              <w:lang w:val="es-ES_tradnl"/>
            </w:rPr>
            <w:t>rev.</w:t>
          </w:r>
          <w:r w:rsidR="00390252" w:rsidRPr="00390252">
            <w:rPr>
              <w:lang w:val="es-ES_tradnl"/>
            </w:rPr>
            <w:t xml:space="preserve"> </w:t>
          </w:r>
          <w:r w:rsidR="009A3050">
            <w:rPr>
              <w:lang w:val="es-ES_tradnl"/>
            </w:rPr>
            <w:t>-</w:t>
          </w:r>
        </w:p>
      </w:tc>
    </w:tr>
  </w:tbl>
  <w:p w14:paraId="7FB1A21B" w14:textId="77777777" w:rsidR="00B42B0F" w:rsidRPr="00390252" w:rsidRDefault="00B42B0F">
    <w:pPr>
      <w:rPr>
        <w:lang w:val="es-ES_tradn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42B0F" w14:paraId="35291AA9"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9CBB8DC" w14:textId="77777777" w:rsidR="00B42B0F" w:rsidRDefault="00B42B0F">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577FA03E" w14:textId="2F04DD56" w:rsidR="00B42B0F" w:rsidRDefault="009B03A3">
          <w:pPr>
            <w:pStyle w:val="HeaderRegProc"/>
            <w:rPr>
              <w:lang w:val="es-ES_tradnl"/>
            </w:rPr>
          </w:pPr>
          <w:fldSimple w:instr=" DOCPROPERTY &quot;Header&quot; \* MERGEFORMAT ">
            <w:r w:rsidR="00704929">
              <w:t>AR</w:t>
            </w:r>
          </w:fldSimple>
          <w:r w:rsidR="00B42B0F">
            <w:fldChar w:fldCharType="begin"/>
          </w:r>
          <w:r w:rsidR="00B42B0F">
            <w:instrText>styleref href2</w:instrText>
          </w:r>
          <w:r w:rsidR="00B42B0F">
            <w:fldChar w:fldCharType="separate"/>
          </w:r>
          <w:r w:rsidR="00704929">
            <w:rPr>
              <w:noProof/>
            </w:rPr>
            <w:t>4</w:t>
          </w:r>
          <w:r w:rsidR="00B42B0F">
            <w:fldChar w:fldCharType="end"/>
          </w:r>
        </w:p>
      </w:tc>
      <w:tc>
        <w:tcPr>
          <w:tcW w:w="1701" w:type="dxa"/>
          <w:tcBorders>
            <w:top w:val="single" w:sz="6" w:space="0" w:color="auto"/>
            <w:left w:val="single" w:sz="6" w:space="0" w:color="auto"/>
            <w:bottom w:val="single" w:sz="6" w:space="0" w:color="auto"/>
            <w:right w:val="single" w:sz="6" w:space="0" w:color="auto"/>
          </w:tcBorders>
        </w:tcPr>
        <w:p w14:paraId="56335FEF" w14:textId="77777777" w:rsidR="00B42B0F" w:rsidRDefault="00B42B0F">
          <w:pPr>
            <w:pStyle w:val="HeaderRegProc"/>
            <w:rPr>
              <w:lang w:val="fr-CH"/>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sidR="00F34426">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BF445DE" w14:textId="108D4B40" w:rsidR="00B42B0F" w:rsidRDefault="00B42B0F" w:rsidP="00390252">
          <w:pPr>
            <w:pStyle w:val="HeaderRegProc"/>
            <w:rPr>
              <w:lang w:val="fr-CH"/>
            </w:rPr>
          </w:pPr>
          <w:proofErr w:type="gramStart"/>
          <w:r>
            <w:rPr>
              <w:lang w:val="fr-CH"/>
            </w:rPr>
            <w:t>rev</w:t>
          </w:r>
          <w:proofErr w:type="gramEnd"/>
          <w:r>
            <w:rPr>
              <w:lang w:val="fr-CH"/>
            </w:rPr>
            <w:t>.</w:t>
          </w:r>
          <w:r w:rsidR="00390252">
            <w:rPr>
              <w:lang w:val="fr-CH"/>
            </w:rPr>
            <w:t xml:space="preserve"> </w:t>
          </w:r>
          <w:r w:rsidR="009A3050">
            <w:rPr>
              <w:lang w:val="fr-CH"/>
            </w:rPr>
            <w:t>-</w:t>
          </w:r>
        </w:p>
      </w:tc>
    </w:tr>
  </w:tbl>
  <w:p w14:paraId="04F0840A" w14:textId="77777777" w:rsidR="00B42B0F" w:rsidRDefault="00B42B0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3C3E"/>
    <w:rsid w:val="0007153B"/>
    <w:rsid w:val="002D5C55"/>
    <w:rsid w:val="0031795F"/>
    <w:rsid w:val="00390252"/>
    <w:rsid w:val="00405C11"/>
    <w:rsid w:val="00433DC7"/>
    <w:rsid w:val="00583022"/>
    <w:rsid w:val="005F2B3B"/>
    <w:rsid w:val="005F53E3"/>
    <w:rsid w:val="0064260C"/>
    <w:rsid w:val="006456E2"/>
    <w:rsid w:val="00647E55"/>
    <w:rsid w:val="00652373"/>
    <w:rsid w:val="00666D7C"/>
    <w:rsid w:val="006A3CE2"/>
    <w:rsid w:val="006D7D77"/>
    <w:rsid w:val="006E74A9"/>
    <w:rsid w:val="00704929"/>
    <w:rsid w:val="00735E33"/>
    <w:rsid w:val="00740BF7"/>
    <w:rsid w:val="00786A52"/>
    <w:rsid w:val="007B3C3E"/>
    <w:rsid w:val="007B4010"/>
    <w:rsid w:val="0081328A"/>
    <w:rsid w:val="00981145"/>
    <w:rsid w:val="009A3050"/>
    <w:rsid w:val="009A7E06"/>
    <w:rsid w:val="009B03A3"/>
    <w:rsid w:val="009F622C"/>
    <w:rsid w:val="00A07A29"/>
    <w:rsid w:val="00A31B6E"/>
    <w:rsid w:val="00A7700C"/>
    <w:rsid w:val="00AF389E"/>
    <w:rsid w:val="00B129AD"/>
    <w:rsid w:val="00B42B0F"/>
    <w:rsid w:val="00BE60EE"/>
    <w:rsid w:val="00C41274"/>
    <w:rsid w:val="00C41CA4"/>
    <w:rsid w:val="00DA0F21"/>
    <w:rsid w:val="00DE4866"/>
    <w:rsid w:val="00E80B24"/>
    <w:rsid w:val="00EF20B4"/>
    <w:rsid w:val="00F3442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B946EE"/>
  <w15:docId w15:val="{26C921F5-002E-4B26-812B-FBF97DB31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Ca..."/>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enumlev1Char">
    <w:name w:val="enumlev1 Char"/>
    <w:basedOn w:val="DefaultParagraphFont"/>
    <w:link w:val="enumlev1"/>
    <w:locked/>
    <w:rsid w:val="00C41CA4"/>
    <w:rPr>
      <w:sz w:val="24"/>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C41CA4"/>
    <w:rPr>
      <w:lang w:val="en-GB" w:eastAsia="en-US"/>
    </w:rPr>
  </w:style>
  <w:style w:type="character" w:styleId="Hyperlink">
    <w:name w:val="Hyperlink"/>
    <w:basedOn w:val="DefaultParagraphFont"/>
    <w:unhideWhenUsed/>
    <w:rsid w:val="006A3CE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tu.int/md/R23-WRC23-C-0528/e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35</TotalTime>
  <Pages>5</Pages>
  <Words>1454</Words>
  <Characters>8291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Manager>
  <Company>ITU</Company>
  <LinksUpToDate>false</LinksUpToDate>
  <CharactersWithSpaces>9726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Artículo 4</dc:subject>
  <dc:creator>Composition des Publications</dc:creator>
  <cp:keywords>Folios: 1 - 2</cp:keywords>
  <dc:description>Ediition 2009:   11.02.2009/DD (dict. ok)</dc:description>
  <cp:lastModifiedBy>Saez Grau, Ricardo</cp:lastModifiedBy>
  <cp:revision>27</cp:revision>
  <cp:lastPrinted>2026-01-26T08:13:00Z</cp:lastPrinted>
  <dcterms:created xsi:type="dcterms:W3CDTF">2012-10-02T09:23:00Z</dcterms:created>
  <dcterms:modified xsi:type="dcterms:W3CDTF">2026-01-26T08:13:00Z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