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53DAE" w14:textId="6D581C26" w:rsidR="000E6ACE" w:rsidRDefault="000E6ACE" w:rsidP="00944512">
      <w:pPr>
        <w:pStyle w:val="Heading1"/>
        <w:spacing w:before="300"/>
        <w:jc w:val="center"/>
        <w:rPr>
          <w:lang w:val="es-ES_tradnl"/>
        </w:rPr>
      </w:pPr>
      <w:r>
        <w:rPr>
          <w:lang w:val="es-ES_tradnl"/>
        </w:rPr>
        <w:t>PARTE  A1</w:t>
      </w:r>
    </w:p>
    <w:p w14:paraId="1D5EF0B0" w14:textId="32905FBA" w:rsidR="00FA3D78" w:rsidRPr="00ED02E9" w:rsidRDefault="00FA3D78" w:rsidP="00944512">
      <w:pPr>
        <w:pStyle w:val="Heading1"/>
        <w:spacing w:before="300"/>
        <w:jc w:val="center"/>
        <w:rPr>
          <w:lang w:val="es-ES_tradnl"/>
        </w:rPr>
      </w:pPr>
      <w:r w:rsidRPr="00ED02E9">
        <w:rPr>
          <w:lang w:val="es-ES_tradnl"/>
        </w:rPr>
        <w:t>Reglas relativas al</w:t>
      </w:r>
    </w:p>
    <w:p w14:paraId="5E4463C8" w14:textId="77777777" w:rsidR="00FA3D78" w:rsidRPr="00ED02E9" w:rsidRDefault="00FA3D78" w:rsidP="00944512">
      <w:pPr>
        <w:pStyle w:val="Heading2"/>
        <w:jc w:val="center"/>
        <w:rPr>
          <w:lang w:val="es-ES_tradnl"/>
        </w:rPr>
      </w:pPr>
      <w:r w:rsidRPr="00ED02E9">
        <w:rPr>
          <w:caps/>
          <w:lang w:val="es-ES_tradnl"/>
        </w:rPr>
        <w:t>artículo</w:t>
      </w:r>
      <w:r w:rsidRPr="00ED02E9">
        <w:rPr>
          <w:lang w:val="es-ES_tradnl"/>
        </w:rPr>
        <w:t xml:space="preserve"> </w:t>
      </w:r>
      <w:r w:rsidR="00944512" w:rsidRPr="00ED02E9">
        <w:rPr>
          <w:lang w:val="es-ES_tradnl"/>
        </w:rPr>
        <w:t xml:space="preserve"> </w:t>
      </w:r>
      <w:r w:rsidRPr="00ED02E9">
        <w:rPr>
          <w:rStyle w:val="href"/>
          <w:lang w:val="es-ES_tradnl"/>
        </w:rPr>
        <w:t>1</w:t>
      </w:r>
      <w:r w:rsidRPr="00ED02E9">
        <w:rPr>
          <w:lang w:val="es-ES_tradnl"/>
        </w:rPr>
        <w:t xml:space="preserve"> del</w:t>
      </w:r>
      <w:r w:rsidR="00944512" w:rsidRPr="00ED02E9">
        <w:rPr>
          <w:lang w:val="es-ES_tradnl"/>
        </w:rPr>
        <w:t xml:space="preserve"> </w:t>
      </w:r>
      <w:r w:rsidRPr="00ED02E9">
        <w:rPr>
          <w:lang w:val="es-ES_tradnl"/>
        </w:rPr>
        <w:t>RR</w:t>
      </w:r>
    </w:p>
    <w:p w14:paraId="00B4EA51" w14:textId="77777777" w:rsidR="00FA3D78" w:rsidRPr="00ED02E9" w:rsidRDefault="00FA3D78">
      <w:pPr>
        <w:pStyle w:val="Heading8"/>
        <w:rPr>
          <w:lang w:val="es-ES_tradnl"/>
        </w:rPr>
      </w:pPr>
      <w:r w:rsidRPr="00ED02E9">
        <w:rPr>
          <w:rStyle w:val="href2"/>
          <w:lang w:val="es-ES_tradnl"/>
        </w:rPr>
        <w:t>1</w:t>
      </w:r>
      <w:r w:rsidRPr="00ED02E9">
        <w:rPr>
          <w:lang w:val="es-ES_tradnl"/>
        </w:rPr>
        <w:t>.23</w:t>
      </w:r>
    </w:p>
    <w:p w14:paraId="378DE62A" w14:textId="77777777" w:rsidR="00FA3D78" w:rsidRPr="00ED02E9" w:rsidRDefault="00FA3D78">
      <w:pPr>
        <w:rPr>
          <w:lang w:val="es-ES_tradnl"/>
        </w:rPr>
      </w:pPr>
      <w:r w:rsidRPr="00ED02E9">
        <w:rPr>
          <w:lang w:val="es-ES_tradnl"/>
        </w:rPr>
        <w:t>1</w:t>
      </w:r>
      <w:r w:rsidRPr="00ED02E9">
        <w:rPr>
          <w:lang w:val="es-ES_tradnl"/>
        </w:rPr>
        <w:tab/>
        <w:t xml:space="preserve">La definición del número </w:t>
      </w:r>
      <w:r w:rsidRPr="00ED02E9">
        <w:rPr>
          <w:rStyle w:val="Artref"/>
          <w:b/>
          <w:bCs/>
          <w:color w:val="000000"/>
          <w:lang w:val="es-ES_tradnl"/>
        </w:rPr>
        <w:t>1.23</w:t>
      </w:r>
      <w:r w:rsidRPr="00ED02E9">
        <w:rPr>
          <w:lang w:val="es-ES_tradnl"/>
        </w:rPr>
        <w:t xml:space="preserve"> indica que las funciones del servicio de operaciones espaciales (seguimiento espacial, telemedida espacial y telemando espacial) se efectuarán normalmente en el servicio en el que funciona la estación espacial. Se plantea pues la cuestión de si es apropiado considerar que las notificaciones de asignación de frecuencia con las clases de estaciones que realizan estas funciones son conformes al Cuadro de atribución de bandas de frecuencias cuando dicho Cuadro no contiene una atribución al servicio de operaciones espaciales.</w:t>
      </w:r>
    </w:p>
    <w:p w14:paraId="59C3B0B3" w14:textId="77777777" w:rsidR="00FA3D78" w:rsidRPr="00ED02E9" w:rsidRDefault="00FA3D78">
      <w:pPr>
        <w:rPr>
          <w:lang w:val="es-ES_tradnl"/>
        </w:rPr>
      </w:pPr>
      <w:r w:rsidRPr="00ED02E9">
        <w:rPr>
          <w:lang w:val="es-ES_tradnl"/>
        </w:rPr>
        <w:t>2</w:t>
      </w:r>
      <w:r w:rsidRPr="00ED02E9">
        <w:rPr>
          <w:lang w:val="es-ES_tradnl"/>
        </w:rPr>
        <w:tab/>
        <w:t xml:space="preserve">En los exámenes a los que se refiere el número </w:t>
      </w:r>
      <w:r w:rsidRPr="00ED02E9">
        <w:rPr>
          <w:rStyle w:val="Artref"/>
          <w:b/>
          <w:bCs/>
          <w:color w:val="000000"/>
          <w:lang w:val="es-ES_tradnl"/>
        </w:rPr>
        <w:t>11.31</w:t>
      </w:r>
      <w:r w:rsidRPr="00ED02E9">
        <w:rPr>
          <w:lang w:val="es-ES_tradnl"/>
        </w:rPr>
        <w:t>, las notificaciones referentes a funciones de operaciones espaciales serán consideradas conformes con el Cuadro de atribución de bandas de frecuencias (conclusión favorable) en el caso en que la frecuencia asignada (y la banda de frecuencias asignada) caiga dentro de una banda de frecuencia asignada al:</w:t>
      </w:r>
    </w:p>
    <w:p w14:paraId="435EA75B" w14:textId="77777777" w:rsidR="00FA3D78" w:rsidRPr="00ED02E9" w:rsidRDefault="00FA3D78">
      <w:pPr>
        <w:pStyle w:val="enumlev1"/>
        <w:rPr>
          <w:lang w:val="es-ES_tradnl"/>
        </w:rPr>
      </w:pPr>
      <w:r w:rsidRPr="00ED02E9">
        <w:rPr>
          <w:lang w:val="es-ES_tradnl"/>
        </w:rPr>
        <w:t>–</w:t>
      </w:r>
      <w:r w:rsidRPr="00ED02E9">
        <w:rPr>
          <w:lang w:val="es-ES_tradnl"/>
        </w:rPr>
        <w:tab/>
        <w:t>servicio de operaciones espaciales, o</w:t>
      </w:r>
    </w:p>
    <w:p w14:paraId="21473038" w14:textId="77777777" w:rsidR="00FA3D78" w:rsidRPr="00ED02E9" w:rsidRDefault="00FA3D78">
      <w:pPr>
        <w:pStyle w:val="enumlev1"/>
        <w:rPr>
          <w:lang w:val="es-ES_tradnl"/>
        </w:rPr>
      </w:pPr>
      <w:r w:rsidRPr="00ED02E9">
        <w:rPr>
          <w:lang w:val="es-ES_tradnl"/>
        </w:rPr>
        <w:t>–</w:t>
      </w:r>
      <w:r w:rsidRPr="00ED02E9">
        <w:rPr>
          <w:lang w:val="es-ES_tradnl"/>
        </w:rPr>
        <w:tab/>
        <w:t>al servicio principal en el que funciona la estación espacial (por ejemplo: servicio fijo por satélite (SFS), servicio de radiodifusión por satélite (SRS), servicio móvil por satélite (SMS)).</w:t>
      </w:r>
    </w:p>
    <w:p w14:paraId="431185DF" w14:textId="77777777" w:rsidR="00FA3D78" w:rsidRPr="00ED02E9" w:rsidRDefault="00FA3D78">
      <w:pPr>
        <w:rPr>
          <w:lang w:val="es-ES_tradnl"/>
        </w:rPr>
      </w:pPr>
      <w:r w:rsidRPr="00ED02E9">
        <w:rPr>
          <w:lang w:val="es-ES_tradnl"/>
        </w:rPr>
        <w:t>3</w:t>
      </w:r>
      <w:r w:rsidRPr="00ED02E9">
        <w:rPr>
          <w:lang w:val="es-ES_tradnl"/>
        </w:rPr>
        <w:tab/>
        <w:t xml:space="preserve">En el caso donde la frecuencia asignada relativa a las funciones de operaciones espaciales está situada en una banda de frecuencias atribuida a un servicio en el cual la estación espacial no tiene función de operación, la conclusión relativa al número </w:t>
      </w:r>
      <w:r w:rsidRPr="00ED02E9">
        <w:rPr>
          <w:rStyle w:val="Artref"/>
          <w:b/>
          <w:bCs/>
          <w:color w:val="000000"/>
          <w:lang w:val="es-ES_tradnl"/>
        </w:rPr>
        <w:t>11.31</w:t>
      </w:r>
      <w:r w:rsidRPr="00ED02E9">
        <w:rPr>
          <w:lang w:val="es-ES_tradnl"/>
        </w:rPr>
        <w:t xml:space="preserve"> será desfavorable.</w:t>
      </w:r>
    </w:p>
    <w:p w14:paraId="12499854" w14:textId="77777777" w:rsidR="00FA3D78" w:rsidRPr="00ED02E9" w:rsidRDefault="00FA3D78">
      <w:pPr>
        <w:pStyle w:val="Heading8"/>
        <w:rPr>
          <w:lang w:val="es-ES_tradnl"/>
        </w:rPr>
      </w:pPr>
      <w:r w:rsidRPr="00ED02E9">
        <w:rPr>
          <w:lang w:val="es-ES_tradnl"/>
        </w:rPr>
        <w:t>1.61</w:t>
      </w:r>
    </w:p>
    <w:p w14:paraId="2C65799A" w14:textId="77777777" w:rsidR="00FA3D78" w:rsidRDefault="00FA3D78">
      <w:pPr>
        <w:rPr>
          <w:lang w:val="es-ES_tradnl"/>
        </w:rPr>
      </w:pPr>
      <w:r w:rsidRPr="00ED02E9">
        <w:rPr>
          <w:lang w:val="es-ES_tradnl"/>
        </w:rPr>
        <w:t>Cuando en una ubicación determinada o a bordo de un satélite se utilizan transmisores o receptores para diferentes servicios de radiocomunicaciones intervienen varias estaciones, cada una de las cuales corresponde a un servicio particular de radiocomunicación. Esta distinción es esencial en las radiocomunicaciones espaciales cuando se utiliza un solo vehículo espacial para varios servicios. (En el Cuadro N.° 3 del Prefacio a la BR IFIC figuran los símbolos de las distintas clases de estación utilizadas en los formularios de notificación para los servicios en los que funciona una estación.)</w:t>
      </w:r>
    </w:p>
    <w:p w14:paraId="4BF6CD6E" w14:textId="77777777" w:rsidR="00FA3D78" w:rsidRPr="00ED02E9" w:rsidRDefault="00FA3D78" w:rsidP="00B07CB3">
      <w:pPr>
        <w:pStyle w:val="Heading8"/>
        <w:rPr>
          <w:lang w:val="es-ES_tradnl"/>
        </w:rPr>
      </w:pPr>
      <w:r w:rsidRPr="00ED02E9">
        <w:rPr>
          <w:lang w:val="es-ES_tradnl"/>
        </w:rPr>
        <w:lastRenderedPageBreak/>
        <w:t>1.63</w:t>
      </w:r>
    </w:p>
    <w:p w14:paraId="5633CF8C" w14:textId="77777777" w:rsidR="00FA3D78" w:rsidRPr="00ED02E9" w:rsidRDefault="00FA3D78" w:rsidP="00B07CB3">
      <w:pPr>
        <w:keepNext/>
        <w:keepLines/>
        <w:rPr>
          <w:lang w:val="es-ES_tradnl"/>
        </w:rPr>
      </w:pPr>
      <w:r w:rsidRPr="00ED02E9">
        <w:rPr>
          <w:i/>
          <w:lang w:val="es-ES_tradnl"/>
        </w:rPr>
        <w:t>Estación terrena transportable</w:t>
      </w:r>
      <w:r w:rsidRPr="00ED02E9">
        <w:rPr>
          <w:lang w:val="es-ES_tradnl"/>
        </w:rPr>
        <w:t xml:space="preserve">: La Junta considera que una estación terrena transportable del servicio fijo por satélite (véase el número </w:t>
      </w:r>
      <w:r w:rsidRPr="00ED02E9">
        <w:rPr>
          <w:rStyle w:val="Artref"/>
          <w:b/>
          <w:bCs/>
          <w:color w:val="000000"/>
          <w:lang w:val="es-ES_tradnl"/>
        </w:rPr>
        <w:t>1.21</w:t>
      </w:r>
      <w:r w:rsidRPr="00ED02E9">
        <w:rPr>
          <w:lang w:val="es-ES_tradnl"/>
        </w:rPr>
        <w:t>) (o de cualquier otro servicio) es una estación terrena que se utiliza únicamente en puntos fijos. En consecuencia, su formulario de notifi</w:t>
      </w:r>
      <w:r w:rsidR="00ED02E9">
        <w:rPr>
          <w:lang w:val="es-ES_tradnl"/>
        </w:rPr>
        <w:softHyphen/>
      </w:r>
      <w:r w:rsidRPr="00ED02E9">
        <w:rPr>
          <w:lang w:val="es-ES_tradnl"/>
        </w:rPr>
        <w:t>cación se considera incompleto cuando no contiene las coordenadas geográficas.</w:t>
      </w:r>
    </w:p>
    <w:p w14:paraId="1CAE1EDB" w14:textId="77777777" w:rsidR="00FA3D78" w:rsidRPr="00ED02E9" w:rsidRDefault="00FA3D78" w:rsidP="00B07CB3">
      <w:pPr>
        <w:pStyle w:val="Heading8"/>
        <w:rPr>
          <w:lang w:val="es-ES_tradnl"/>
        </w:rPr>
      </w:pPr>
      <w:r w:rsidRPr="00ED02E9">
        <w:rPr>
          <w:lang w:val="es-ES_tradnl"/>
        </w:rPr>
        <w:t>1.112</w:t>
      </w:r>
      <w:r w:rsidR="000E2A2B">
        <w:rPr>
          <w:lang w:val="es-ES_tradnl"/>
        </w:rPr>
        <w:tab/>
      </w:r>
      <w:r w:rsidR="000E2A2B">
        <w:rPr>
          <w:lang w:val="es-ES_tradnl"/>
        </w:rPr>
        <w:tab/>
      </w:r>
    </w:p>
    <w:p w14:paraId="5EE267BC" w14:textId="77777777" w:rsidR="001A50BE" w:rsidRPr="001A50BE" w:rsidRDefault="001A50BE" w:rsidP="001A50BE">
      <w:pPr>
        <w:rPr>
          <w:rFonts w:asciiTheme="majorBidi" w:hAnsiTheme="majorBidi" w:cstheme="majorBidi"/>
          <w:lang w:val="es-ES_tradnl"/>
        </w:rPr>
      </w:pPr>
      <w:r w:rsidRPr="001A50BE">
        <w:rPr>
          <w:rFonts w:asciiTheme="majorBidi" w:hAnsiTheme="majorBidi" w:cstheme="majorBidi"/>
          <w:lang w:val="es-ES_tradnl"/>
        </w:rPr>
        <w:t>Según esta definición, cuando un sistema de satélites consta de un solo satélite es al mismo tiempo una red de satélites, en tanto que cuando consta de varios satélites, cada una de sus partes que contiene un satélite es una red de satélites. El título del Anexo 2 del Apéndice </w:t>
      </w:r>
      <w:r w:rsidRPr="001A50BE">
        <w:rPr>
          <w:rStyle w:val="Appref"/>
          <w:rFonts w:asciiTheme="majorBidi" w:hAnsiTheme="majorBidi" w:cstheme="majorBidi"/>
          <w:b/>
          <w:bCs/>
          <w:color w:val="000000"/>
          <w:lang w:val="es-ES_tradnl"/>
        </w:rPr>
        <w:t>4</w:t>
      </w:r>
      <w:r w:rsidRPr="001A50BE">
        <w:rPr>
          <w:rFonts w:asciiTheme="majorBidi" w:hAnsiTheme="majorBidi" w:cstheme="majorBidi"/>
          <w:lang w:val="es-ES_tradnl"/>
        </w:rPr>
        <w:t xml:space="preserve"> (así como los subtítulos de los § A y A1 de este Anexo) indica que se proporcionará la información contenida en dicho Apéndice para cada red de satélites. En consecuencia, el procedimiento de coordinación o publicación anticipada es aplicable, según proceda, a cada red de satélites. Habida cuenta del punto A.4.b del Apéndice </w:t>
      </w:r>
      <w:r w:rsidRPr="001A50BE">
        <w:rPr>
          <w:rStyle w:val="Appref"/>
          <w:rFonts w:asciiTheme="majorBidi" w:hAnsiTheme="majorBidi" w:cstheme="majorBidi"/>
          <w:b/>
          <w:bCs/>
          <w:color w:val="000000"/>
          <w:lang w:val="es-ES_tradnl"/>
        </w:rPr>
        <w:t>4</w:t>
      </w:r>
      <w:r w:rsidRPr="001A50BE">
        <w:rPr>
          <w:rFonts w:asciiTheme="majorBidi" w:hAnsiTheme="majorBidi" w:cstheme="majorBidi"/>
          <w:lang w:val="es-ES_tradnl"/>
        </w:rPr>
        <w:t>, una notificación de una red de satélites no geoestacionarios puede referirse a uno o varios planos orbitales y a uno o varios satélites por plano orbital.</w:t>
      </w:r>
    </w:p>
    <w:p w14:paraId="2EB28FA2" w14:textId="77777777" w:rsidR="001A50BE" w:rsidRPr="001A50BE" w:rsidRDefault="001A50BE" w:rsidP="004B42AD">
      <w:pPr>
        <w:rPr>
          <w:rFonts w:asciiTheme="majorBidi" w:hAnsiTheme="majorBidi" w:cstheme="majorBidi"/>
          <w:lang w:val="es-ES_tradnl"/>
        </w:rPr>
      </w:pPr>
      <w:r w:rsidRPr="001A50BE">
        <w:rPr>
          <w:rFonts w:asciiTheme="majorBidi" w:hAnsiTheme="majorBidi" w:cstheme="majorBidi"/>
          <w:lang w:val="es-ES_tradnl"/>
        </w:rPr>
        <w:t>Sobre esta base:</w:t>
      </w:r>
    </w:p>
    <w:p w14:paraId="133D08C1" w14:textId="77777777" w:rsidR="001A50BE" w:rsidRPr="001A50BE" w:rsidRDefault="001A50BE" w:rsidP="001A50BE">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a)</w:t>
      </w:r>
      <w:r w:rsidRPr="001A50BE">
        <w:rPr>
          <w:rFonts w:asciiTheme="majorBidi" w:hAnsiTheme="majorBidi" w:cstheme="majorBidi"/>
          <w:lang w:val="es-ES_tradnl"/>
        </w:rPr>
        <w:tab/>
        <w:t>un sistema de satélites geoestacionarios que utilice un satélite y dos o más estaciones terrenas es una red de satélite;</w:t>
      </w:r>
    </w:p>
    <w:p w14:paraId="278591DB" w14:textId="77777777" w:rsidR="001A50BE" w:rsidRPr="001A50BE" w:rsidRDefault="001A50BE" w:rsidP="001A50BE">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b)</w:t>
      </w:r>
      <w:r w:rsidRPr="001A50BE">
        <w:rPr>
          <w:rFonts w:asciiTheme="majorBidi" w:hAnsiTheme="majorBidi" w:cstheme="majorBidi"/>
          <w:lang w:val="es-ES_tradnl"/>
        </w:rPr>
        <w:tab/>
        <w:t>en el caso de un sistema de satélites geoestacionarios en el que un radioenlace entre dos estaciones terrenas utilice dos o más satélites que comunican mediante enlaces entre satélites, se considera cada satélite con sus estaciones terrenas y espaciales asociadas, según el caso, como una red de satélite por separado. Los enlaces entre satélites que conectan estos satélites se han de notificar para cada uno de los satélites del sistema;</w:t>
      </w:r>
    </w:p>
    <w:p w14:paraId="4A394BCF" w14:textId="77777777" w:rsidR="001A50BE" w:rsidRPr="001A50BE" w:rsidRDefault="001A50BE" w:rsidP="004B42AD">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c)</w:t>
      </w:r>
      <w:r w:rsidRPr="001A50BE">
        <w:rPr>
          <w:rFonts w:asciiTheme="majorBidi" w:hAnsiTheme="majorBidi" w:cstheme="majorBidi"/>
          <w:lang w:val="es-ES_tradnl"/>
        </w:rPr>
        <w:tab/>
        <w:t>un sistema de satélites no geoestacionarios compuesto por uno o varios planos orbitales, cada uno con uno o más satélites por plano orbital con características idénticas, es considerado como una red de satélite. Cuando esos satélites no geoestacionarios están conectados unos a otros por enlaces entre satélites, esos enlaces pueden ser notificados como parte de esa red de satélite;</w:t>
      </w:r>
    </w:p>
    <w:p w14:paraId="131E2875" w14:textId="77777777" w:rsidR="001A50BE" w:rsidRPr="001A50BE" w:rsidRDefault="001A50BE" w:rsidP="001A50BE">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d)</w:t>
      </w:r>
      <w:r w:rsidRPr="001A50BE">
        <w:rPr>
          <w:rFonts w:asciiTheme="majorBidi" w:hAnsiTheme="majorBidi" w:cstheme="majorBidi"/>
          <w:lang w:val="es-ES_tradnl"/>
        </w:rPr>
        <w:tab/>
        <w:t>en el caso de un sistema mixto de satélites, que consta de un satélite geoestacionario y varios satélites no geoestacionarios que se comunican a través de enlaces entre satélites OSG/no OSG, el satélite geoestacionario y los satélites no geoestacionarios, con sus respectivas estaciones terrenas y espaciales asociadas, según el caso, se consideran como redes de satélites separadas. Los enlaces entre satélites que conectan los satélites no geoestacionarios con el satélite geoestacionario del sistema deben ser notificados para cada una de las redes de satélite del sistema.</w:t>
      </w:r>
    </w:p>
    <w:p w14:paraId="0702C555" w14:textId="77777777" w:rsidR="00FA3D78" w:rsidRPr="001A50BE" w:rsidRDefault="001A50BE" w:rsidP="001A50BE">
      <w:pPr>
        <w:rPr>
          <w:rFonts w:asciiTheme="majorBidi" w:hAnsiTheme="majorBidi" w:cstheme="majorBidi"/>
          <w:lang w:val="es-ES_tradnl"/>
        </w:rPr>
      </w:pPr>
      <w:r w:rsidRPr="001A50BE">
        <w:rPr>
          <w:rFonts w:asciiTheme="majorBidi" w:hAnsiTheme="majorBidi" w:cstheme="majorBidi"/>
          <w:i/>
          <w:iCs/>
          <w:lang w:val="es-ES_tradnl"/>
        </w:rPr>
        <w:t>(Véanse asimismo los comentarios en la nota (*) y el § 4.2 de las Reglas de Procedimiento relativas a la admisibilidad de formularios de notificación.)</w:t>
      </w:r>
    </w:p>
    <w:p w14:paraId="10590388" w14:textId="77777777" w:rsidR="00FA3D78" w:rsidRPr="00ED02E9" w:rsidRDefault="00FA3D78" w:rsidP="001A729F">
      <w:pPr>
        <w:jc w:val="center"/>
        <w:rPr>
          <w:lang w:val="es-ES_tradnl"/>
        </w:rPr>
      </w:pPr>
      <w:r w:rsidRPr="00ED02E9">
        <w:rPr>
          <w:lang w:val="es-ES_tradnl"/>
        </w:rPr>
        <w:t>____________________</w:t>
      </w:r>
    </w:p>
    <w:p w14:paraId="41E92DFB" w14:textId="77777777" w:rsidR="00C10414" w:rsidRDefault="00C10414" w:rsidP="00944512">
      <w:pPr>
        <w:rPr>
          <w:lang w:val="es-ES_tradnl"/>
        </w:rPr>
        <w:sectPr w:rsidR="00C10414" w:rsidSect="00B07CB3">
          <w:headerReference w:type="even" r:id="rId6"/>
          <w:headerReference w:type="default" r:id="rId7"/>
          <w:footnotePr>
            <w:pos w:val="beneathText"/>
          </w:footnotePr>
          <w:pgSz w:w="11907" w:h="16840" w:code="9"/>
          <w:pgMar w:top="1701" w:right="851" w:bottom="1134" w:left="1985" w:header="720" w:footer="482" w:gutter="0"/>
          <w:pgNumType w:start="1"/>
          <w:cols w:space="720"/>
          <w:vAlign w:val="both"/>
        </w:sectPr>
      </w:pPr>
    </w:p>
    <w:p w14:paraId="2995CB27" w14:textId="77777777" w:rsidR="00944512" w:rsidRPr="00ED02E9" w:rsidRDefault="00944512" w:rsidP="00944512">
      <w:pPr>
        <w:rPr>
          <w:lang w:val="es-ES_tradnl"/>
        </w:rPr>
      </w:pPr>
    </w:p>
    <w:p w14:paraId="729F7041" w14:textId="77777777" w:rsidR="00FA3D78" w:rsidRPr="00ED02E9" w:rsidRDefault="00FA3D78" w:rsidP="00944512">
      <w:pPr>
        <w:rPr>
          <w:lang w:val="es-ES_tradnl"/>
        </w:rPr>
      </w:pPr>
    </w:p>
    <w:sectPr w:rsidR="00FA3D78" w:rsidRPr="00ED02E9" w:rsidSect="00944512">
      <w:headerReference w:type="defaul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26ECC" w14:textId="77777777" w:rsidR="00DF174F" w:rsidRDefault="00DF174F">
      <w:r>
        <w:separator/>
      </w:r>
    </w:p>
  </w:endnote>
  <w:endnote w:type="continuationSeparator" w:id="0">
    <w:p w14:paraId="59474F56" w14:textId="77777777" w:rsidR="00DF174F" w:rsidRDefault="00DF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26CB0" w14:textId="77777777" w:rsidR="00DF174F" w:rsidRDefault="00DF174F">
      <w:r>
        <w:rPr>
          <w:b/>
        </w:rPr>
        <w:t>_______________</w:t>
      </w:r>
    </w:p>
  </w:footnote>
  <w:footnote w:type="continuationSeparator" w:id="0">
    <w:p w14:paraId="3F3EDE9D" w14:textId="77777777" w:rsidR="00DF174F" w:rsidRDefault="00DF1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A3D78" w:rsidRPr="00C10414" w14:paraId="5E56649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911B5E5" w14:textId="7C93E0FD" w:rsidR="00FA3D78" w:rsidRDefault="00FA3D78">
          <w:pPr>
            <w:pStyle w:val="HeaderRegProc"/>
          </w:pPr>
          <w:r>
            <w:t>Parte A</w:t>
          </w:r>
          <w:r>
            <w:fldChar w:fldCharType="begin"/>
          </w:r>
          <w:r>
            <w:instrText>styleref href</w:instrText>
          </w:r>
          <w:r>
            <w:fldChar w:fldCharType="separate"/>
          </w:r>
          <w:r w:rsidR="009D3341">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77C1099" w14:textId="29AFB64C" w:rsidR="00FA3D78" w:rsidRDefault="002A16F4">
          <w:pPr>
            <w:pStyle w:val="HeaderRegProc"/>
            <w:rPr>
              <w:lang w:val="es-ES_tradnl"/>
            </w:rPr>
          </w:pPr>
          <w:fldSimple w:instr=" DOCPROPERTY &quot;Header&quot; \* MERGEFORMAT ">
            <w:r w:rsidR="009D3341">
              <w:t>AR</w:t>
            </w:r>
          </w:fldSimple>
          <w:r w:rsidR="00FA3D78">
            <w:fldChar w:fldCharType="begin"/>
          </w:r>
          <w:r w:rsidR="00FA3D78">
            <w:instrText>styleref href2</w:instrText>
          </w:r>
          <w:r w:rsidR="00FA3D78">
            <w:fldChar w:fldCharType="separate"/>
          </w:r>
          <w:r w:rsidR="009D3341">
            <w:rPr>
              <w:noProof/>
            </w:rPr>
            <w:t>1</w:t>
          </w:r>
          <w:r w:rsidR="00FA3D78">
            <w:fldChar w:fldCharType="end"/>
          </w:r>
        </w:p>
      </w:tc>
      <w:tc>
        <w:tcPr>
          <w:tcW w:w="1701" w:type="dxa"/>
          <w:tcBorders>
            <w:top w:val="single" w:sz="6" w:space="0" w:color="auto"/>
            <w:left w:val="single" w:sz="6" w:space="0" w:color="auto"/>
            <w:bottom w:val="single" w:sz="6" w:space="0" w:color="auto"/>
            <w:right w:val="single" w:sz="6" w:space="0" w:color="auto"/>
          </w:tcBorders>
        </w:tcPr>
        <w:p w14:paraId="2D95818B" w14:textId="77777777" w:rsidR="00FA3D78" w:rsidRDefault="00FA3D78">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E0104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9781AB" w14:textId="77777777" w:rsidR="00FA3D78" w:rsidRPr="00C10414" w:rsidRDefault="00FA3D78" w:rsidP="00B07CB3">
          <w:pPr>
            <w:pStyle w:val="HeaderRegProc"/>
            <w:rPr>
              <w:lang w:val="es-ES_tradnl"/>
            </w:rPr>
          </w:pPr>
          <w:r w:rsidRPr="00C10414">
            <w:rPr>
              <w:lang w:val="es-ES_tradnl"/>
            </w:rPr>
            <w:t>rev.</w:t>
          </w:r>
          <w:r w:rsidR="00C10414" w:rsidRPr="00C10414">
            <w:rPr>
              <w:lang w:val="es-ES_tradnl"/>
            </w:rPr>
            <w:t xml:space="preserve"> </w:t>
          </w:r>
          <w:r w:rsidR="00B07CB3">
            <w:rPr>
              <w:lang w:val="es-ES_tradnl"/>
            </w:rPr>
            <w:t>-</w:t>
          </w:r>
        </w:p>
      </w:tc>
    </w:tr>
  </w:tbl>
  <w:p w14:paraId="335E1581" w14:textId="77777777" w:rsidR="00FA3D78" w:rsidRPr="00C10414" w:rsidRDefault="00FA3D78">
    <w:pP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715D9" w14:paraId="7A004097" w14:textId="77777777" w:rsidTr="00B07CB3">
      <w:trPr>
        <w:cantSplit/>
        <w:jc w:val="right"/>
      </w:trPr>
      <w:tc>
        <w:tcPr>
          <w:tcW w:w="1701" w:type="dxa"/>
          <w:tcBorders>
            <w:top w:val="single" w:sz="6" w:space="0" w:color="auto"/>
            <w:left w:val="single" w:sz="6" w:space="0" w:color="auto"/>
            <w:bottom w:val="single" w:sz="6" w:space="0" w:color="auto"/>
            <w:right w:val="single" w:sz="6" w:space="0" w:color="auto"/>
          </w:tcBorders>
        </w:tcPr>
        <w:p w14:paraId="2ED0234F" w14:textId="3D898826" w:rsidR="007715D9" w:rsidRDefault="007715D9" w:rsidP="007715D9">
          <w:pPr>
            <w:pStyle w:val="HeaderRegProc"/>
            <w:rPr>
              <w:lang w:val="en-US"/>
            </w:rPr>
          </w:pPr>
          <w:r>
            <w:rPr>
              <w:lang w:val="en-US"/>
            </w:rPr>
            <w:t>Part</w:t>
          </w:r>
          <w:r w:rsidR="00D81F2A">
            <w:rPr>
              <w:lang w:val="en-US"/>
            </w:rPr>
            <w:t>e</w:t>
          </w:r>
          <w:r>
            <w:rPr>
              <w:lang w:val="en-US"/>
            </w:rPr>
            <w:t xml:space="preserve"> A</w:t>
          </w:r>
          <w:r>
            <w:fldChar w:fldCharType="begin"/>
          </w:r>
          <w:r>
            <w:rPr>
              <w:lang w:val="en-US"/>
            </w:rPr>
            <w:instrText>styleref href</w:instrText>
          </w:r>
          <w:r>
            <w:fldChar w:fldCharType="separate"/>
          </w:r>
          <w:r w:rsidR="009D3341">
            <w:rPr>
              <w:noProof/>
              <w:lang w:val="en-US"/>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1E764B2" w14:textId="0569014A" w:rsidR="007715D9" w:rsidRDefault="002A16F4" w:rsidP="007715D9">
          <w:pPr>
            <w:pStyle w:val="HeaderRegProc"/>
            <w:rPr>
              <w:lang w:val="en-US"/>
            </w:rPr>
          </w:pPr>
          <w:fldSimple w:instr=" DOCPROPERTY &quot;Header&quot; \* MERGEFORMAT ">
            <w:r w:rsidR="009D3341" w:rsidRPr="009D3341">
              <w:rPr>
                <w:lang w:val="en-US"/>
              </w:rPr>
              <w:t>AR</w:t>
            </w:r>
          </w:fldSimple>
          <w:r w:rsidR="007715D9">
            <w:fldChar w:fldCharType="begin"/>
          </w:r>
          <w:r w:rsidR="007715D9">
            <w:rPr>
              <w:lang w:val="en-US"/>
            </w:rPr>
            <w:instrText>styleref href2</w:instrText>
          </w:r>
          <w:r w:rsidR="007715D9">
            <w:fldChar w:fldCharType="separate"/>
          </w:r>
          <w:r w:rsidR="009D3341">
            <w:rPr>
              <w:noProof/>
              <w:lang w:val="en-US"/>
            </w:rPr>
            <w:t>1</w:t>
          </w:r>
          <w:r w:rsidR="007715D9">
            <w:fldChar w:fldCharType="end"/>
          </w:r>
        </w:p>
      </w:tc>
      <w:tc>
        <w:tcPr>
          <w:tcW w:w="1701" w:type="dxa"/>
          <w:tcBorders>
            <w:top w:val="single" w:sz="6" w:space="0" w:color="auto"/>
            <w:left w:val="single" w:sz="6" w:space="0" w:color="auto"/>
            <w:bottom w:val="single" w:sz="6" w:space="0" w:color="auto"/>
            <w:right w:val="single" w:sz="6" w:space="0" w:color="auto"/>
          </w:tcBorders>
        </w:tcPr>
        <w:p w14:paraId="250EAFB9" w14:textId="45ACC6F5" w:rsidR="007715D9" w:rsidRDefault="00D81F2A" w:rsidP="007715D9">
          <w:pPr>
            <w:pStyle w:val="HeaderRegProc"/>
            <w:rPr>
              <w:lang w:val="fr-CH"/>
            </w:rPr>
          </w:pPr>
          <w:proofErr w:type="gramStart"/>
          <w:r>
            <w:rPr>
              <w:lang w:val="fr-FR"/>
            </w:rPr>
            <w:t>página</w:t>
          </w:r>
          <w:proofErr w:type="gramEnd"/>
          <w:r w:rsidR="007715D9">
            <w:rPr>
              <w:lang w:val="fr-FR"/>
            </w:rPr>
            <w:t xml:space="preserve"> </w:t>
          </w:r>
          <w:r w:rsidR="007715D9">
            <w:rPr>
              <w:rStyle w:val="PageNumber"/>
            </w:rPr>
            <w:fldChar w:fldCharType="begin"/>
          </w:r>
          <w:r w:rsidR="007715D9">
            <w:rPr>
              <w:rStyle w:val="PageNumber"/>
            </w:rPr>
            <w:instrText xml:space="preserve"> PAGE </w:instrText>
          </w:r>
          <w:r w:rsidR="007715D9">
            <w:rPr>
              <w:rStyle w:val="PageNumber"/>
            </w:rPr>
            <w:fldChar w:fldCharType="separate"/>
          </w:r>
          <w:r w:rsidR="00E01041">
            <w:rPr>
              <w:rStyle w:val="PageNumber"/>
              <w:noProof/>
            </w:rPr>
            <w:t>1</w:t>
          </w:r>
          <w:r w:rsidR="007715D9">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780262" w14:textId="77777777" w:rsidR="007715D9" w:rsidRDefault="007715D9" w:rsidP="00B07CB3">
          <w:pPr>
            <w:pStyle w:val="HeaderRegProc"/>
            <w:rPr>
              <w:lang w:val="fr-CH"/>
            </w:rPr>
          </w:pPr>
          <w:proofErr w:type="gramStart"/>
          <w:r>
            <w:rPr>
              <w:lang w:val="fr-CH"/>
            </w:rPr>
            <w:t>rev</w:t>
          </w:r>
          <w:proofErr w:type="gramEnd"/>
          <w:r>
            <w:rPr>
              <w:lang w:val="fr-CH"/>
            </w:rPr>
            <w:t>.</w:t>
          </w:r>
          <w:r>
            <w:t xml:space="preserve"> </w:t>
          </w:r>
          <w:r w:rsidR="00B07CB3">
            <w:t>-</w:t>
          </w:r>
        </w:p>
      </w:tc>
    </w:tr>
  </w:tbl>
  <w:p w14:paraId="76BADCA2" w14:textId="77777777" w:rsidR="00FA3D78" w:rsidRPr="007715D9" w:rsidRDefault="00FA3D78" w:rsidP="00771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DED2D" w14:textId="77777777" w:rsidR="00C10414" w:rsidRDefault="00C104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D78"/>
    <w:rsid w:val="0004744E"/>
    <w:rsid w:val="000E2A2B"/>
    <w:rsid w:val="000E6ACE"/>
    <w:rsid w:val="00141370"/>
    <w:rsid w:val="001A50BE"/>
    <w:rsid w:val="001A729F"/>
    <w:rsid w:val="002531A8"/>
    <w:rsid w:val="002A16F4"/>
    <w:rsid w:val="00302E91"/>
    <w:rsid w:val="003F291C"/>
    <w:rsid w:val="004B42AD"/>
    <w:rsid w:val="00540B4E"/>
    <w:rsid w:val="00576AC3"/>
    <w:rsid w:val="00621F9E"/>
    <w:rsid w:val="00653E6D"/>
    <w:rsid w:val="00677153"/>
    <w:rsid w:val="00736A1F"/>
    <w:rsid w:val="007715D9"/>
    <w:rsid w:val="007F7CDA"/>
    <w:rsid w:val="00861D88"/>
    <w:rsid w:val="008A63E6"/>
    <w:rsid w:val="008B0680"/>
    <w:rsid w:val="00944512"/>
    <w:rsid w:val="009877BE"/>
    <w:rsid w:val="009D3341"/>
    <w:rsid w:val="00A66D32"/>
    <w:rsid w:val="00B07CB3"/>
    <w:rsid w:val="00C05923"/>
    <w:rsid w:val="00C10414"/>
    <w:rsid w:val="00D55FAF"/>
    <w:rsid w:val="00D81F2A"/>
    <w:rsid w:val="00DF174F"/>
    <w:rsid w:val="00E01041"/>
    <w:rsid w:val="00ED02E9"/>
    <w:rsid w:val="00F66282"/>
    <w:rsid w:val="00FA3D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7DF112C"/>
  <w15:docId w15:val="{A440A1E0-9236-4AD7-978B-DEC52B250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enumlev1Char">
    <w:name w:val="enumlev1 Char"/>
    <w:basedOn w:val="DefaultParagraphFont"/>
    <w:link w:val="enumlev1"/>
    <w:rsid w:val="00141370"/>
    <w:rPr>
      <w:sz w:val="24"/>
      <w:lang w:val="en-GB" w:eastAsia="en-US"/>
    </w:rPr>
  </w:style>
  <w:style w:type="paragraph" w:customStyle="1" w:styleId="Reasons">
    <w:name w:val="Reasons"/>
    <w:basedOn w:val="Normal"/>
    <w:qFormat/>
    <w:rsid w:val="00141370"/>
    <w:pPr>
      <w:tabs>
        <w:tab w:val="clear" w:pos="1871"/>
        <w:tab w:val="clear" w:pos="2268"/>
        <w:tab w:val="left" w:pos="1588"/>
        <w:tab w:val="left" w:pos="1985"/>
      </w:tabs>
      <w:spacing w:before="12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182</TotalTime>
  <Pages>3</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Artículo 1</dc:subject>
  <dc:creator>Composition des Publications</dc:creator>
  <cp:keywords>Folios: 1 - 2</cp:keywords>
  <dc:description>Edition 2009:  11.02.2009/DD (dict. ok)</dc:description>
  <cp:lastModifiedBy>Saez Grau, Ricardo</cp:lastModifiedBy>
  <cp:revision>30</cp:revision>
  <cp:lastPrinted>2026-01-26T08:07:00Z</cp:lastPrinted>
  <dcterms:created xsi:type="dcterms:W3CDTF">2012-10-02T09:30:00Z</dcterms:created>
  <dcterms:modified xsi:type="dcterms:W3CDTF">2026-01-26T08:07:00Z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