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D05CD" w14:textId="77777777" w:rsidR="00E92E17" w:rsidRPr="003D5128" w:rsidRDefault="00E92E17" w:rsidP="003D5128">
      <w:pPr>
        <w:pStyle w:val="Heading1"/>
        <w:spacing w:before="300"/>
        <w:jc w:val="center"/>
        <w:rPr>
          <w:lang w:val="fr-FR"/>
        </w:rPr>
      </w:pPr>
      <w:r w:rsidRPr="003D5128">
        <w:rPr>
          <w:lang w:val="fr-FR"/>
        </w:rPr>
        <w:t xml:space="preserve">PARTIE  </w:t>
      </w:r>
      <w:r w:rsidRPr="003D5128">
        <w:rPr>
          <w:rStyle w:val="href"/>
          <w:lang w:val="fr-FR"/>
        </w:rPr>
        <w:t>A7</w:t>
      </w:r>
    </w:p>
    <w:p w14:paraId="17C48329" w14:textId="77777777" w:rsidR="00E92E17" w:rsidRPr="003D5128" w:rsidRDefault="00E92E17" w:rsidP="003D5128">
      <w:pPr>
        <w:pStyle w:val="Heading1"/>
        <w:ind w:left="0" w:firstLine="0"/>
        <w:jc w:val="center"/>
        <w:rPr>
          <w:lang w:val="fr-FR"/>
        </w:rPr>
      </w:pPr>
      <w:r w:rsidRPr="003D5128">
        <w:rPr>
          <w:lang w:val="fr-FR"/>
        </w:rPr>
        <w:t>Règles relatives à la Résolution 1 de la Conférence</w:t>
      </w:r>
      <w:r w:rsidR="003D5128" w:rsidRPr="003D5128">
        <w:rPr>
          <w:lang w:val="fr-FR"/>
        </w:rPr>
        <w:t xml:space="preserve"> </w:t>
      </w:r>
      <w:r w:rsidRPr="003D5128">
        <w:rPr>
          <w:lang w:val="fr-FR"/>
        </w:rPr>
        <w:t>RJ88</w:t>
      </w:r>
      <w:r w:rsidR="003D5128" w:rsidRPr="003D5128">
        <w:rPr>
          <w:lang w:val="fr-FR"/>
        </w:rPr>
        <w:br/>
      </w:r>
      <w:r w:rsidRPr="003D5128">
        <w:rPr>
          <w:lang w:val="fr-FR"/>
        </w:rPr>
        <w:t>et à l'Article 6 de l'Accord RJ88</w:t>
      </w:r>
    </w:p>
    <w:p w14:paraId="68E86EC5" w14:textId="77777777" w:rsidR="00E92E17" w:rsidRPr="003D5128" w:rsidRDefault="00E92E17">
      <w:pPr>
        <w:pStyle w:val="Heading1"/>
        <w:rPr>
          <w:lang w:val="fr-FR"/>
        </w:rPr>
      </w:pPr>
      <w:r w:rsidRPr="003D5128">
        <w:rPr>
          <w:lang w:val="fr-FR"/>
        </w:rPr>
        <w:t>1</w:t>
      </w:r>
      <w:r w:rsidRPr="003D5128">
        <w:rPr>
          <w:lang w:val="fr-FR"/>
        </w:rPr>
        <w:tab/>
        <w:t>Application de la Résolution 1 (</w:t>
      </w:r>
      <w:r w:rsidRPr="003D5128">
        <w:rPr>
          <w:rStyle w:val="href2"/>
          <w:lang w:val="fr-FR"/>
        </w:rPr>
        <w:t>RJ88</w:t>
      </w:r>
      <w:r w:rsidRPr="003D5128">
        <w:rPr>
          <w:lang w:val="fr-FR"/>
        </w:rPr>
        <w:t>)</w:t>
      </w:r>
    </w:p>
    <w:p w14:paraId="37EE6238" w14:textId="77777777" w:rsidR="00E92E17" w:rsidRPr="003D5128" w:rsidRDefault="00E92E17" w:rsidP="003D5128">
      <w:pPr>
        <w:rPr>
          <w:lang w:val="fr-FR"/>
        </w:rPr>
      </w:pPr>
      <w:r w:rsidRPr="003D5128">
        <w:rPr>
          <w:lang w:val="fr-FR"/>
        </w:rPr>
        <w:t>1.1</w:t>
      </w:r>
      <w:r w:rsidRPr="003D5128">
        <w:rPr>
          <w:lang w:val="fr-FR"/>
        </w:rPr>
        <w:tab/>
        <w:t>Aux termes de cette Résolution, l'ex-IFRB a été chargé d'évaluer le brouillage causé aux allotissements figurant dans le Plan de radiodiffusion par les assignations des services fixe et mobile dans la bande 1</w:t>
      </w:r>
      <w:r w:rsidRPr="003D5128">
        <w:rPr>
          <w:rFonts w:ascii="Tms Rmn" w:hAnsi="Tms Rmn"/>
          <w:sz w:val="12"/>
          <w:lang w:val="fr-FR"/>
        </w:rPr>
        <w:t> </w:t>
      </w:r>
      <w:r w:rsidRPr="003D5128">
        <w:rPr>
          <w:lang w:val="fr-FR"/>
        </w:rPr>
        <w:t>625-1</w:t>
      </w:r>
      <w:r w:rsidRPr="003D5128">
        <w:rPr>
          <w:rFonts w:ascii="Tms Rmn" w:hAnsi="Tms Rmn"/>
          <w:sz w:val="12"/>
          <w:lang w:val="fr-FR"/>
        </w:rPr>
        <w:t> </w:t>
      </w:r>
      <w:r w:rsidRPr="003D5128">
        <w:rPr>
          <w:lang w:val="fr-FR"/>
        </w:rPr>
        <w:t>705 kHz notifiées avant le 1</w:t>
      </w:r>
      <w:r w:rsidRPr="003D5128">
        <w:rPr>
          <w:vertAlign w:val="superscript"/>
          <w:lang w:val="fr-FR"/>
        </w:rPr>
        <w:t>er</w:t>
      </w:r>
      <w:r w:rsidRPr="003D5128">
        <w:rPr>
          <w:lang w:val="fr-FR"/>
        </w:rPr>
        <w:t xml:space="preserve"> juillet 1990, date d'entrée en vigueur des Actes finals de la Conférence RJ88 (se référer au § 2 sous </w:t>
      </w:r>
      <w:r w:rsidRPr="003D5128">
        <w:rPr>
          <w:i/>
          <w:lang w:val="fr-FR"/>
        </w:rPr>
        <w:t>décide de prier l'IFRB</w:t>
      </w:r>
      <w:r w:rsidRPr="003D5128">
        <w:rPr>
          <w:lang w:val="fr-FR"/>
        </w:rPr>
        <w:t>). La Résolution prie également l'ex-IFRB de réexaminer la conclusion figurant en regard de toute assignation des services fixe et mobile inscrite dans le Fichier de référence qui est incompatible avec le Plan de radiodiffusion et d'inscrire une observation dans la colonne appropriée du Fichier de référence pour indiquer que cette conclusion sera examinée à nouveau lorsqu'une station de radiodiffusion correspondant à l'allotissement à l'origine de la conclusion défavorable sera mise en service (voir le §</w:t>
      </w:r>
      <w:r w:rsidR="003D5128" w:rsidRPr="003D5128">
        <w:rPr>
          <w:lang w:val="fr-FR"/>
        </w:rPr>
        <w:t> </w:t>
      </w:r>
      <w:r w:rsidRPr="003D5128">
        <w:rPr>
          <w:lang w:val="fr-FR"/>
        </w:rPr>
        <w:t xml:space="preserve">3 sous </w:t>
      </w:r>
      <w:r w:rsidRPr="003D5128">
        <w:rPr>
          <w:i/>
          <w:lang w:val="fr-FR"/>
        </w:rPr>
        <w:t>décide de prier l'IFRB</w:t>
      </w:r>
      <w:r w:rsidRPr="003D5128">
        <w:rPr>
          <w:lang w:val="fr-FR"/>
        </w:rPr>
        <w:t>).</w:t>
      </w:r>
    </w:p>
    <w:p w14:paraId="4F3AD256" w14:textId="77777777" w:rsidR="00E92E17" w:rsidRPr="003D5128" w:rsidRDefault="00E92E17" w:rsidP="003D5128">
      <w:pPr>
        <w:rPr>
          <w:lang w:val="fr-FR"/>
        </w:rPr>
      </w:pPr>
      <w:r w:rsidRPr="003D5128">
        <w:rPr>
          <w:lang w:val="fr-FR"/>
        </w:rPr>
        <w:t>1.2</w:t>
      </w:r>
      <w:r w:rsidRPr="003D5128">
        <w:rPr>
          <w:lang w:val="fr-FR"/>
        </w:rPr>
        <w:tab/>
        <w:t>En vertu de cette Résolution, lorsqu'une assignation du service fixe ou du service mobile est incompatible et qu'en conséquence la conclusion est défavorable relativement à un allotissement du Plan de radiodiffusion, la procédure du numéro 1255 du Règlement des radiocommunications (édition de 1990, révisée en 1994) doit être appliquée à ladite assignation, étant entendu que la période de deux mois spécifiée dans cette procédure court à partir de la date de mise en service de la station du service de radiodiffusion en conformité avec l'allotissement concerné (voir le §</w:t>
      </w:r>
      <w:r w:rsidR="003D5128" w:rsidRPr="003D5128">
        <w:rPr>
          <w:lang w:val="fr-FR"/>
        </w:rPr>
        <w:t> </w:t>
      </w:r>
      <w:r w:rsidRPr="003D5128">
        <w:rPr>
          <w:lang w:val="fr-FR"/>
        </w:rPr>
        <w:t xml:space="preserve">4 sous </w:t>
      </w:r>
      <w:r w:rsidRPr="003D5128">
        <w:rPr>
          <w:i/>
          <w:lang w:val="fr-FR"/>
        </w:rPr>
        <w:t>décide de prier l'IFRB</w:t>
      </w:r>
      <w:r w:rsidRPr="003D5128">
        <w:rPr>
          <w:lang w:val="fr-FR"/>
        </w:rPr>
        <w:t>).</w:t>
      </w:r>
    </w:p>
    <w:p w14:paraId="1EA41ED6" w14:textId="77777777" w:rsidR="00E92E17" w:rsidRPr="003D5128" w:rsidRDefault="00E92E17" w:rsidP="003D5128">
      <w:pPr>
        <w:rPr>
          <w:lang w:val="fr-FR"/>
        </w:rPr>
      </w:pPr>
      <w:r w:rsidRPr="003D5128">
        <w:rPr>
          <w:lang w:val="fr-FR"/>
        </w:rPr>
        <w:t>1.3</w:t>
      </w:r>
      <w:r w:rsidRPr="003D5128">
        <w:rPr>
          <w:lang w:val="fr-FR"/>
        </w:rPr>
        <w:tab/>
        <w:t>Le Comité a pris note des dispositions du numéro</w:t>
      </w:r>
      <w:r w:rsidR="003D5128" w:rsidRPr="003D5128">
        <w:rPr>
          <w:lang w:val="fr-FR"/>
        </w:rPr>
        <w:t xml:space="preserve"> </w:t>
      </w:r>
      <w:r w:rsidRPr="003D5128">
        <w:rPr>
          <w:rStyle w:val="Artref"/>
          <w:b/>
          <w:bCs/>
          <w:color w:val="000000"/>
          <w:lang w:val="fr-FR"/>
        </w:rPr>
        <w:t>5.89</w:t>
      </w:r>
      <w:r w:rsidRPr="003D5128">
        <w:rPr>
          <w:lang w:val="fr-FR"/>
        </w:rPr>
        <w:t xml:space="preserve"> qui stipule que l'examen des assignations de fréquence aux stations des services fixe et mobile dans la bande 1</w:t>
      </w:r>
      <w:r w:rsidRPr="003D5128">
        <w:rPr>
          <w:rFonts w:ascii="Tms Rmn" w:hAnsi="Tms Rmn"/>
          <w:sz w:val="12"/>
          <w:lang w:val="fr-FR"/>
        </w:rPr>
        <w:t> </w:t>
      </w:r>
      <w:r w:rsidRPr="003D5128">
        <w:rPr>
          <w:lang w:val="fr-FR"/>
        </w:rPr>
        <w:t>625</w:t>
      </w:r>
      <w:r w:rsidR="003D5128" w:rsidRPr="003D5128">
        <w:rPr>
          <w:lang w:val="fr-FR"/>
        </w:rPr>
        <w:t>-</w:t>
      </w:r>
      <w:r w:rsidRPr="003D5128">
        <w:rPr>
          <w:lang w:val="fr-FR"/>
        </w:rPr>
        <w:t>1</w:t>
      </w:r>
      <w:r w:rsidRPr="003D5128">
        <w:rPr>
          <w:rFonts w:ascii="Tms Rmn" w:hAnsi="Tms Rmn"/>
          <w:sz w:val="12"/>
          <w:lang w:val="fr-FR"/>
        </w:rPr>
        <w:t> </w:t>
      </w:r>
      <w:r w:rsidRPr="003D5128">
        <w:rPr>
          <w:lang w:val="fr-FR"/>
        </w:rPr>
        <w:t>705</w:t>
      </w:r>
      <w:r w:rsidR="003D5128" w:rsidRPr="003D5128">
        <w:rPr>
          <w:lang w:val="fr-FR"/>
        </w:rPr>
        <w:t> </w:t>
      </w:r>
      <w:r w:rsidRPr="003D5128">
        <w:rPr>
          <w:lang w:val="fr-FR"/>
        </w:rPr>
        <w:t>kHz doit tenir compte des allotissements figurant dans le Plan</w:t>
      </w:r>
      <w:r w:rsidR="003D5128" w:rsidRPr="003D5128">
        <w:rPr>
          <w:lang w:val="fr-FR"/>
        </w:rPr>
        <w:t> </w:t>
      </w:r>
      <w:r w:rsidRPr="003D5128">
        <w:rPr>
          <w:lang w:val="fr-FR"/>
        </w:rPr>
        <w:t>(RJ88).</w:t>
      </w:r>
    </w:p>
    <w:p w14:paraId="193FB94F" w14:textId="77777777" w:rsidR="00E92E17" w:rsidRPr="003D5128" w:rsidRDefault="00E92E17" w:rsidP="003D5128">
      <w:pPr>
        <w:rPr>
          <w:lang w:val="fr-FR"/>
        </w:rPr>
      </w:pPr>
      <w:r w:rsidRPr="003D5128">
        <w:rPr>
          <w:lang w:val="fr-FR"/>
        </w:rPr>
        <w:t>1.4</w:t>
      </w:r>
      <w:r w:rsidRPr="003D5128">
        <w:rPr>
          <w:lang w:val="fr-FR"/>
        </w:rPr>
        <w:tab/>
        <w:t>Compte tenu des considérations qui précèdent, le Comité a décidé de procéder comme suit, en application de la Résolution</w:t>
      </w:r>
      <w:r w:rsidR="003D5128" w:rsidRPr="003D5128">
        <w:rPr>
          <w:lang w:val="fr-FR"/>
        </w:rPr>
        <w:t> </w:t>
      </w:r>
      <w:r w:rsidRPr="003D5128">
        <w:rPr>
          <w:lang w:val="fr-FR"/>
        </w:rPr>
        <w:t>1 (RJ88):</w:t>
      </w:r>
    </w:p>
    <w:p w14:paraId="3CB4BCB4" w14:textId="77777777" w:rsidR="00E92E17" w:rsidRPr="003D5128" w:rsidRDefault="00E92E17" w:rsidP="003D5128">
      <w:pPr>
        <w:rPr>
          <w:lang w:val="fr-FR"/>
        </w:rPr>
      </w:pPr>
      <w:r w:rsidRPr="003D5128">
        <w:rPr>
          <w:lang w:val="fr-FR"/>
        </w:rPr>
        <w:t>1.4.1</w:t>
      </w:r>
      <w:r w:rsidRPr="003D5128">
        <w:rPr>
          <w:lang w:val="fr-FR"/>
        </w:rPr>
        <w:tab/>
        <w:t>dans l'application des dispositions du §</w:t>
      </w:r>
      <w:r w:rsidR="003D5128" w:rsidRPr="003D5128">
        <w:rPr>
          <w:lang w:val="fr-FR"/>
        </w:rPr>
        <w:t> </w:t>
      </w:r>
      <w:r w:rsidRPr="003D5128">
        <w:rPr>
          <w:lang w:val="fr-FR"/>
        </w:rPr>
        <w:t>3 de la Résolution, toute incompatibilité d'une assignation du service fixe ou du service mobile par rapport à un allotissement figurant</w:t>
      </w:r>
      <w:r w:rsidR="003D5128" w:rsidRPr="003D5128">
        <w:rPr>
          <w:lang w:val="fr-FR"/>
        </w:rPr>
        <w:t xml:space="preserve"> </w:t>
      </w:r>
      <w:r w:rsidRPr="003D5128">
        <w:rPr>
          <w:lang w:val="fr-FR"/>
        </w:rPr>
        <w:t>dans le Plan a été signalée par le symbole H dans la Colonne 13B2, ainsi que le sym</w:t>
      </w:r>
      <w:r w:rsidR="003D5128" w:rsidRPr="003D5128">
        <w:rPr>
          <w:lang w:val="fr-FR"/>
        </w:rPr>
        <w:softHyphen/>
      </w:r>
      <w:r w:rsidRPr="003D5128">
        <w:rPr>
          <w:lang w:val="fr-FR"/>
        </w:rPr>
        <w:t>bole X/RS1 (RJ88)/---- (symbole du pays dont l'allotissement est susceptible d'être affecté) dans la Colonne</w:t>
      </w:r>
      <w:r w:rsidR="003D5128" w:rsidRPr="003D5128">
        <w:rPr>
          <w:lang w:val="fr-FR"/>
        </w:rPr>
        <w:t> </w:t>
      </w:r>
      <w:r w:rsidRPr="003D5128">
        <w:rPr>
          <w:lang w:val="fr-FR"/>
        </w:rPr>
        <w:t>11;</w:t>
      </w:r>
    </w:p>
    <w:p w14:paraId="7CB81749" w14:textId="77777777" w:rsidR="00E92E17" w:rsidRPr="003D5128" w:rsidRDefault="00E92E17" w:rsidP="003D5128">
      <w:pPr>
        <w:rPr>
          <w:lang w:val="fr-FR"/>
        </w:rPr>
      </w:pPr>
      <w:r w:rsidRPr="003D5128">
        <w:rPr>
          <w:lang w:val="fr-FR"/>
        </w:rPr>
        <w:t>1.4.2</w:t>
      </w:r>
      <w:r w:rsidRPr="003D5128">
        <w:rPr>
          <w:lang w:val="fr-FR"/>
        </w:rPr>
        <w:tab/>
        <w:t>lors de la mise en service d'une assignation correspondant à l'allotissement concerné dans le Plan de radiodiffusion, et pendant la période de deux mois mentionnée au § 4 </w:t>
      </w:r>
      <w:r w:rsidRPr="003D5128">
        <w:rPr>
          <w:i/>
          <w:lang w:val="fr-FR"/>
        </w:rPr>
        <w:t>b)</w:t>
      </w:r>
      <w:r w:rsidRPr="003D5128">
        <w:rPr>
          <w:lang w:val="fr-FR"/>
        </w:rPr>
        <w:t xml:space="preserve"> de la Résolution 1 (RJ88), s'il reçoit des informations faisant état d'un brouillage préjudiciable, le Bureau réexamine la conclusion inscrite en regard de l'assignation à la station du service fixe ou mobile. Ce faisant, il modifie la conclusion antérieure dont il est question au § 1.4.1 ci-dessus en ajoutant le symbole N dans la Colonne 13A2, le symbole Y dans la Colonne</w:t>
      </w:r>
      <w:r w:rsidR="003D5128" w:rsidRPr="003D5128">
        <w:rPr>
          <w:lang w:val="fr-FR"/>
        </w:rPr>
        <w:t> </w:t>
      </w:r>
      <w:r w:rsidRPr="003D5128">
        <w:rPr>
          <w:lang w:val="fr-FR"/>
        </w:rPr>
        <w:t>13B2 et le symbole</w:t>
      </w:r>
      <w:r w:rsidR="003D5128" w:rsidRPr="003D5128">
        <w:rPr>
          <w:lang w:val="fr-FR"/>
        </w:rPr>
        <w:t> </w:t>
      </w:r>
      <w:r w:rsidRPr="003D5128">
        <w:rPr>
          <w:lang w:val="fr-FR"/>
        </w:rPr>
        <w:t>X/RS1 (RJ88) dans la Colonne</w:t>
      </w:r>
      <w:r w:rsidR="003D5128" w:rsidRPr="003D5128">
        <w:rPr>
          <w:lang w:val="fr-FR"/>
        </w:rPr>
        <w:t> </w:t>
      </w:r>
      <w:r w:rsidRPr="003D5128">
        <w:rPr>
          <w:lang w:val="fr-FR"/>
        </w:rPr>
        <w:t>13B1; les symboles mentionnés au § 1.4.1 ci-dessus sont supprimés;</w:t>
      </w:r>
    </w:p>
    <w:p w14:paraId="3D6239D1" w14:textId="77777777" w:rsidR="00E92E17" w:rsidRPr="003D5128" w:rsidRDefault="00E92E17" w:rsidP="003D5128">
      <w:pPr>
        <w:rPr>
          <w:lang w:val="fr-FR"/>
        </w:rPr>
      </w:pPr>
      <w:r w:rsidRPr="003D5128">
        <w:rPr>
          <w:lang w:val="fr-FR"/>
        </w:rPr>
        <w:br w:type="page"/>
      </w:r>
      <w:r w:rsidRPr="003D5128">
        <w:rPr>
          <w:lang w:val="fr-FR"/>
        </w:rPr>
        <w:lastRenderedPageBreak/>
        <w:t>1.4.3</w:t>
      </w:r>
      <w:r w:rsidRPr="003D5128">
        <w:rPr>
          <w:lang w:val="fr-FR"/>
        </w:rPr>
        <w:tab/>
        <w:t>toutefois, si le Bureau ne reçoit aucune information faisant état d'un brouillage préjudiciable pendant la période de deux mois en question, la conclusion correspondant à l'assignation à la station du service fixe ou mobile mentionnée au § 1.4.1 ci-dessus est maintenue.</w:t>
      </w:r>
    </w:p>
    <w:p w14:paraId="7C50C8C9" w14:textId="77777777" w:rsidR="00E92E17" w:rsidRPr="003D5128" w:rsidRDefault="00E92E17">
      <w:pPr>
        <w:pStyle w:val="Heading1"/>
        <w:rPr>
          <w:lang w:val="fr-FR"/>
        </w:rPr>
      </w:pPr>
      <w:r w:rsidRPr="003D5128">
        <w:rPr>
          <w:lang w:val="fr-FR"/>
        </w:rPr>
        <w:t>2</w:t>
      </w:r>
      <w:r w:rsidRPr="003D5128">
        <w:rPr>
          <w:lang w:val="fr-FR"/>
        </w:rPr>
        <w:tab/>
        <w:t>Application de l'Article 6 de l'Accord RJ88</w:t>
      </w:r>
    </w:p>
    <w:p w14:paraId="4233BA42" w14:textId="77777777" w:rsidR="00E92E17" w:rsidRPr="003D5128" w:rsidRDefault="00E92E17" w:rsidP="003D5128">
      <w:pPr>
        <w:rPr>
          <w:lang w:val="fr-FR"/>
        </w:rPr>
      </w:pPr>
      <w:r w:rsidRPr="003D5128">
        <w:rPr>
          <w:lang w:val="fr-FR"/>
        </w:rPr>
        <w:t>2.1</w:t>
      </w:r>
      <w:r w:rsidRPr="003D5128">
        <w:rPr>
          <w:lang w:val="fr-FR"/>
        </w:rPr>
        <w:tab/>
        <w:t>L'application des §</w:t>
      </w:r>
      <w:r w:rsidR="003D5128" w:rsidRPr="003D5128">
        <w:rPr>
          <w:lang w:val="fr-FR"/>
        </w:rPr>
        <w:t> </w:t>
      </w:r>
      <w:r w:rsidRPr="003D5128">
        <w:rPr>
          <w:lang w:val="fr-FR"/>
        </w:rPr>
        <w:t>1 à 6 de l'Article 6 ne présente aucun problème et ces dispo</w:t>
      </w:r>
      <w:r w:rsidRPr="003D5128">
        <w:rPr>
          <w:lang w:val="fr-FR"/>
        </w:rPr>
        <w:softHyphen/>
        <w:t>sitions sont appliquées comme indiqué dans ledit Article.</w:t>
      </w:r>
    </w:p>
    <w:p w14:paraId="557D5DE7" w14:textId="77777777" w:rsidR="00E92E17" w:rsidRPr="003D5128" w:rsidRDefault="00E92E17" w:rsidP="003D5128">
      <w:pPr>
        <w:rPr>
          <w:lang w:val="fr-FR"/>
        </w:rPr>
      </w:pPr>
      <w:r w:rsidRPr="003D5128">
        <w:rPr>
          <w:lang w:val="fr-FR"/>
        </w:rPr>
        <w:t>2.2</w:t>
      </w:r>
      <w:r w:rsidRPr="003D5128">
        <w:rPr>
          <w:lang w:val="fr-FR"/>
        </w:rPr>
        <w:tab/>
        <w:t>Toutefois, si une administration présente de nouveau la fiche de notification en question, conformément au §</w:t>
      </w:r>
      <w:r w:rsidR="003D5128" w:rsidRPr="003D5128">
        <w:rPr>
          <w:lang w:val="fr-FR"/>
        </w:rPr>
        <w:t> </w:t>
      </w:r>
      <w:r w:rsidRPr="003D5128">
        <w:rPr>
          <w:lang w:val="fr-FR"/>
        </w:rPr>
        <w:t>7 de l'Article 6, le Bureau l'inscrit provisoirement, en attendant la notification d'une station de radiodiffusion dans la zone d'allotissement qui est à l'origine de la conclusion défavorable.</w:t>
      </w:r>
    </w:p>
    <w:p w14:paraId="45883E49" w14:textId="77777777" w:rsidR="00E92E17" w:rsidRPr="003D5128" w:rsidRDefault="00E92E17">
      <w:pPr>
        <w:rPr>
          <w:lang w:val="fr-FR"/>
        </w:rPr>
      </w:pPr>
      <w:r w:rsidRPr="003D5128">
        <w:rPr>
          <w:lang w:val="fr-FR"/>
        </w:rPr>
        <w:t>2.3</w:t>
      </w:r>
      <w:r w:rsidRPr="003D5128">
        <w:rPr>
          <w:lang w:val="fr-FR"/>
        </w:rPr>
        <w:tab/>
        <w:t>Le Bureau réexamine cette inscription lorsqu'il est porté à sa connaissance qu'une station de radiodiffusion est mise en service dans la zone de l'allotissement qui est à l'origine de la conclusion défavorable.</w:t>
      </w:r>
    </w:p>
    <w:p w14:paraId="16CA486B" w14:textId="77777777" w:rsidR="00E92E17" w:rsidRPr="003D5128" w:rsidRDefault="00E92E17">
      <w:pPr>
        <w:rPr>
          <w:lang w:val="fr-FR"/>
        </w:rPr>
      </w:pPr>
      <w:r w:rsidRPr="003D5128">
        <w:rPr>
          <w:lang w:val="fr-FR"/>
        </w:rPr>
        <w:t>2.4</w:t>
      </w:r>
      <w:r w:rsidRPr="003D5128">
        <w:rPr>
          <w:lang w:val="fr-FR"/>
        </w:rPr>
        <w:tab/>
        <w:t>Si aucun brouillage affectant la station de radiodiffusion n'est signalé dans les deux mois, l'inscription provisoire est maintenue sans modification.</w:t>
      </w:r>
    </w:p>
    <w:p w14:paraId="6948F8CD" w14:textId="30379EBA" w:rsidR="00E92E17" w:rsidRPr="003D5128" w:rsidRDefault="00E92E17" w:rsidP="003D5128">
      <w:pPr>
        <w:rPr>
          <w:lang w:val="fr-FR"/>
        </w:rPr>
      </w:pPr>
      <w:r w:rsidRPr="003D5128">
        <w:rPr>
          <w:lang w:val="fr-FR"/>
        </w:rPr>
        <w:t>2.5</w:t>
      </w:r>
      <w:r w:rsidRPr="003D5128">
        <w:rPr>
          <w:lang w:val="fr-FR"/>
        </w:rPr>
        <w:tab/>
        <w:t>Si un brouillage affectant la station de radiodiffusion est signalé dans les deux</w:t>
      </w:r>
      <w:r w:rsidR="003D5128" w:rsidRPr="003D5128">
        <w:rPr>
          <w:lang w:val="fr-FR"/>
        </w:rPr>
        <w:t> </w:t>
      </w:r>
      <w:r w:rsidRPr="003D5128">
        <w:rPr>
          <w:lang w:val="fr-FR"/>
        </w:rPr>
        <w:t>mois, l'inscription provisoire est annulée et la fiche de notification est renvoyée à l'administration.</w:t>
      </w:r>
    </w:p>
    <w:p w14:paraId="2F7DB8B3" w14:textId="77777777" w:rsidR="00E92E17" w:rsidRPr="003D5128" w:rsidRDefault="00E92E17" w:rsidP="003D5128">
      <w:pPr>
        <w:rPr>
          <w:lang w:val="fr-FR"/>
        </w:rPr>
      </w:pPr>
    </w:p>
    <w:p w14:paraId="052377E8" w14:textId="77777777" w:rsidR="00E92E17" w:rsidRPr="003D5128" w:rsidRDefault="00E92E17" w:rsidP="003D5128">
      <w:pPr>
        <w:jc w:val="center"/>
        <w:rPr>
          <w:lang w:val="fr-FR"/>
        </w:rPr>
      </w:pPr>
      <w:r w:rsidRPr="003D5128">
        <w:rPr>
          <w:lang w:val="fr-FR"/>
        </w:rPr>
        <w:t>____________________</w:t>
      </w:r>
    </w:p>
    <w:p w14:paraId="3CBBC0B2" w14:textId="77777777" w:rsidR="00E92E17" w:rsidRDefault="00E92E17" w:rsidP="003D5128">
      <w:pPr>
        <w:rPr>
          <w:lang w:val="fr-FR"/>
        </w:rPr>
      </w:pPr>
    </w:p>
    <w:p w14:paraId="76048B28" w14:textId="77777777" w:rsidR="001D023D" w:rsidRDefault="001D023D" w:rsidP="003D5128">
      <w:pPr>
        <w:rPr>
          <w:lang w:val="fr-FR"/>
        </w:rPr>
      </w:pPr>
    </w:p>
    <w:p w14:paraId="0A7F2388" w14:textId="77777777" w:rsidR="001D023D" w:rsidRDefault="001D023D" w:rsidP="003D5128">
      <w:pPr>
        <w:rPr>
          <w:lang w:val="fr-FR"/>
        </w:rPr>
      </w:pPr>
    </w:p>
    <w:p w14:paraId="1DCDA195" w14:textId="77777777" w:rsidR="001D023D" w:rsidRDefault="001D023D" w:rsidP="003D5128">
      <w:pPr>
        <w:rPr>
          <w:lang w:val="fr-FR"/>
        </w:rPr>
      </w:pPr>
    </w:p>
    <w:p w14:paraId="09DC3619" w14:textId="77777777" w:rsidR="00E92E17" w:rsidRPr="003D5128" w:rsidRDefault="00E92E17" w:rsidP="003D5128">
      <w:pPr>
        <w:rPr>
          <w:lang w:val="fr-FR"/>
        </w:rPr>
      </w:pPr>
    </w:p>
    <w:p w14:paraId="601410DB" w14:textId="77777777" w:rsidR="00E92E17" w:rsidRPr="003D5128" w:rsidRDefault="00E92E17" w:rsidP="003D5128">
      <w:pPr>
        <w:rPr>
          <w:lang w:val="fr-FR"/>
        </w:rPr>
      </w:pPr>
    </w:p>
    <w:p w14:paraId="7CD78F1A" w14:textId="77777777" w:rsidR="00E92E17" w:rsidRPr="003D5128" w:rsidRDefault="00E92E17" w:rsidP="003D5128">
      <w:pPr>
        <w:rPr>
          <w:lang w:val="fr-FR"/>
        </w:rPr>
      </w:pPr>
    </w:p>
    <w:p w14:paraId="7499C7B6" w14:textId="77777777" w:rsidR="00E92E17" w:rsidRPr="003D5128" w:rsidRDefault="00E92E17" w:rsidP="003D5128">
      <w:pPr>
        <w:rPr>
          <w:lang w:val="fr-FR"/>
        </w:rPr>
      </w:pPr>
    </w:p>
    <w:p w14:paraId="4A8F8747" w14:textId="77777777" w:rsidR="00E92E17" w:rsidRPr="003D5128" w:rsidRDefault="00E92E17" w:rsidP="003D5128">
      <w:pPr>
        <w:rPr>
          <w:lang w:val="fr-FR"/>
        </w:rPr>
      </w:pPr>
    </w:p>
    <w:p w14:paraId="7F4599DD" w14:textId="77777777" w:rsidR="00E92E17" w:rsidRPr="003D5128" w:rsidRDefault="00E92E17" w:rsidP="003D5128">
      <w:pPr>
        <w:rPr>
          <w:lang w:val="fr-FR"/>
        </w:rPr>
      </w:pPr>
    </w:p>
    <w:p w14:paraId="2C2CA2C8" w14:textId="77777777" w:rsidR="00E92E17" w:rsidRPr="003D5128" w:rsidRDefault="00E92E17" w:rsidP="003D5128">
      <w:pPr>
        <w:rPr>
          <w:lang w:val="fr-FR"/>
        </w:rPr>
      </w:pPr>
    </w:p>
    <w:p w14:paraId="476D90EC" w14:textId="77777777" w:rsidR="00E92E17" w:rsidRPr="003D5128" w:rsidRDefault="00E92E17" w:rsidP="003D5128">
      <w:pPr>
        <w:rPr>
          <w:lang w:val="fr-FR"/>
        </w:rPr>
      </w:pPr>
    </w:p>
    <w:p w14:paraId="515D8566" w14:textId="77777777" w:rsidR="00E92E17" w:rsidRPr="003D5128" w:rsidRDefault="00E92E17" w:rsidP="003D5128">
      <w:pPr>
        <w:rPr>
          <w:lang w:val="fr-FR"/>
        </w:rPr>
        <w:sectPr w:rsidR="00E92E17" w:rsidRPr="003D5128">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BD387D4" w14:textId="77777777" w:rsidR="00E92E17" w:rsidRPr="003D5128" w:rsidRDefault="00E92E17" w:rsidP="003D5128">
      <w:pPr>
        <w:rPr>
          <w:lang w:val="fr-FR"/>
        </w:rPr>
      </w:pPr>
    </w:p>
    <w:sectPr w:rsidR="00E92E17" w:rsidRPr="003D5128" w:rsidSect="003D5128">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C006F" w14:textId="77777777" w:rsidR="00E97AC3" w:rsidRDefault="00E97AC3">
      <w:r>
        <w:separator/>
      </w:r>
    </w:p>
  </w:endnote>
  <w:endnote w:type="continuationSeparator" w:id="0">
    <w:p w14:paraId="7192D81D" w14:textId="77777777" w:rsidR="00E97AC3" w:rsidRDefault="00E9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90B6F" w14:textId="77777777" w:rsidR="00E97AC3" w:rsidRDefault="00E97AC3">
      <w:r>
        <w:rPr>
          <w:b/>
        </w:rPr>
        <w:t>_______________</w:t>
      </w:r>
    </w:p>
  </w:footnote>
  <w:footnote w:type="continuationSeparator" w:id="0">
    <w:p w14:paraId="5C97EF38" w14:textId="77777777" w:rsidR="00E97AC3" w:rsidRDefault="00E97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92E17" w14:paraId="150C688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DC83152" w14:textId="6BC788B7" w:rsidR="00E92E17" w:rsidRDefault="00E92E17">
          <w:pPr>
            <w:pStyle w:val="HeaderRegProc"/>
          </w:pPr>
          <w:proofErr w:type="spellStart"/>
          <w:r>
            <w:t>Partie</w:t>
          </w:r>
          <w:proofErr w:type="spellEnd"/>
          <w:r>
            <w:t xml:space="preserve"> </w:t>
          </w:r>
          <w:r w:rsidR="00C67D1C">
            <w:fldChar w:fldCharType="begin"/>
          </w:r>
          <w:r w:rsidR="00C67D1C">
            <w:instrText>styleref href</w:instrText>
          </w:r>
          <w:r w:rsidR="00C67D1C">
            <w:fldChar w:fldCharType="separate"/>
          </w:r>
          <w:r w:rsidR="001D023D">
            <w:rPr>
              <w:noProof/>
            </w:rPr>
            <w:t>A7</w:t>
          </w:r>
          <w:r w:rsidR="00C67D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18F14D" w14:textId="5E7A6022" w:rsidR="00E92E17" w:rsidRDefault="00C67D1C">
          <w:pPr>
            <w:pStyle w:val="HeaderRegProc"/>
            <w:rPr>
              <w:lang w:val="fr-FR"/>
            </w:rPr>
          </w:pPr>
          <w:r>
            <w:fldChar w:fldCharType="begin"/>
          </w:r>
          <w:r>
            <w:instrText>styleref href2</w:instrText>
          </w:r>
          <w:r>
            <w:fldChar w:fldCharType="separate"/>
          </w:r>
          <w:r w:rsidR="001D023D">
            <w:rPr>
              <w:noProof/>
            </w:rPr>
            <w:t>RJ88</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EE00FE" w14:textId="77777777" w:rsidR="00E92E17" w:rsidRDefault="00E92E1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67D1C">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A9115F" w14:textId="1676BD23" w:rsidR="00E92E17" w:rsidRDefault="00E92E17">
          <w:pPr>
            <w:pStyle w:val="HeaderRegProc"/>
            <w:rPr>
              <w:lang w:val="fr-CH"/>
            </w:rPr>
          </w:pPr>
          <w:r>
            <w:rPr>
              <w:lang w:val="fr-CH"/>
            </w:rPr>
            <w:t>rév.</w:t>
          </w:r>
          <w:fldSimple w:instr=" DOCPROPERTY &quot;Header10&quot; \* MERGEFORMAT ">
            <w:r w:rsidR="008461D4" w:rsidRPr="008461D4">
              <w:rPr>
                <w:lang w:val="fr-CH"/>
              </w:rPr>
              <w:t>-</w:t>
            </w:r>
          </w:fldSimple>
        </w:p>
      </w:tc>
    </w:tr>
  </w:tbl>
  <w:p w14:paraId="1812654D" w14:textId="77777777" w:rsidR="00E92E17" w:rsidRDefault="00E92E1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92E17" w14:paraId="5D2E43C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158AAD2" w14:textId="4240CA8D" w:rsidR="00E92E17" w:rsidRDefault="00E92E17">
          <w:pPr>
            <w:pStyle w:val="HeaderRegProc"/>
          </w:pPr>
          <w:proofErr w:type="spellStart"/>
          <w:r>
            <w:t>Partie</w:t>
          </w:r>
          <w:proofErr w:type="spellEnd"/>
          <w:r>
            <w:t xml:space="preserve"> </w:t>
          </w:r>
          <w:r w:rsidR="00C67D1C">
            <w:fldChar w:fldCharType="begin"/>
          </w:r>
          <w:r w:rsidR="00C67D1C">
            <w:instrText>styleref href</w:instrText>
          </w:r>
          <w:r w:rsidR="00C67D1C">
            <w:fldChar w:fldCharType="separate"/>
          </w:r>
          <w:r w:rsidR="001D023D">
            <w:rPr>
              <w:noProof/>
            </w:rPr>
            <w:t>A7</w:t>
          </w:r>
          <w:r w:rsidR="00C67D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9E1867" w14:textId="0F3A3C8D" w:rsidR="00E92E17" w:rsidRDefault="00C67D1C">
          <w:pPr>
            <w:pStyle w:val="HeaderRegProc"/>
            <w:rPr>
              <w:lang w:val="fr-FR"/>
            </w:rPr>
          </w:pPr>
          <w:r>
            <w:fldChar w:fldCharType="begin"/>
          </w:r>
          <w:r>
            <w:instrText>styleref href2</w:instrText>
          </w:r>
          <w:r>
            <w:fldChar w:fldCharType="separate"/>
          </w:r>
          <w:r w:rsidR="001D023D">
            <w:rPr>
              <w:noProof/>
            </w:rPr>
            <w:t>RJ88</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1AE04A" w14:textId="77777777" w:rsidR="00E92E17" w:rsidRDefault="00E92E1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67D1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1B4B8E" w14:textId="37F8F148" w:rsidR="00E92E17" w:rsidRDefault="00E92E17">
          <w:pPr>
            <w:pStyle w:val="HeaderRegProc"/>
            <w:rPr>
              <w:lang w:val="fr-CH"/>
            </w:rPr>
          </w:pPr>
          <w:r>
            <w:rPr>
              <w:lang w:val="fr-CH"/>
            </w:rPr>
            <w:t>rév.</w:t>
          </w:r>
          <w:fldSimple w:instr=" DOCPROPERTY &quot;Header10&quot; \* MERGEFORMAT ">
            <w:r w:rsidR="008461D4" w:rsidRPr="008461D4">
              <w:rPr>
                <w:lang w:val="fr-CH"/>
              </w:rPr>
              <w:t>-</w:t>
            </w:r>
          </w:fldSimple>
        </w:p>
      </w:tc>
    </w:tr>
  </w:tbl>
  <w:p w14:paraId="52EBF8AC" w14:textId="77777777" w:rsidR="00E92E17" w:rsidRDefault="00E92E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19847" w14:textId="77777777" w:rsidR="00E92E17" w:rsidRDefault="00E92E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92E17"/>
    <w:rsid w:val="001B0944"/>
    <w:rsid w:val="001D023D"/>
    <w:rsid w:val="003D5128"/>
    <w:rsid w:val="003F5DEF"/>
    <w:rsid w:val="008461D4"/>
    <w:rsid w:val="00AF4C2F"/>
    <w:rsid w:val="00C67D1C"/>
    <w:rsid w:val="00E5539F"/>
    <w:rsid w:val="00E92E17"/>
    <w:rsid w:val="00E97A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BB0B8"/>
  <w15:docId w15:val="{84BC92F1-AC88-45D6-B51C-B3BA67CEC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TotalTime>
  <Pages>3</Pages>
  <Words>777</Words>
  <Characters>3700</Characters>
  <Application>Microsoft Office Word</Application>
  <DocSecurity>0</DocSecurity>
  <Lines>59</Lines>
  <Paragraphs>71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Partie A7 / RJ88 du RR</dc:subject>
  <dc:creator/>
  <cp:keywords/>
  <dc:description/>
  <cp:lastModifiedBy>Gachet, Christelle</cp:lastModifiedBy>
  <cp:revision>7</cp:revision>
  <cp:lastPrinted>2020-12-15T12:49:00Z</cp:lastPrinted>
  <dcterms:created xsi:type="dcterms:W3CDTF">2012-08-08T15:59:00Z</dcterms:created>
  <dcterms:modified xsi:type="dcterms:W3CDTF">2025-11-21T08:09:00Z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