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84D52B" w14:textId="20E34BED" w:rsidR="000A14AD" w:rsidRPr="00D57100" w:rsidRDefault="009160E6" w:rsidP="000A14AD">
      <w:pPr>
        <w:pStyle w:val="Heading1"/>
        <w:spacing w:before="300"/>
        <w:ind w:left="0" w:firstLine="0"/>
        <w:jc w:val="center"/>
        <w:rPr>
          <w:bCs/>
          <w:szCs w:val="22"/>
          <w:lang w:val="fr-CH"/>
        </w:rPr>
      </w:pPr>
      <w:r w:rsidRPr="00D57100">
        <w:rPr>
          <w:szCs w:val="22"/>
          <w:lang w:val="fr-CH"/>
        </w:rPr>
        <w:t>Règles relatives à</w:t>
      </w:r>
      <w:r w:rsidR="006C2C76" w:rsidRPr="00D57100">
        <w:rPr>
          <w:szCs w:val="22"/>
          <w:lang w:val="fr-CH"/>
        </w:rPr>
        <w:t xml:space="preserve"> la</w:t>
      </w:r>
    </w:p>
    <w:p w14:paraId="11F2C903" w14:textId="3600A7B8" w:rsidR="000A14AD" w:rsidRPr="00D57100" w:rsidRDefault="00800146" w:rsidP="000E7624">
      <w:pPr>
        <w:pStyle w:val="Heading2"/>
        <w:ind w:left="0" w:firstLine="0"/>
        <w:jc w:val="center"/>
        <w:rPr>
          <w:szCs w:val="22"/>
          <w:lang w:val="fr-CH"/>
        </w:rPr>
      </w:pPr>
      <w:r w:rsidRPr="00D57100">
        <w:rPr>
          <w:szCs w:val="22"/>
          <w:lang w:val="fr-CH"/>
        </w:rPr>
        <w:t xml:space="preserve">RÉSOLUTION </w:t>
      </w:r>
      <w:r w:rsidR="003D33FD" w:rsidRPr="00D57100">
        <w:rPr>
          <w:szCs w:val="22"/>
          <w:lang w:val="fr-CH"/>
        </w:rPr>
        <w:t>678</w:t>
      </w:r>
      <w:r w:rsidR="000A14AD" w:rsidRPr="00D57100">
        <w:rPr>
          <w:szCs w:val="22"/>
          <w:lang w:val="fr-CH"/>
        </w:rPr>
        <w:t xml:space="preserve"> (</w:t>
      </w:r>
      <w:r w:rsidRPr="00D57100">
        <w:rPr>
          <w:szCs w:val="22"/>
          <w:lang w:val="fr-CH"/>
        </w:rPr>
        <w:t>CMR</w:t>
      </w:r>
      <w:r w:rsidR="000A14AD" w:rsidRPr="00D57100">
        <w:rPr>
          <w:szCs w:val="22"/>
          <w:lang w:val="fr-CH"/>
        </w:rPr>
        <w:t>-</w:t>
      </w:r>
      <w:r w:rsidR="003D33FD" w:rsidRPr="00D57100">
        <w:rPr>
          <w:szCs w:val="22"/>
          <w:lang w:val="fr-CH"/>
        </w:rPr>
        <w:t>23</w:t>
      </w:r>
      <w:r w:rsidR="000A14AD" w:rsidRPr="00D57100">
        <w:rPr>
          <w:szCs w:val="22"/>
          <w:lang w:val="fr-CH"/>
        </w:rPr>
        <w:t>)</w:t>
      </w:r>
    </w:p>
    <w:p w14:paraId="0C1AC781" w14:textId="5ED1C867" w:rsidR="003F2AFA" w:rsidRPr="00D57100" w:rsidRDefault="00BF383F" w:rsidP="000071D0">
      <w:pPr>
        <w:pStyle w:val="Heading1"/>
        <w:spacing w:before="300"/>
        <w:ind w:left="0" w:firstLine="0"/>
        <w:jc w:val="center"/>
        <w:rPr>
          <w:lang w:val="fr-CH"/>
        </w:rPr>
      </w:pPr>
      <w:r w:rsidRPr="00D57100">
        <w:rPr>
          <w:lang w:val="fr-CH"/>
        </w:rPr>
        <w:t>Utilisation de la bande de fréquences 14,8-15,35 GHz par le service de recherche spatiale (espace-espace) (Terre vers espace) (espace vers Terre)</w:t>
      </w:r>
      <w:r w:rsidR="00461D63" w:rsidRPr="00D57100">
        <w:rPr>
          <w:lang w:val="fr-CH"/>
        </w:rPr>
        <w:br/>
      </w:r>
      <w:r w:rsidRPr="00D57100">
        <w:rPr>
          <w:lang w:val="fr-CH"/>
        </w:rPr>
        <w:t>et mesures transitoires associées</w:t>
      </w:r>
    </w:p>
    <w:p w14:paraId="6BC33AFC" w14:textId="099A7468" w:rsidR="00800146" w:rsidRPr="00D57100" w:rsidRDefault="00800146" w:rsidP="00800146">
      <w:pPr>
        <w:rPr>
          <w:rFonts w:eastAsiaTheme="minorEastAsia"/>
          <w:lang w:val="fr-CH"/>
        </w:rPr>
      </w:pPr>
      <w:r w:rsidRPr="00D57100">
        <w:rPr>
          <w:rFonts w:eastAsiaTheme="minorEastAsia"/>
          <w:lang w:val="fr-CH"/>
        </w:rPr>
        <w:t>1</w:t>
      </w:r>
      <w:r w:rsidRPr="00D57100">
        <w:rPr>
          <w:rFonts w:eastAsiaTheme="minorEastAsia"/>
          <w:lang w:val="fr-CH"/>
        </w:rPr>
        <w:tab/>
        <w:t xml:space="preserve">Afin que le Bureau puisse examiner le respect du niveau de puissance surfacique indiqué au point 1.1 du </w:t>
      </w:r>
      <w:r w:rsidRPr="00D57100">
        <w:rPr>
          <w:rFonts w:eastAsiaTheme="minorEastAsia"/>
          <w:i/>
          <w:iCs/>
          <w:lang w:val="fr-CH"/>
        </w:rPr>
        <w:t>décide</w:t>
      </w:r>
      <w:r w:rsidRPr="00D57100">
        <w:rPr>
          <w:rFonts w:eastAsiaTheme="minorEastAsia"/>
          <w:lang w:val="fr-CH"/>
        </w:rPr>
        <w:t xml:space="preserve"> de la Résolution </w:t>
      </w:r>
      <w:r w:rsidRPr="00D57100">
        <w:rPr>
          <w:rFonts w:eastAsiaTheme="minorEastAsia"/>
          <w:b/>
          <w:bCs/>
          <w:lang w:val="fr-CH"/>
        </w:rPr>
        <w:t>678 (CMR-23)</w:t>
      </w:r>
      <w:r w:rsidRPr="00D57100">
        <w:rPr>
          <w:rFonts w:eastAsiaTheme="minorEastAsia"/>
          <w:lang w:val="fr-CH"/>
        </w:rPr>
        <w:t xml:space="preserve">, le Comité a décidé que l'engagement de ne pas dépasser le niveau de puissance surfacique de </w:t>
      </w:r>
      <w:r w:rsidR="00BF383F" w:rsidRPr="00D57100">
        <w:rPr>
          <w:lang w:val="fr-CH"/>
        </w:rPr>
        <w:t>−</w:t>
      </w:r>
      <w:r w:rsidRPr="00D57100">
        <w:rPr>
          <w:rFonts w:eastAsiaTheme="minorEastAsia"/>
          <w:lang w:val="fr-CH"/>
        </w:rPr>
        <w:t>156</w:t>
      </w:r>
      <w:r w:rsidR="00BF383F" w:rsidRPr="00D57100">
        <w:rPr>
          <w:rFonts w:eastAsiaTheme="minorEastAsia"/>
          <w:lang w:val="fr-CH"/>
        </w:rPr>
        <w:t> </w:t>
      </w:r>
      <w:r w:rsidRPr="00D57100">
        <w:rPr>
          <w:rFonts w:eastAsiaTheme="minorEastAsia"/>
          <w:lang w:val="fr-CH"/>
        </w:rPr>
        <w:t>dB(W/m</w:t>
      </w:r>
      <w:r w:rsidR="00BF383F" w:rsidRPr="00D57100">
        <w:rPr>
          <w:vertAlign w:val="superscript"/>
          <w:lang w:val="fr-CH"/>
        </w:rPr>
        <w:t>2</w:t>
      </w:r>
      <w:r w:rsidRPr="00D57100">
        <w:rPr>
          <w:rFonts w:eastAsiaTheme="minorEastAsia"/>
          <w:lang w:val="fr-CH"/>
        </w:rPr>
        <w:t>) pendant plus de 2% du temps dans une largeur de bande de 50</w:t>
      </w:r>
      <w:r w:rsidR="00BF383F" w:rsidRPr="00D57100">
        <w:rPr>
          <w:rFonts w:eastAsiaTheme="minorEastAsia"/>
          <w:lang w:val="fr-CH"/>
        </w:rPr>
        <w:t> </w:t>
      </w:r>
      <w:r w:rsidRPr="00D57100">
        <w:rPr>
          <w:rFonts w:eastAsiaTheme="minorEastAsia"/>
          <w:lang w:val="fr-CH"/>
        </w:rPr>
        <w:t>MHz dans la bande de fréquences 15,35-15,4 GHz, sur tout site de radioastronomie faisant des observations dans la bande de fréquences 15,35-15,4 GHz, était nécessaire pour notifier des stations terriennes du service de recherche spatiale dans la bande de fréquences 14,8-15,35 GHz.</w:t>
      </w:r>
    </w:p>
    <w:p w14:paraId="02A668CE" w14:textId="77777777" w:rsidR="00800146" w:rsidRPr="00800146" w:rsidRDefault="00800146" w:rsidP="00800146">
      <w:pPr>
        <w:rPr>
          <w:rFonts w:eastAsiaTheme="minorEastAsia"/>
          <w:lang w:val="fr-FR"/>
        </w:rPr>
      </w:pPr>
      <w:r w:rsidRPr="00800146">
        <w:rPr>
          <w:rFonts w:eastAsiaTheme="minorEastAsia"/>
          <w:lang w:val="fr-FR"/>
        </w:rPr>
        <w:t>2</w:t>
      </w:r>
      <w:r w:rsidRPr="00800146">
        <w:rPr>
          <w:rFonts w:eastAsiaTheme="minorEastAsia"/>
          <w:lang w:val="fr-FR"/>
        </w:rPr>
        <w:tab/>
        <w:t xml:space="preserve">Au point 1.5 du </w:t>
      </w:r>
      <w:r w:rsidRPr="00800146">
        <w:rPr>
          <w:rFonts w:eastAsiaTheme="minorEastAsia"/>
          <w:i/>
          <w:iCs/>
          <w:lang w:val="fr-FR"/>
        </w:rPr>
        <w:t>décide</w:t>
      </w:r>
      <w:r w:rsidRPr="00800146">
        <w:rPr>
          <w:rFonts w:eastAsiaTheme="minorEastAsia"/>
          <w:lang w:val="fr-FR"/>
        </w:rPr>
        <w:t>, trois limites de puissance surfacique à la surface de la Terre sont indiquées comme étant applicables aux stations spatiales du service de recherche spatiale dans la bande de fréquences 14,8-15,35 GHz. La limite de puissance surfacique de −145,6 </w:t>
      </w:r>
      <w:proofErr w:type="gramStart"/>
      <w:r w:rsidRPr="00800146">
        <w:rPr>
          <w:rFonts w:eastAsiaTheme="minorEastAsia"/>
          <w:lang w:val="fr-FR"/>
        </w:rPr>
        <w:t>dB(</w:t>
      </w:r>
      <w:proofErr w:type="gramEnd"/>
      <w:r w:rsidRPr="00800146">
        <w:rPr>
          <w:rFonts w:eastAsiaTheme="minorEastAsia"/>
          <w:lang w:val="fr-FR"/>
        </w:rPr>
        <w:t>W</w:t>
      </w:r>
      <w:proofErr w:type="gramStart"/>
      <w:r w:rsidRPr="00800146">
        <w:rPr>
          <w:rFonts w:eastAsiaTheme="minorEastAsia"/>
          <w:lang w:val="fr-FR"/>
        </w:rPr>
        <w:t>/(</w:t>
      </w:r>
      <w:proofErr w:type="gramEnd"/>
      <w:r w:rsidRPr="00800146">
        <w:rPr>
          <w:rFonts w:eastAsiaTheme="minorEastAsia"/>
          <w:lang w:val="fr-FR"/>
        </w:rPr>
        <w:t>m</w:t>
      </w:r>
      <w:r w:rsidRPr="00800146">
        <w:rPr>
          <w:rFonts w:eastAsiaTheme="minorEastAsia"/>
          <w:vertAlign w:val="superscript"/>
          <w:lang w:val="fr-FR"/>
        </w:rPr>
        <w:t>2</w:t>
      </w:r>
      <w:r w:rsidRPr="00800146">
        <w:rPr>
          <w:rFonts w:eastAsiaTheme="minorEastAsia"/>
          <w:lang w:val="fr-FR"/>
        </w:rPr>
        <w:t xml:space="preserve"> · MHz)) produite en un point quelconque à la surface de la Terre et ne devant pas être dépassée pendant plus de 1% du temps sur une période de 24 heures s'applique aux liaisons espace-espace. Le Comité a décidé que le Bureau devait appliquer la méthode suivante pour formuler des conclusions au titre du numéro </w:t>
      </w:r>
      <w:r w:rsidRPr="00800146">
        <w:rPr>
          <w:rFonts w:eastAsiaTheme="minorEastAsia"/>
          <w:b/>
          <w:bCs/>
          <w:lang w:val="fr-FR"/>
        </w:rPr>
        <w:t>11.31</w:t>
      </w:r>
      <w:r w:rsidRPr="00800146">
        <w:rPr>
          <w:rFonts w:eastAsiaTheme="minorEastAsia"/>
          <w:lang w:val="fr-FR"/>
        </w:rPr>
        <w:t xml:space="preserve"> concernant cette limite de puissance surfacique.</w:t>
      </w:r>
    </w:p>
    <w:p w14:paraId="0E690B94" w14:textId="77777777" w:rsidR="00800146" w:rsidRPr="00800146" w:rsidRDefault="00800146" w:rsidP="00800146">
      <w:pPr>
        <w:rPr>
          <w:rFonts w:eastAsiaTheme="minorEastAsia"/>
          <w:lang w:val="fr-FR"/>
        </w:rPr>
      </w:pPr>
      <w:r w:rsidRPr="00800146">
        <w:rPr>
          <w:rFonts w:eastAsiaTheme="minorEastAsia"/>
          <w:lang w:val="fr-FR"/>
        </w:rPr>
        <w:t>2.1</w:t>
      </w:r>
      <w:r w:rsidRPr="00800146">
        <w:rPr>
          <w:rFonts w:eastAsiaTheme="minorEastAsia"/>
          <w:lang w:val="fr-FR"/>
        </w:rPr>
        <w:tab/>
        <w:t>Sens de transmission</w:t>
      </w:r>
    </w:p>
    <w:p w14:paraId="6EEDD3CD" w14:textId="77777777" w:rsidR="00800146" w:rsidRPr="00800146" w:rsidRDefault="00800146" w:rsidP="00800146">
      <w:pPr>
        <w:rPr>
          <w:rFonts w:eastAsiaTheme="minorEastAsia"/>
          <w:lang w:val="fr-FR"/>
        </w:rPr>
      </w:pPr>
      <w:r w:rsidRPr="00800146">
        <w:rPr>
          <w:rFonts w:eastAsiaTheme="minorEastAsia"/>
          <w:lang w:val="fr-FR"/>
        </w:rPr>
        <w:t>Une conclusion n'est formulée que pour les assignations de fréquence dans les faisceaux d'émission du satellite. Dans le cas d'un faisceau de réception, lorsque l'émission est effectuée par une station spatiale associée, la conclusion est établie pour les assignations de fréquence de cette station spatiale associée.</w:t>
      </w:r>
    </w:p>
    <w:p w14:paraId="34E351AA" w14:textId="77777777" w:rsidR="00800146" w:rsidRPr="00800146" w:rsidRDefault="00800146" w:rsidP="00800146">
      <w:pPr>
        <w:rPr>
          <w:rFonts w:eastAsiaTheme="minorEastAsia"/>
          <w:lang w:val="fr-FR"/>
        </w:rPr>
      </w:pPr>
      <w:r w:rsidRPr="00800146">
        <w:rPr>
          <w:rFonts w:eastAsiaTheme="minorEastAsia"/>
          <w:lang w:val="fr-FR"/>
        </w:rPr>
        <w:t>2.2</w:t>
      </w:r>
      <w:r w:rsidRPr="00800146">
        <w:rPr>
          <w:rFonts w:eastAsiaTheme="minorEastAsia"/>
          <w:lang w:val="fr-FR"/>
        </w:rPr>
        <w:tab/>
        <w:t>Cas où les deux stations spatiales utilisent l'orbite des satellites géostationnaires</w:t>
      </w:r>
    </w:p>
    <w:p w14:paraId="0FC0B9B5" w14:textId="77777777" w:rsidR="00800146" w:rsidRPr="00800146" w:rsidRDefault="00800146" w:rsidP="00800146">
      <w:pPr>
        <w:rPr>
          <w:rFonts w:eastAsiaTheme="minorEastAsia"/>
          <w:lang w:val="fr-FR"/>
        </w:rPr>
      </w:pPr>
      <w:r w:rsidRPr="00800146">
        <w:rPr>
          <w:rFonts w:eastAsiaTheme="minorEastAsia"/>
          <w:lang w:val="fr-FR"/>
        </w:rPr>
        <w:t>Le niveau de puissance surfacique est calculé à l'aide d'une géométrie statique. La limite de puissance surfacique est considérée comme dépassée si le niveau de puissance surfacique de −145,6 </w:t>
      </w:r>
      <w:proofErr w:type="gramStart"/>
      <w:r w:rsidRPr="00800146">
        <w:rPr>
          <w:rFonts w:eastAsiaTheme="minorEastAsia"/>
          <w:lang w:val="fr-FR"/>
        </w:rPr>
        <w:t>dB(</w:t>
      </w:r>
      <w:proofErr w:type="gramEnd"/>
      <w:r w:rsidRPr="00800146">
        <w:rPr>
          <w:rFonts w:eastAsiaTheme="minorEastAsia"/>
          <w:lang w:val="fr-FR"/>
        </w:rPr>
        <w:t>W</w:t>
      </w:r>
      <w:proofErr w:type="gramStart"/>
      <w:r w:rsidRPr="00800146">
        <w:rPr>
          <w:rFonts w:eastAsiaTheme="minorEastAsia"/>
          <w:lang w:val="fr-FR"/>
        </w:rPr>
        <w:t>/(</w:t>
      </w:r>
      <w:proofErr w:type="gramEnd"/>
      <w:r w:rsidRPr="00800146">
        <w:rPr>
          <w:rFonts w:eastAsiaTheme="minorEastAsia"/>
          <w:lang w:val="fr-FR"/>
        </w:rPr>
        <w:t>m</w:t>
      </w:r>
      <w:r w:rsidRPr="00800146">
        <w:rPr>
          <w:rFonts w:eastAsiaTheme="minorEastAsia"/>
          <w:vertAlign w:val="superscript"/>
          <w:lang w:val="fr-FR"/>
        </w:rPr>
        <w:t>2</w:t>
      </w:r>
      <w:r w:rsidRPr="00800146">
        <w:rPr>
          <w:rFonts w:eastAsiaTheme="minorEastAsia"/>
          <w:lang w:val="fr-FR"/>
        </w:rPr>
        <w:t> · MHz)) est dépassée en un point quelconque de la surface de la Terre.</w:t>
      </w:r>
    </w:p>
    <w:p w14:paraId="6FA10B26" w14:textId="77777777" w:rsidR="00800146" w:rsidRPr="00800146" w:rsidRDefault="00800146" w:rsidP="00800146">
      <w:pPr>
        <w:rPr>
          <w:rFonts w:eastAsiaTheme="minorEastAsia"/>
          <w:lang w:val="fr-FR"/>
        </w:rPr>
      </w:pPr>
      <w:r w:rsidRPr="00800146">
        <w:rPr>
          <w:rFonts w:eastAsiaTheme="minorEastAsia"/>
          <w:lang w:val="fr-FR"/>
        </w:rPr>
        <w:t>2.3</w:t>
      </w:r>
      <w:r w:rsidRPr="00800146">
        <w:rPr>
          <w:rFonts w:eastAsiaTheme="minorEastAsia"/>
          <w:lang w:val="fr-FR"/>
        </w:rPr>
        <w:tab/>
        <w:t>Cas où l'une quelconque des stations spatiales utilise une orbite de satellites non géostationnaires</w:t>
      </w:r>
    </w:p>
    <w:p w14:paraId="1035AC11" w14:textId="77777777" w:rsidR="00800146" w:rsidRPr="00800146" w:rsidRDefault="00800146" w:rsidP="00800146">
      <w:pPr>
        <w:rPr>
          <w:rFonts w:eastAsiaTheme="minorEastAsia"/>
          <w:lang w:val="fr-FR"/>
        </w:rPr>
      </w:pPr>
      <w:r w:rsidRPr="00800146">
        <w:rPr>
          <w:rFonts w:eastAsiaTheme="minorEastAsia"/>
          <w:lang w:val="fr-FR"/>
        </w:rPr>
        <w:t>Le niveau de puissance surfacique est calculé à chaque point de la grille à la surface de la Terre au moyen d'une simulation dynamique sur une durée de simulation suffisante. Pour chaque incrément de temps, une liaison espace-espace est établie en utilisant les deux stations spatiales les plus proches.</w:t>
      </w:r>
    </w:p>
    <w:p w14:paraId="1BC99C71" w14:textId="405DC2DB" w:rsidR="00BC68BD" w:rsidRPr="00D57100" w:rsidRDefault="00800146" w:rsidP="00800146">
      <w:pPr>
        <w:rPr>
          <w:lang w:val="fr-CH"/>
        </w:rPr>
      </w:pPr>
      <w:r w:rsidRPr="00800146">
        <w:rPr>
          <w:rFonts w:eastAsiaTheme="minorEastAsia"/>
          <w:lang w:val="fr-FR"/>
        </w:rPr>
        <w:t>Pour déterminer si la limite de puissance surfacique a été dépassée, la période de 24 heures la plus défavorable (c'est-à-dire le nombre maximal d'événements dépassant la valeur de −145,6 </w:t>
      </w:r>
      <w:proofErr w:type="gramStart"/>
      <w:r w:rsidRPr="00800146">
        <w:rPr>
          <w:rFonts w:eastAsiaTheme="minorEastAsia"/>
          <w:lang w:val="fr-FR"/>
        </w:rPr>
        <w:t>dB(</w:t>
      </w:r>
      <w:proofErr w:type="gramEnd"/>
      <w:r w:rsidRPr="00800146">
        <w:rPr>
          <w:rFonts w:eastAsiaTheme="minorEastAsia"/>
          <w:lang w:val="fr-FR"/>
        </w:rPr>
        <w:t>W</w:t>
      </w:r>
      <w:proofErr w:type="gramStart"/>
      <w:r w:rsidRPr="00800146">
        <w:rPr>
          <w:rFonts w:eastAsiaTheme="minorEastAsia"/>
          <w:lang w:val="fr-FR"/>
        </w:rPr>
        <w:t>/(</w:t>
      </w:r>
      <w:proofErr w:type="gramEnd"/>
      <w:r w:rsidRPr="00800146">
        <w:rPr>
          <w:rFonts w:eastAsiaTheme="minorEastAsia"/>
          <w:lang w:val="fr-FR"/>
        </w:rPr>
        <w:t>m</w:t>
      </w:r>
      <w:r w:rsidRPr="00800146">
        <w:rPr>
          <w:rFonts w:eastAsiaTheme="minorEastAsia"/>
          <w:vertAlign w:val="superscript"/>
          <w:lang w:val="fr-FR"/>
        </w:rPr>
        <w:t>2</w:t>
      </w:r>
      <w:r w:rsidRPr="00800146">
        <w:rPr>
          <w:rFonts w:eastAsiaTheme="minorEastAsia"/>
          <w:lang w:val="fr-FR"/>
        </w:rPr>
        <w:t> · MHz)) en tout point de la grille) est prise en considération.</w:t>
      </w:r>
      <w:r w:rsidR="00BC68BD" w:rsidRPr="00D57100">
        <w:rPr>
          <w:lang w:val="fr-CH"/>
        </w:rPr>
        <w:br w:type="page"/>
      </w:r>
    </w:p>
    <w:p w14:paraId="08F320E6" w14:textId="77777777" w:rsidR="00800146" w:rsidRPr="00800146" w:rsidRDefault="00800146" w:rsidP="00800146">
      <w:pPr>
        <w:rPr>
          <w:rFonts w:eastAsiaTheme="minorEastAsia"/>
          <w:lang w:val="fr-FR"/>
        </w:rPr>
      </w:pPr>
      <w:r w:rsidRPr="00800146">
        <w:rPr>
          <w:rFonts w:eastAsiaTheme="minorEastAsia"/>
          <w:lang w:val="fr-FR"/>
        </w:rPr>
        <w:lastRenderedPageBreak/>
        <w:t>2.4</w:t>
      </w:r>
      <w:r w:rsidRPr="00800146">
        <w:rPr>
          <w:rFonts w:eastAsiaTheme="minorEastAsia"/>
          <w:lang w:val="fr-FR"/>
        </w:rPr>
        <w:tab/>
        <w:t>Diagramme de rayonnement de station spatiale</w:t>
      </w:r>
    </w:p>
    <w:p w14:paraId="7241BAC5" w14:textId="77777777" w:rsidR="00800146" w:rsidRPr="00800146" w:rsidRDefault="00800146" w:rsidP="00800146">
      <w:pPr>
        <w:rPr>
          <w:rFonts w:eastAsiaTheme="minorEastAsia"/>
          <w:lang w:val="fr-FR"/>
        </w:rPr>
      </w:pPr>
      <w:r w:rsidRPr="00800146">
        <w:rPr>
          <w:rFonts w:eastAsiaTheme="minorEastAsia"/>
          <w:lang w:val="fr-FR"/>
        </w:rPr>
        <w:t xml:space="preserve">Les administrations qui soumettent </w:t>
      </w:r>
      <w:r w:rsidRPr="00800146">
        <w:rPr>
          <w:lang w:val="fr-FR"/>
        </w:rPr>
        <w:t xml:space="preserve">une fiche de notification concernant des assignations de fréquence à une station spatiale </w:t>
      </w:r>
      <w:r w:rsidRPr="00800146">
        <w:rPr>
          <w:rFonts w:eastAsiaTheme="minorEastAsia"/>
          <w:lang w:val="fr-FR"/>
        </w:rPr>
        <w:t>du service de recherche spatiale dans la bande de fréquences 14,8</w:t>
      </w:r>
      <w:r w:rsidRPr="00800146">
        <w:rPr>
          <w:rFonts w:eastAsiaTheme="minorEastAsia"/>
          <w:lang w:val="fr-FR"/>
        </w:rPr>
        <w:noBreakHyphen/>
        <w:t>15,35 GHz doivent soit indiquer un diagramme de rayonnement d'antenne de station spatiale normalisé, soit saisir un diagramme d'antenne non normalisé dans le logiciel graphique de gestion des brouillages (GIMS).</w:t>
      </w:r>
    </w:p>
    <w:p w14:paraId="5EA6FFA4" w14:textId="77777777" w:rsidR="00800146" w:rsidRPr="00800146" w:rsidRDefault="00800146" w:rsidP="00800146">
      <w:pPr>
        <w:rPr>
          <w:rFonts w:eastAsiaTheme="minorEastAsia"/>
          <w:lang w:val="fr-FR"/>
        </w:rPr>
      </w:pPr>
      <w:r w:rsidRPr="00800146">
        <w:rPr>
          <w:rFonts w:eastAsiaTheme="minorEastAsia"/>
          <w:bCs/>
          <w:lang w:val="fr-FR"/>
        </w:rPr>
        <w:t>2.5</w:t>
      </w:r>
      <w:r w:rsidRPr="00800146">
        <w:rPr>
          <w:rFonts w:eastAsiaTheme="minorEastAsia"/>
          <w:lang w:val="fr-FR"/>
        </w:rPr>
        <w:tab/>
      </w:r>
      <w:r w:rsidRPr="00800146">
        <w:rPr>
          <w:rFonts w:eastAsiaTheme="minorEastAsia"/>
          <w:bCs/>
          <w:lang w:val="fr-FR"/>
        </w:rPr>
        <w:t>Modification de la position orbitale de la station spatiale associée</w:t>
      </w:r>
    </w:p>
    <w:p w14:paraId="47AA1BF5" w14:textId="57C367F2" w:rsidR="00800146" w:rsidRPr="00800146" w:rsidRDefault="00800146" w:rsidP="00800146">
      <w:pPr>
        <w:rPr>
          <w:rFonts w:eastAsiaTheme="minorEastAsia"/>
          <w:lang w:val="fr-FR"/>
        </w:rPr>
      </w:pPr>
      <w:r w:rsidRPr="00800146">
        <w:rPr>
          <w:rFonts w:eastAsiaTheme="minorEastAsia"/>
          <w:lang w:val="fr-FR"/>
        </w:rPr>
        <w:t xml:space="preserve">Dans les cas où </w:t>
      </w:r>
      <w:r w:rsidRPr="00800146">
        <w:rPr>
          <w:lang w:val="fr-FR"/>
        </w:rPr>
        <w:t>une fiche de notification concernant des assignations de fréquence à</w:t>
      </w:r>
      <w:r w:rsidRPr="00800146">
        <w:rPr>
          <w:rFonts w:eastAsiaTheme="minorEastAsia"/>
          <w:lang w:val="fr-FR"/>
        </w:rPr>
        <w:t xml:space="preserve"> une station spatiale </w:t>
      </w:r>
      <w:r w:rsidRPr="00800146">
        <w:rPr>
          <w:lang w:val="fr-FR"/>
        </w:rPr>
        <w:t>du service de recherche spatiale dans la bande de fréquences 14,8-15,35</w:t>
      </w:r>
      <w:r w:rsidR="00BF383F">
        <w:rPr>
          <w:lang w:val="fr-FR"/>
        </w:rPr>
        <w:t> </w:t>
      </w:r>
      <w:r w:rsidRPr="00800146">
        <w:rPr>
          <w:lang w:val="fr-FR"/>
        </w:rPr>
        <w:t>GHz</w:t>
      </w:r>
      <w:r w:rsidRPr="00800146">
        <w:rPr>
          <w:rFonts w:eastAsiaTheme="minorEastAsia"/>
          <w:lang w:val="fr-FR"/>
        </w:rPr>
        <w:t xml:space="preserve"> est soumise en vue d'une coordination, mais que la</w:t>
      </w:r>
      <w:r w:rsidRPr="00800146">
        <w:rPr>
          <w:lang w:val="fr-FR"/>
        </w:rPr>
        <w:t xml:space="preserve"> fiche de notification concernant des assignations de fréquence</w:t>
      </w:r>
      <w:r w:rsidRPr="00800146">
        <w:rPr>
          <w:rFonts w:eastAsiaTheme="minorEastAsia"/>
          <w:lang w:val="fr-FR"/>
        </w:rPr>
        <w:t xml:space="preserve"> de la station spatiale associée sur l'orbite des satellites non géostationnaires n'a pas encore été communiquée au Bureau, celui-ci formule une conclusion favorable conditionnelle qui est réexaminée au stade de la notification.</w:t>
      </w:r>
    </w:p>
    <w:p w14:paraId="63FF56A0" w14:textId="7258EB79" w:rsidR="00800146" w:rsidRPr="00800146" w:rsidRDefault="00800146" w:rsidP="00800146">
      <w:pPr>
        <w:rPr>
          <w:rFonts w:eastAsiaTheme="minorEastAsia"/>
          <w:lang w:val="fr-FR"/>
        </w:rPr>
      </w:pPr>
      <w:r w:rsidRPr="00800146">
        <w:rPr>
          <w:rFonts w:eastAsiaTheme="minorEastAsia"/>
          <w:lang w:val="fr-FR"/>
        </w:rPr>
        <w:t xml:space="preserve">Dans les cas où </w:t>
      </w:r>
      <w:r w:rsidRPr="00800146">
        <w:rPr>
          <w:lang w:val="fr-FR"/>
        </w:rPr>
        <w:t>une fiche de notification concernant des assignations de fréquence à</w:t>
      </w:r>
      <w:r w:rsidRPr="00800146">
        <w:rPr>
          <w:rFonts w:eastAsiaTheme="minorEastAsia"/>
          <w:lang w:val="fr-FR"/>
        </w:rPr>
        <w:t xml:space="preserve"> une station spatiale </w:t>
      </w:r>
      <w:r w:rsidRPr="00800146">
        <w:rPr>
          <w:lang w:val="fr-FR"/>
        </w:rPr>
        <w:t>du service de recherche spatiale dans la bande de fréquences 14,8-15,35</w:t>
      </w:r>
      <w:r w:rsidR="00BF383F">
        <w:rPr>
          <w:lang w:val="fr-FR"/>
        </w:rPr>
        <w:t> </w:t>
      </w:r>
      <w:r w:rsidRPr="00800146">
        <w:rPr>
          <w:lang w:val="fr-FR"/>
        </w:rPr>
        <w:t>GHz</w:t>
      </w:r>
      <w:r w:rsidRPr="00800146">
        <w:rPr>
          <w:rFonts w:eastAsiaTheme="minorEastAsia"/>
          <w:lang w:val="fr-FR"/>
        </w:rPr>
        <w:t xml:space="preserve"> est soumise en vue de la notification, mais que la</w:t>
      </w:r>
      <w:r w:rsidRPr="00800146">
        <w:rPr>
          <w:lang w:val="fr-FR"/>
        </w:rPr>
        <w:t xml:space="preserve"> fiche de notification concernant des assignations de fréquence</w:t>
      </w:r>
      <w:r w:rsidRPr="00800146">
        <w:rPr>
          <w:rFonts w:eastAsiaTheme="minorEastAsia"/>
          <w:lang w:val="fr-FR"/>
        </w:rPr>
        <w:t xml:space="preserve"> de la station spatiale associée pour la publication anticipée ou la coordination, selon le cas, n'a pas encore été reçue, </w:t>
      </w:r>
      <w:r w:rsidRPr="00800146">
        <w:rPr>
          <w:lang w:val="fr-FR"/>
        </w:rPr>
        <w:t>la fiche de notification susmentionnée est</w:t>
      </w:r>
      <w:r w:rsidRPr="00800146">
        <w:rPr>
          <w:rFonts w:eastAsiaTheme="minorEastAsia"/>
          <w:lang w:val="fr-FR"/>
        </w:rPr>
        <w:t xml:space="preserve"> considérée comme non recevable (voir le §</w:t>
      </w:r>
      <w:r w:rsidR="00BF383F">
        <w:rPr>
          <w:rFonts w:eastAsiaTheme="minorEastAsia"/>
          <w:lang w:val="fr-FR"/>
        </w:rPr>
        <w:t> </w:t>
      </w:r>
      <w:r w:rsidRPr="00800146">
        <w:rPr>
          <w:rFonts w:eastAsiaTheme="minorEastAsia"/>
          <w:lang w:val="fr-FR"/>
        </w:rPr>
        <w:t>4.3.3 des règles relatives à la recevabilité).</w:t>
      </w:r>
    </w:p>
    <w:p w14:paraId="01D1B84D" w14:textId="0CD730B2" w:rsidR="00E052A7" w:rsidRDefault="00E052A7" w:rsidP="00D55F11">
      <w:pPr>
        <w:spacing w:before="120"/>
        <w:jc w:val="center"/>
        <w:rPr>
          <w:color w:val="000000"/>
        </w:rPr>
      </w:pPr>
      <w:r>
        <w:rPr>
          <w:color w:val="000000"/>
        </w:rPr>
        <w:t>____________________</w:t>
      </w:r>
    </w:p>
    <w:p w14:paraId="7896D9C9" w14:textId="77777777" w:rsidR="000071D0" w:rsidRDefault="000071D0" w:rsidP="000071D0"/>
    <w:p w14:paraId="54131F9F" w14:textId="77777777" w:rsidR="000071D0" w:rsidRDefault="000071D0" w:rsidP="000071D0"/>
    <w:p w14:paraId="2E7D8DEA" w14:textId="77777777" w:rsidR="000071D0" w:rsidRDefault="000071D0" w:rsidP="000071D0"/>
    <w:p w14:paraId="7D0F4CB9" w14:textId="77777777" w:rsidR="000071D0" w:rsidRDefault="000071D0" w:rsidP="000071D0"/>
    <w:p w14:paraId="36765821" w14:textId="77777777" w:rsidR="000071D0" w:rsidRDefault="000071D0" w:rsidP="000071D0"/>
    <w:p w14:paraId="602C7C3A" w14:textId="77777777" w:rsidR="000071D0" w:rsidRDefault="000071D0" w:rsidP="000071D0"/>
    <w:p w14:paraId="05C6D9FD" w14:textId="77777777" w:rsidR="000071D0" w:rsidRDefault="000071D0" w:rsidP="000071D0"/>
    <w:p w14:paraId="3EE588D8" w14:textId="77777777" w:rsidR="000071D0" w:rsidRDefault="000071D0" w:rsidP="000071D0"/>
    <w:p w14:paraId="7EA41D51" w14:textId="77777777" w:rsidR="000071D0" w:rsidRDefault="000071D0" w:rsidP="000071D0"/>
    <w:p w14:paraId="6BFB545E" w14:textId="77777777" w:rsidR="000071D0" w:rsidRDefault="000071D0" w:rsidP="000071D0"/>
    <w:p w14:paraId="78C25522" w14:textId="77777777" w:rsidR="000071D0" w:rsidRPr="00D55F11" w:rsidRDefault="000071D0" w:rsidP="000071D0"/>
    <w:p w14:paraId="65980689" w14:textId="77777777" w:rsidR="00E052A7" w:rsidRDefault="00E052A7" w:rsidP="0089365D">
      <w:pPr>
        <w:rPr>
          <w:lang w:val="en-US"/>
        </w:rPr>
        <w:sectPr w:rsidR="00E052A7">
          <w:headerReference w:type="even" r:id="rId6"/>
          <w:headerReference w:type="default" r:id="rId7"/>
          <w:footnotePr>
            <w:pos w:val="beneathText"/>
          </w:footnotePr>
          <w:pgSz w:w="11907" w:h="16840" w:code="9"/>
          <w:pgMar w:top="1701" w:right="851" w:bottom="1134" w:left="1985" w:header="720" w:footer="482" w:gutter="0"/>
          <w:cols w:space="720"/>
          <w:vAlign w:val="both"/>
        </w:sectPr>
      </w:pPr>
    </w:p>
    <w:p w14:paraId="143FA831" w14:textId="77777777" w:rsidR="00E052A7" w:rsidRDefault="00E052A7" w:rsidP="0089365D">
      <w:pPr>
        <w:rPr>
          <w:lang w:val="en-US"/>
        </w:rPr>
      </w:pPr>
    </w:p>
    <w:sectPr w:rsidR="00E052A7" w:rsidSect="0089365D">
      <w:headerReference w:type="first" r:id="rId8"/>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CD261B" w14:textId="77777777" w:rsidR="00530B46" w:rsidRDefault="00530B46">
      <w:r>
        <w:separator/>
      </w:r>
    </w:p>
  </w:endnote>
  <w:endnote w:type="continuationSeparator" w:id="0">
    <w:p w14:paraId="23A20FF1" w14:textId="77777777" w:rsidR="00530B46" w:rsidRDefault="00530B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1973F7" w14:textId="77777777" w:rsidR="00530B46" w:rsidRDefault="00530B46">
      <w:r>
        <w:rPr>
          <w:b/>
        </w:rPr>
        <w:t>_______________</w:t>
      </w:r>
    </w:p>
  </w:footnote>
  <w:footnote w:type="continuationSeparator" w:id="0">
    <w:p w14:paraId="7397AD3F" w14:textId="77777777" w:rsidR="00530B46" w:rsidRDefault="00530B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0071D0" w14:paraId="32CEE82A" w14:textId="77777777" w:rsidTr="000071D0">
      <w:trPr>
        <w:cantSplit/>
      </w:trPr>
      <w:tc>
        <w:tcPr>
          <w:tcW w:w="1701" w:type="dxa"/>
          <w:tcBorders>
            <w:top w:val="single" w:sz="6" w:space="0" w:color="auto"/>
            <w:left w:val="single" w:sz="6" w:space="0" w:color="auto"/>
            <w:bottom w:val="single" w:sz="6" w:space="0" w:color="auto"/>
            <w:right w:val="single" w:sz="6" w:space="0" w:color="auto"/>
          </w:tcBorders>
        </w:tcPr>
        <w:p w14:paraId="5F31F06C" w14:textId="0B7D5F14" w:rsidR="000071D0" w:rsidRDefault="00800146" w:rsidP="000071D0">
          <w:pPr>
            <w:pStyle w:val="HeaderRegProc"/>
          </w:pPr>
          <w:proofErr w:type="spellStart"/>
          <w:r>
            <w:t>Partie</w:t>
          </w:r>
          <w:proofErr w:type="spellEnd"/>
          <w:r>
            <w:t xml:space="preserve"> </w:t>
          </w:r>
          <w:r w:rsidR="000071D0">
            <w:t>A1</w:t>
          </w:r>
        </w:p>
      </w:tc>
      <w:tc>
        <w:tcPr>
          <w:tcW w:w="1701" w:type="dxa"/>
          <w:tcBorders>
            <w:top w:val="single" w:sz="6" w:space="0" w:color="auto"/>
            <w:left w:val="single" w:sz="6" w:space="0" w:color="auto"/>
            <w:bottom w:val="single" w:sz="6" w:space="0" w:color="auto"/>
            <w:right w:val="single" w:sz="6" w:space="0" w:color="auto"/>
          </w:tcBorders>
        </w:tcPr>
        <w:p w14:paraId="19E1419E" w14:textId="7D11BE9D" w:rsidR="000071D0" w:rsidRDefault="000071D0" w:rsidP="000071D0">
          <w:pPr>
            <w:pStyle w:val="HeaderRegProc"/>
            <w:rPr>
              <w:lang w:val="fr-FR"/>
            </w:rPr>
          </w:pPr>
          <w:r>
            <w:t>R</w:t>
          </w:r>
          <w:r w:rsidR="00593B81">
            <w:t>E</w:t>
          </w:r>
          <w:r>
            <w:t>S678</w:t>
          </w:r>
        </w:p>
      </w:tc>
      <w:tc>
        <w:tcPr>
          <w:tcW w:w="1701" w:type="dxa"/>
          <w:tcBorders>
            <w:top w:val="single" w:sz="6" w:space="0" w:color="auto"/>
            <w:left w:val="single" w:sz="6" w:space="0" w:color="auto"/>
            <w:bottom w:val="single" w:sz="6" w:space="0" w:color="auto"/>
            <w:right w:val="single" w:sz="6" w:space="0" w:color="auto"/>
          </w:tcBorders>
        </w:tcPr>
        <w:p w14:paraId="719F10D4" w14:textId="77777777" w:rsidR="000071D0" w:rsidRDefault="000071D0" w:rsidP="000071D0">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7E558B53" w14:textId="180FA173" w:rsidR="000071D0" w:rsidRDefault="000071D0" w:rsidP="000071D0">
          <w:pPr>
            <w:pStyle w:val="HeaderRegProc"/>
            <w:rPr>
              <w:lang w:val="fr-CH"/>
            </w:rPr>
          </w:pPr>
          <w:proofErr w:type="gramStart"/>
          <w:r>
            <w:rPr>
              <w:lang w:val="fr-CH"/>
            </w:rPr>
            <w:t>r</w:t>
          </w:r>
          <w:r w:rsidR="00800146">
            <w:rPr>
              <w:lang w:val="fr-CH"/>
            </w:rPr>
            <w:t>é</w:t>
          </w:r>
          <w:r>
            <w:rPr>
              <w:lang w:val="fr-CH"/>
            </w:rPr>
            <w:t>v</w:t>
          </w:r>
          <w:proofErr w:type="gramEnd"/>
          <w:r>
            <w:rPr>
              <w:lang w:val="fr-CH"/>
            </w:rPr>
            <w:t xml:space="preserve">. </w:t>
          </w:r>
          <w:r w:rsidR="00D57100">
            <w:rPr>
              <w:lang w:val="fr-CH"/>
            </w:rPr>
            <w:t>-</w:t>
          </w:r>
        </w:p>
      </w:tc>
    </w:tr>
  </w:tbl>
  <w:p w14:paraId="430F01B3" w14:textId="77777777" w:rsidR="000A14AD" w:rsidRPr="000071D0" w:rsidRDefault="000A14AD" w:rsidP="000071D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0A14AD" w14:paraId="43B5D11C"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5DF2A2E8" w14:textId="0E102505" w:rsidR="000A14AD" w:rsidRDefault="000A14AD" w:rsidP="001221BA">
          <w:pPr>
            <w:pStyle w:val="HeaderRegProc"/>
          </w:pPr>
          <w:proofErr w:type="spellStart"/>
          <w:r>
            <w:t>Part</w:t>
          </w:r>
          <w:r w:rsidR="00800146">
            <w:t>ie</w:t>
          </w:r>
          <w:proofErr w:type="spellEnd"/>
          <w:r>
            <w:t xml:space="preserve"> A1</w:t>
          </w:r>
        </w:p>
      </w:tc>
      <w:tc>
        <w:tcPr>
          <w:tcW w:w="1701" w:type="dxa"/>
          <w:tcBorders>
            <w:top w:val="single" w:sz="6" w:space="0" w:color="auto"/>
            <w:left w:val="single" w:sz="6" w:space="0" w:color="auto"/>
            <w:bottom w:val="single" w:sz="6" w:space="0" w:color="auto"/>
            <w:right w:val="single" w:sz="6" w:space="0" w:color="auto"/>
          </w:tcBorders>
        </w:tcPr>
        <w:p w14:paraId="406085C2" w14:textId="24E8351F" w:rsidR="000A14AD" w:rsidRDefault="000A14AD" w:rsidP="001221BA">
          <w:pPr>
            <w:pStyle w:val="HeaderRegProc"/>
            <w:rPr>
              <w:lang w:val="fr-FR"/>
            </w:rPr>
          </w:pPr>
          <w:r>
            <w:t>R</w:t>
          </w:r>
          <w:r w:rsidR="00593B81">
            <w:t>E</w:t>
          </w:r>
          <w:r>
            <w:t>S</w:t>
          </w:r>
          <w:r w:rsidR="003D33FD">
            <w:t>678</w:t>
          </w:r>
        </w:p>
      </w:tc>
      <w:tc>
        <w:tcPr>
          <w:tcW w:w="1701" w:type="dxa"/>
          <w:tcBorders>
            <w:top w:val="single" w:sz="6" w:space="0" w:color="auto"/>
            <w:left w:val="single" w:sz="6" w:space="0" w:color="auto"/>
            <w:bottom w:val="single" w:sz="6" w:space="0" w:color="auto"/>
            <w:right w:val="single" w:sz="6" w:space="0" w:color="auto"/>
          </w:tcBorders>
        </w:tcPr>
        <w:p w14:paraId="51F83765" w14:textId="77777777" w:rsidR="000A14AD" w:rsidRDefault="000A14AD">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3A720851" w14:textId="697D15C4" w:rsidR="000A14AD" w:rsidRDefault="000A14AD" w:rsidP="006A4C0E">
          <w:pPr>
            <w:pStyle w:val="HeaderRegProc"/>
            <w:rPr>
              <w:lang w:val="fr-CH"/>
            </w:rPr>
          </w:pPr>
          <w:proofErr w:type="gramStart"/>
          <w:r>
            <w:rPr>
              <w:lang w:val="fr-CH"/>
            </w:rPr>
            <w:t>r</w:t>
          </w:r>
          <w:r w:rsidR="00800146">
            <w:rPr>
              <w:lang w:val="fr-CH"/>
            </w:rPr>
            <w:t>é</w:t>
          </w:r>
          <w:r>
            <w:rPr>
              <w:lang w:val="fr-CH"/>
            </w:rPr>
            <w:t>v</w:t>
          </w:r>
          <w:proofErr w:type="gramEnd"/>
          <w:r>
            <w:rPr>
              <w:lang w:val="fr-CH"/>
            </w:rPr>
            <w:t>.</w:t>
          </w:r>
          <w:r w:rsidR="000E7624">
            <w:rPr>
              <w:lang w:val="fr-CH"/>
            </w:rPr>
            <w:t xml:space="preserve"> </w:t>
          </w:r>
          <w:r w:rsidR="00D57100">
            <w:rPr>
              <w:lang w:val="fr-CH"/>
            </w:rPr>
            <w:t>-</w:t>
          </w:r>
        </w:p>
      </w:tc>
    </w:tr>
  </w:tbl>
  <w:p w14:paraId="3123F62A" w14:textId="77777777" w:rsidR="000A14AD" w:rsidRDefault="000A14A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8EE4F4" w14:textId="77777777" w:rsidR="00E052A7" w:rsidRDefault="00E052A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mirrorMargin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052A7"/>
    <w:rsid w:val="000071D0"/>
    <w:rsid w:val="000A14AD"/>
    <w:rsid w:val="000B52F9"/>
    <w:rsid w:val="000D1D6D"/>
    <w:rsid w:val="000E051F"/>
    <w:rsid w:val="000E7624"/>
    <w:rsid w:val="000F7D8B"/>
    <w:rsid w:val="00117C3F"/>
    <w:rsid w:val="001221BA"/>
    <w:rsid w:val="001A7879"/>
    <w:rsid w:val="001B1BDB"/>
    <w:rsid w:val="0023244B"/>
    <w:rsid w:val="002A688C"/>
    <w:rsid w:val="002E60F1"/>
    <w:rsid w:val="002F6FCF"/>
    <w:rsid w:val="0031098C"/>
    <w:rsid w:val="00382B7D"/>
    <w:rsid w:val="003B50A6"/>
    <w:rsid w:val="003D33FD"/>
    <w:rsid w:val="003E1D7F"/>
    <w:rsid w:val="003F0B46"/>
    <w:rsid w:val="003F2AFA"/>
    <w:rsid w:val="00442396"/>
    <w:rsid w:val="00461D63"/>
    <w:rsid w:val="00526977"/>
    <w:rsid w:val="00530B46"/>
    <w:rsid w:val="00545224"/>
    <w:rsid w:val="005525D9"/>
    <w:rsid w:val="00593B81"/>
    <w:rsid w:val="00636EA8"/>
    <w:rsid w:val="006948D0"/>
    <w:rsid w:val="006A4C0E"/>
    <w:rsid w:val="006C2C76"/>
    <w:rsid w:val="0075378D"/>
    <w:rsid w:val="00762ECE"/>
    <w:rsid w:val="00771BBD"/>
    <w:rsid w:val="007E3EEF"/>
    <w:rsid w:val="00800146"/>
    <w:rsid w:val="00824378"/>
    <w:rsid w:val="00844A76"/>
    <w:rsid w:val="0089365D"/>
    <w:rsid w:val="008A34C6"/>
    <w:rsid w:val="009160E6"/>
    <w:rsid w:val="00935263"/>
    <w:rsid w:val="009421B6"/>
    <w:rsid w:val="00963257"/>
    <w:rsid w:val="0099265C"/>
    <w:rsid w:val="00A70933"/>
    <w:rsid w:val="00AC7611"/>
    <w:rsid w:val="00B84975"/>
    <w:rsid w:val="00BA6673"/>
    <w:rsid w:val="00BC68BD"/>
    <w:rsid w:val="00BF383F"/>
    <w:rsid w:val="00C344DE"/>
    <w:rsid w:val="00C73FC1"/>
    <w:rsid w:val="00C91547"/>
    <w:rsid w:val="00C92907"/>
    <w:rsid w:val="00CC1BC0"/>
    <w:rsid w:val="00D41107"/>
    <w:rsid w:val="00D55F11"/>
    <w:rsid w:val="00D57100"/>
    <w:rsid w:val="00DA610C"/>
    <w:rsid w:val="00E052A7"/>
    <w:rsid w:val="00E224FB"/>
    <w:rsid w:val="00E40145"/>
    <w:rsid w:val="00E557EE"/>
    <w:rsid w:val="00E70951"/>
    <w:rsid w:val="00F17911"/>
    <w:rsid w:val="00F42529"/>
    <w:rsid w:val="00F715D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6B106E"/>
  <w15:docId w15:val="{3A873873-15E5-4745-824A-8F7BDFD5FD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aliases w:val="h1"/>
    <w:basedOn w:val="Normal"/>
    <w:next w:val="Normal"/>
    <w:qFormat/>
    <w:pPr>
      <w:keepNext/>
      <w:keepLines/>
      <w:tabs>
        <w:tab w:val="clear" w:pos="2268"/>
      </w:tabs>
      <w:spacing w:before="600"/>
      <w:ind w:left="1134" w:hanging="1134"/>
      <w:outlineLvl w:val="0"/>
    </w:pPr>
    <w:rPr>
      <w:b/>
      <w:sz w:val="28"/>
    </w:rPr>
  </w:style>
  <w:style w:type="paragraph" w:styleId="Heading2">
    <w:name w:val="heading 2"/>
    <w:aliases w:val="h2,UNDERRUBRIK 1-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aliases w:val="Appel note de bas de p,Footnote Reference/"/>
    <w:basedOn w:val="DefaultParagraphFont"/>
    <w:rPr>
      <w:position w:val="6"/>
      <w:sz w:val="16"/>
    </w:rPr>
  </w:style>
  <w:style w:type="paragraph" w:styleId="FootnoteText">
    <w:name w:val="footnote text"/>
    <w:basedOn w:val="Normal"/>
    <w:link w:val="FootnoteTextChar"/>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 w:type="character" w:customStyle="1" w:styleId="Artref0">
    <w:name w:val="Art#_ref"/>
    <w:basedOn w:val="DefaultParagraphFont"/>
  </w:style>
  <w:style w:type="character" w:customStyle="1" w:styleId="Resref0">
    <w:name w:val="Res#_ref"/>
    <w:basedOn w:val="DefaultParagraphFont"/>
  </w:style>
  <w:style w:type="character" w:customStyle="1" w:styleId="FootnoteTextChar">
    <w:name w:val="Footnote Text Char"/>
    <w:basedOn w:val="DefaultParagraphFont"/>
    <w:link w:val="FootnoteText"/>
    <w:rsid w:val="000A14AD"/>
    <w:rPr>
      <w:lang w:val="en-GB" w:eastAsia="en-US"/>
    </w:rPr>
  </w:style>
  <w:style w:type="paragraph" w:styleId="ListParagraph">
    <w:name w:val="List Paragraph"/>
    <w:basedOn w:val="Normal"/>
    <w:uiPriority w:val="34"/>
    <w:qFormat/>
    <w:rsid w:val="001B1BDB"/>
    <w:pPr>
      <w:ind w:left="720"/>
      <w:contextualSpacing/>
    </w:pPr>
  </w:style>
  <w:style w:type="paragraph" w:customStyle="1" w:styleId="Normalaftertitle0">
    <w:name w:val="Normal_after_title"/>
    <w:basedOn w:val="Normal"/>
    <w:next w:val="Normal"/>
    <w:rsid w:val="00800146"/>
    <w:pPr>
      <w:tabs>
        <w:tab w:val="clear" w:pos="1134"/>
        <w:tab w:val="clear" w:pos="1871"/>
        <w:tab w:val="clear" w:pos="2268"/>
        <w:tab w:val="left" w:pos="794"/>
        <w:tab w:val="left" w:pos="1191"/>
        <w:tab w:val="left" w:pos="1588"/>
        <w:tab w:val="left" w:pos="1985"/>
      </w:tabs>
      <w:spacing w:before="360"/>
      <w:jc w:val="left"/>
    </w:pPr>
    <w:rPr>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ammouni\AppData\Roaming\Microsoft\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Regl_proc02.dot</Template>
  <TotalTime>75</TotalTime>
  <Pages>3</Pages>
  <Words>690</Words>
  <Characters>3784</Characters>
  <Application>Microsoft Office Word</Application>
  <DocSecurity>0</DocSecurity>
  <Lines>172</Lines>
  <Paragraphs>149</Paragraphs>
  <ScaleCrop>false</ScaleCrop>
  <HeadingPairs>
    <vt:vector size="2" baseType="variant">
      <vt:variant>
        <vt:lpstr>Title</vt:lpstr>
      </vt:variant>
      <vt:variant>
        <vt:i4>1</vt:i4>
      </vt:variant>
    </vt:vector>
  </HeadingPairs>
  <TitlesOfParts>
    <vt:vector size="1" baseType="lpstr">
      <vt:lpstr>Règles de procédures / Edition 2021</vt:lpstr>
    </vt:vector>
  </TitlesOfParts>
  <Manager>CP--107223/DD</Manager>
  <Company>ITU</Company>
  <LinksUpToDate>false</LinksUpToDate>
  <CharactersWithSpaces>4325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2025</dc:title>
  <dc:subject/>
  <dc:creator/>
  <cp:keywords/>
  <dc:description/>
  <cp:lastModifiedBy>Gachet, Christelle</cp:lastModifiedBy>
  <cp:revision>36</cp:revision>
  <cp:lastPrinted>2024-11-28T12:33:00Z</cp:lastPrinted>
  <dcterms:created xsi:type="dcterms:W3CDTF">2020-11-18T16:15:00Z</dcterms:created>
  <dcterms:modified xsi:type="dcterms:W3CDTF">2025-11-25T14:15:00Z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