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D8DA1F" w14:textId="0C208E89" w:rsidR="000A14AD" w:rsidRPr="002007AA" w:rsidRDefault="00EC4FE1" w:rsidP="002007AA">
      <w:pPr>
        <w:pStyle w:val="Heading1"/>
        <w:spacing w:before="360"/>
        <w:jc w:val="center"/>
        <w:rPr>
          <w:rFonts w:asciiTheme="majorBidi" w:hAnsiTheme="majorBidi" w:cstheme="majorBidi"/>
          <w:lang w:val="fr-FR"/>
        </w:rPr>
      </w:pPr>
      <w:r w:rsidRPr="002007AA">
        <w:rPr>
          <w:rFonts w:asciiTheme="majorBidi" w:hAnsiTheme="majorBidi" w:cstheme="majorBidi"/>
          <w:lang w:val="fr-FR"/>
        </w:rPr>
        <w:t>Règles relatives à la</w:t>
      </w:r>
    </w:p>
    <w:p w14:paraId="3656FCD0" w14:textId="794E02EB" w:rsidR="004D3C1E" w:rsidRPr="007A6872" w:rsidRDefault="004D3C1E" w:rsidP="007A6872">
      <w:pPr>
        <w:pStyle w:val="Res0"/>
      </w:pPr>
      <w:r w:rsidRPr="007A6872">
        <w:t>R</w:t>
      </w:r>
      <w:r w:rsidRPr="007A6872">
        <w:rPr>
          <w:rFonts w:ascii="Times New Roman" w:hAnsi="Times New Roman" w:cs="Times New Roman"/>
        </w:rPr>
        <w:t>ÉSOLUTION</w:t>
      </w:r>
      <w:r w:rsidRPr="007A6872">
        <w:t xml:space="preserve"> 559 (CMR-19)</w:t>
      </w:r>
    </w:p>
    <w:p w14:paraId="422D7CA6" w14:textId="4CFDE44C" w:rsidR="004D3C1E" w:rsidRPr="00AE6875" w:rsidRDefault="004D3C1E" w:rsidP="004F4FF3">
      <w:pPr>
        <w:pStyle w:val="Restitle"/>
        <w:rPr>
          <w:lang w:val="fr-CH"/>
        </w:rPr>
      </w:pPr>
      <w:r w:rsidRPr="00AE6875">
        <w:rPr>
          <w:lang w:val="fr-CH"/>
        </w:rPr>
        <w:t>Mesures réglementaires additionnelles provisoires découlant de la suppression d'une partie de l'Annexe 7 de l'Appendice 30</w:t>
      </w:r>
      <w:r w:rsidRPr="00AE6875">
        <w:rPr>
          <w:lang w:val="fr-CH"/>
        </w:rPr>
        <w:br/>
        <w:t>(Rév.CMR-15) par la CMR-19</w:t>
      </w:r>
    </w:p>
    <w:p w14:paraId="6613C8EA" w14:textId="000CE982" w:rsidR="004D3C1E" w:rsidRPr="004F4FF3" w:rsidRDefault="004D3C1E" w:rsidP="004F4FF3">
      <w:pPr>
        <w:rPr>
          <w:i/>
          <w:iCs/>
          <w:lang w:val="fr-FR"/>
        </w:rPr>
      </w:pPr>
      <w:proofErr w:type="gramStart"/>
      <w:r w:rsidRPr="002007AA">
        <w:rPr>
          <w:b/>
          <w:bCs/>
          <w:lang w:val="fr-FR"/>
        </w:rPr>
        <w:t>Note</w:t>
      </w:r>
      <w:r w:rsidRPr="002007AA">
        <w:rPr>
          <w:lang w:val="fr-FR"/>
        </w:rPr>
        <w:t>:</w:t>
      </w:r>
      <w:proofErr w:type="gramEnd"/>
      <w:r w:rsidRPr="002007AA">
        <w:rPr>
          <w:lang w:val="fr-FR"/>
        </w:rPr>
        <w:t xml:space="preserve"> La CMR-23 a pris la décision suivante concernant les questions relatives à la mise en</w:t>
      </w:r>
      <w:r w:rsidRPr="004D3C1E">
        <w:rPr>
          <w:lang w:val="fr-FR"/>
        </w:rPr>
        <w:t> </w:t>
      </w:r>
      <w:r w:rsidRPr="002007AA">
        <w:rPr>
          <w:lang w:val="fr-FR"/>
        </w:rPr>
        <w:t xml:space="preserve">œuvre de la Résolution </w:t>
      </w:r>
      <w:r w:rsidRPr="002007AA">
        <w:rPr>
          <w:b/>
          <w:bCs/>
          <w:lang w:val="fr-FR"/>
        </w:rPr>
        <w:t>559 (CMR-19)</w:t>
      </w:r>
      <w:r w:rsidRPr="002007AA">
        <w:rPr>
          <w:lang w:val="fr-FR"/>
        </w:rPr>
        <w:t xml:space="preserve">, voir le paragraphe 13.2 du procès-verbal de la 13ème séance plénière, Document </w:t>
      </w:r>
      <w:hyperlink r:id="rId6" w:history="1">
        <w:r w:rsidRPr="002007AA">
          <w:rPr>
            <w:rStyle w:val="Hyperlink"/>
            <w:rFonts w:asciiTheme="majorBidi" w:hAnsiTheme="majorBidi" w:cstheme="majorBidi"/>
            <w:lang w:val="fr-FR"/>
          </w:rPr>
          <w:t>CMR23/528</w:t>
        </w:r>
      </w:hyperlink>
      <w:r w:rsidRPr="002007AA">
        <w:rPr>
          <w:lang w:val="fr-FR"/>
        </w:rPr>
        <w:t>:</w:t>
      </w:r>
    </w:p>
    <w:p w14:paraId="200FA655" w14:textId="1C594832" w:rsidR="004D3C1E" w:rsidRPr="004F4FF3" w:rsidRDefault="004D3C1E" w:rsidP="004F4FF3">
      <w:pPr>
        <w:rPr>
          <w:rFonts w:asciiTheme="majorBidi" w:hAnsiTheme="majorBidi" w:cstheme="majorBidi"/>
          <w:i/>
          <w:iCs/>
          <w:lang w:val="fr-FR"/>
        </w:rPr>
      </w:pPr>
      <w:proofErr w:type="gramStart"/>
      <w:r w:rsidRPr="002007AA">
        <w:rPr>
          <w:rFonts w:asciiTheme="majorBidi" w:hAnsiTheme="majorBidi" w:cstheme="majorBidi"/>
          <w:i/>
          <w:iCs/>
          <w:lang w:val="fr-FR"/>
        </w:rPr>
        <w:t>«Lors</w:t>
      </w:r>
      <w:proofErr w:type="gramEnd"/>
      <w:r w:rsidRPr="002007AA">
        <w:rPr>
          <w:rFonts w:asciiTheme="majorBidi" w:hAnsiTheme="majorBidi" w:cstheme="majorBidi"/>
          <w:i/>
          <w:iCs/>
          <w:lang w:val="fr-FR"/>
        </w:rPr>
        <w:t xml:space="preserve"> de l'examen du paragraphe 4.2 du rapport</w:t>
      </w:r>
      <w:proofErr w:type="gramStart"/>
      <w:r w:rsidRPr="002007AA">
        <w:rPr>
          <w:rFonts w:asciiTheme="majorBidi" w:hAnsiTheme="majorBidi" w:cstheme="majorBidi"/>
          <w:i/>
          <w:iCs/>
          <w:lang w:val="fr-FR"/>
        </w:rPr>
        <w:t xml:space="preserve"> «Questions</w:t>
      </w:r>
      <w:proofErr w:type="gramEnd"/>
      <w:r w:rsidRPr="002007AA">
        <w:rPr>
          <w:rFonts w:asciiTheme="majorBidi" w:hAnsiTheme="majorBidi" w:cstheme="majorBidi"/>
          <w:i/>
          <w:iCs/>
          <w:lang w:val="fr-FR"/>
        </w:rPr>
        <w:t xml:space="preserve"> relatives à la mise en œuvre de la Résolution </w:t>
      </w:r>
      <w:r w:rsidRPr="002007AA">
        <w:rPr>
          <w:rFonts w:asciiTheme="majorBidi" w:hAnsiTheme="majorBidi" w:cstheme="majorBidi"/>
          <w:b/>
          <w:bCs/>
          <w:i/>
          <w:iCs/>
          <w:lang w:val="fr-FR"/>
        </w:rPr>
        <w:t>559 (CMR-19</w:t>
      </w:r>
      <w:proofErr w:type="gramStart"/>
      <w:r w:rsidRPr="002007AA">
        <w:rPr>
          <w:rFonts w:asciiTheme="majorBidi" w:hAnsiTheme="majorBidi" w:cstheme="majorBidi"/>
          <w:b/>
          <w:bCs/>
          <w:i/>
          <w:iCs/>
          <w:lang w:val="fr-FR"/>
        </w:rPr>
        <w:t>)</w:t>
      </w:r>
      <w:r w:rsidRPr="002007AA">
        <w:rPr>
          <w:rFonts w:asciiTheme="majorBidi" w:hAnsiTheme="majorBidi" w:cstheme="majorBidi"/>
          <w:i/>
          <w:iCs/>
          <w:lang w:val="fr-FR"/>
        </w:rPr>
        <w:t>»</w:t>
      </w:r>
      <w:proofErr w:type="gramEnd"/>
      <w:r w:rsidRPr="002007AA">
        <w:rPr>
          <w:rFonts w:asciiTheme="majorBidi" w:hAnsiTheme="majorBidi" w:cstheme="majorBidi"/>
          <w:i/>
          <w:iCs/>
          <w:lang w:val="fr-FR"/>
        </w:rPr>
        <w:t>, la CMR-23 a également examiné le Document 87(Add.</w:t>
      </w:r>
      <w:proofErr w:type="gramStart"/>
      <w:r w:rsidRPr="002007AA">
        <w:rPr>
          <w:rFonts w:asciiTheme="majorBidi" w:hAnsiTheme="majorBidi" w:cstheme="majorBidi"/>
          <w:i/>
          <w:iCs/>
          <w:lang w:val="fr-FR"/>
        </w:rPr>
        <w:t>26)(</w:t>
      </w:r>
      <w:proofErr w:type="gramEnd"/>
      <w:r w:rsidRPr="002007AA">
        <w:rPr>
          <w:rFonts w:asciiTheme="majorBidi" w:hAnsiTheme="majorBidi" w:cstheme="majorBidi"/>
          <w:i/>
          <w:iCs/>
          <w:lang w:val="fr-FR"/>
        </w:rPr>
        <w:t>Add.2). En plus des mesures additionnelles proposées par le Comité pour mettre en œuvre la Résolution</w:t>
      </w:r>
      <w:r w:rsidR="002007AA">
        <w:rPr>
          <w:rFonts w:asciiTheme="majorBidi" w:hAnsiTheme="majorBidi" w:cstheme="majorBidi"/>
          <w:i/>
          <w:iCs/>
          <w:lang w:val="fr-FR"/>
        </w:rPr>
        <w:t> </w:t>
      </w:r>
      <w:r w:rsidRPr="002007AA">
        <w:rPr>
          <w:rFonts w:asciiTheme="majorBidi" w:hAnsiTheme="majorBidi" w:cstheme="majorBidi"/>
          <w:b/>
          <w:bCs/>
          <w:i/>
          <w:iCs/>
          <w:lang w:val="fr-FR"/>
        </w:rPr>
        <w:t>559 (CMR</w:t>
      </w:r>
      <w:r w:rsidRPr="002007AA">
        <w:rPr>
          <w:rFonts w:asciiTheme="majorBidi" w:hAnsiTheme="majorBidi" w:cstheme="majorBidi"/>
          <w:b/>
          <w:bCs/>
          <w:i/>
          <w:iCs/>
          <w:lang w:val="fr-FR"/>
        </w:rPr>
        <w:noBreakHyphen/>
        <w:t>19)</w:t>
      </w:r>
      <w:r w:rsidRPr="002007AA">
        <w:rPr>
          <w:rFonts w:asciiTheme="majorBidi" w:hAnsiTheme="majorBidi" w:cstheme="majorBidi"/>
          <w:i/>
          <w:iCs/>
          <w:lang w:val="fr-FR"/>
        </w:rPr>
        <w:t xml:space="preserve">, </w:t>
      </w:r>
      <w:r w:rsidRPr="002007AA">
        <w:rPr>
          <w:rFonts w:asciiTheme="majorBidi" w:hAnsiTheme="majorBidi" w:cstheme="majorBidi"/>
          <w:bCs/>
          <w:i/>
          <w:iCs/>
          <w:lang w:val="fr-FR"/>
        </w:rPr>
        <w:t>lesquelles ont toutes été approuvées</w:t>
      </w:r>
      <w:r w:rsidRPr="002007AA">
        <w:rPr>
          <w:rFonts w:asciiTheme="majorBidi" w:hAnsiTheme="majorBidi" w:cstheme="majorBidi"/>
          <w:i/>
          <w:iCs/>
          <w:lang w:val="fr-FR"/>
        </w:rPr>
        <w:t xml:space="preserve">, ce Document contient toutes les propositions de mesures additionnelles devant être approuvées à la présente CMR pour contribuer à résoudre les cas de coordination en instance comme </w:t>
      </w:r>
      <w:proofErr w:type="gramStart"/>
      <w:r w:rsidRPr="002007AA">
        <w:rPr>
          <w:rFonts w:asciiTheme="majorBidi" w:hAnsiTheme="majorBidi" w:cstheme="majorBidi"/>
          <w:i/>
          <w:iCs/>
          <w:lang w:val="fr-FR"/>
        </w:rPr>
        <w:t>suit:</w:t>
      </w:r>
      <w:proofErr w:type="gramEnd"/>
    </w:p>
    <w:p w14:paraId="136CBEE2" w14:textId="77777777" w:rsidR="004D3C1E" w:rsidRPr="004F4FF3" w:rsidRDefault="004D3C1E" w:rsidP="004F4FF3">
      <w:pPr>
        <w:pStyle w:val="enumlev1"/>
        <w:rPr>
          <w:i/>
          <w:iCs/>
          <w:lang w:val="fr-FR"/>
        </w:rPr>
      </w:pPr>
      <w:r w:rsidRPr="002007AA">
        <w:rPr>
          <w:i/>
          <w:iCs/>
          <w:lang w:val="fr-FR"/>
        </w:rPr>
        <w:t>1)</w:t>
      </w:r>
      <w:r w:rsidRPr="002007AA">
        <w:rPr>
          <w:i/>
          <w:iCs/>
          <w:lang w:val="fr-FR"/>
        </w:rPr>
        <w:tab/>
        <w:t>En ce qui concerne les cas de coordination en instance au titre du § 4.1.1 b) de l'Appendice </w:t>
      </w:r>
      <w:r w:rsidRPr="002007AA">
        <w:rPr>
          <w:b/>
          <w:i/>
          <w:iCs/>
          <w:lang w:val="fr-FR"/>
        </w:rPr>
        <w:t>30</w:t>
      </w:r>
      <w:r w:rsidRPr="002007AA">
        <w:rPr>
          <w:i/>
          <w:iCs/>
          <w:lang w:val="fr-FR"/>
        </w:rPr>
        <w:t xml:space="preserve"> du RR, la CMR-23 a approuvé les mesures </w:t>
      </w:r>
      <w:proofErr w:type="gramStart"/>
      <w:r w:rsidRPr="002007AA">
        <w:rPr>
          <w:i/>
          <w:iCs/>
          <w:lang w:val="fr-FR"/>
        </w:rPr>
        <w:t>suivantes:</w:t>
      </w:r>
      <w:proofErr w:type="gramEnd"/>
    </w:p>
    <w:p w14:paraId="4DE399D3" w14:textId="77777777" w:rsidR="004D3C1E" w:rsidRPr="004F4FF3" w:rsidRDefault="004D3C1E" w:rsidP="004F4FF3">
      <w:pPr>
        <w:pStyle w:val="enumlev2"/>
        <w:rPr>
          <w:i/>
          <w:iCs/>
          <w:lang w:val="fr-FR"/>
        </w:rPr>
      </w:pPr>
      <w:r w:rsidRPr="002007AA">
        <w:rPr>
          <w:i/>
          <w:iCs/>
          <w:lang w:val="fr-FR"/>
        </w:rPr>
        <w:t>a)</w:t>
      </w:r>
      <w:r w:rsidRPr="002007AA">
        <w:rPr>
          <w:i/>
          <w:iCs/>
          <w:lang w:val="fr-FR"/>
        </w:rPr>
        <w:tab/>
        <w:t>l'administration notificatrice d'une utilisation additionnelle (c'est</w:t>
      </w:r>
      <w:r w:rsidRPr="002007AA">
        <w:rPr>
          <w:i/>
          <w:iCs/>
          <w:lang w:val="fr-FR"/>
        </w:rPr>
        <w:noBreakHyphen/>
        <w:t>à</w:t>
      </w:r>
      <w:r w:rsidRPr="002007AA">
        <w:rPr>
          <w:i/>
          <w:iCs/>
          <w:lang w:val="fr-FR"/>
        </w:rPr>
        <w:noBreakHyphen/>
        <w:t>dire les assignations figurant dans la Liste et/ou les réseaux en instance au titre de l'Article </w:t>
      </w:r>
      <w:r w:rsidRPr="002007AA">
        <w:rPr>
          <w:b/>
          <w:bCs/>
          <w:i/>
          <w:iCs/>
          <w:lang w:val="fr-FR"/>
        </w:rPr>
        <w:t>4</w:t>
      </w:r>
      <w:r w:rsidRPr="002007AA">
        <w:rPr>
          <w:i/>
          <w:iCs/>
          <w:lang w:val="fr-FR"/>
        </w:rPr>
        <w:t xml:space="preserve">) accepte les brouillages qui pourraient être causés à ses points de mesure situés à l'intérieur du contour de gain d'antenne à −3 dB de la soumission au titre de la Résolution </w:t>
      </w:r>
      <w:r w:rsidRPr="002007AA">
        <w:rPr>
          <w:b/>
          <w:bCs/>
          <w:i/>
          <w:iCs/>
          <w:lang w:val="fr-FR"/>
        </w:rPr>
        <w:t>559 (CMR</w:t>
      </w:r>
      <w:r w:rsidRPr="002007AA">
        <w:rPr>
          <w:b/>
          <w:bCs/>
          <w:i/>
          <w:iCs/>
          <w:lang w:val="fr-FR"/>
        </w:rPr>
        <w:noBreakHyphen/>
        <w:t>19)</w:t>
      </w:r>
      <w:r w:rsidRPr="002007AA">
        <w:rPr>
          <w:i/>
          <w:iCs/>
          <w:lang w:val="fr-FR"/>
        </w:rPr>
        <w:t xml:space="preserve"> concernée, étant donné que le faisceau elliptique forme déjà l'ellipse minimale validée par le </w:t>
      </w:r>
      <w:proofErr w:type="gramStart"/>
      <w:r w:rsidRPr="002007AA">
        <w:rPr>
          <w:i/>
          <w:iCs/>
          <w:lang w:val="fr-FR"/>
        </w:rPr>
        <w:t>Bureau;</w:t>
      </w:r>
      <w:proofErr w:type="gramEnd"/>
    </w:p>
    <w:p w14:paraId="2F91168F" w14:textId="548CDF8D" w:rsidR="004D3C1E" w:rsidRPr="004F4FF3" w:rsidRDefault="004D3C1E" w:rsidP="004F4FF3">
      <w:pPr>
        <w:pStyle w:val="enumlev2"/>
        <w:rPr>
          <w:i/>
          <w:iCs/>
          <w:lang w:val="fr-FR"/>
        </w:rPr>
      </w:pPr>
      <w:r w:rsidRPr="002007AA">
        <w:rPr>
          <w:i/>
          <w:iCs/>
          <w:lang w:val="fr-FR"/>
        </w:rPr>
        <w:t>b)</w:t>
      </w:r>
      <w:r w:rsidRPr="002007AA">
        <w:rPr>
          <w:i/>
          <w:iCs/>
          <w:lang w:val="fr-FR"/>
        </w:rPr>
        <w:tab/>
        <w:t>l'administration notificatrice d'une utilisation additionnelle (c'est</w:t>
      </w:r>
      <w:r w:rsidRPr="002007AA">
        <w:rPr>
          <w:i/>
          <w:iCs/>
          <w:lang w:val="fr-FR"/>
        </w:rPr>
        <w:noBreakHyphen/>
        <w:t>à</w:t>
      </w:r>
      <w:r w:rsidRPr="002007AA">
        <w:rPr>
          <w:i/>
          <w:iCs/>
          <w:lang w:val="fr-FR"/>
        </w:rPr>
        <w:noBreakHyphen/>
        <w:t>dire les assignations figurant dans la Liste et/ou les réseaux en instance au titre de l'Article 4) accepte les brouillages qui pourraient être causés à ses points de mesure situés au-delà du contour de gain d'antenne à −20 dB de la soumission au titre de la Résolution</w:t>
      </w:r>
      <w:r w:rsidR="002007AA">
        <w:rPr>
          <w:i/>
          <w:iCs/>
          <w:lang w:val="fr-FR"/>
        </w:rPr>
        <w:t> </w:t>
      </w:r>
      <w:r w:rsidRPr="002007AA">
        <w:rPr>
          <w:b/>
          <w:bCs/>
          <w:i/>
          <w:iCs/>
          <w:lang w:val="fr-FR"/>
        </w:rPr>
        <w:t>559 (CMR-19)</w:t>
      </w:r>
      <w:r w:rsidRPr="002007AA">
        <w:rPr>
          <w:i/>
          <w:iCs/>
          <w:lang w:val="fr-FR"/>
        </w:rPr>
        <w:t xml:space="preserve"> </w:t>
      </w:r>
      <w:proofErr w:type="gramStart"/>
      <w:r w:rsidRPr="002007AA">
        <w:rPr>
          <w:i/>
          <w:iCs/>
          <w:lang w:val="fr-FR"/>
        </w:rPr>
        <w:t>concernée;</w:t>
      </w:r>
      <w:proofErr w:type="gramEnd"/>
    </w:p>
    <w:p w14:paraId="6C1B3CCB" w14:textId="77777777" w:rsidR="004D3C1E" w:rsidRPr="004F4FF3" w:rsidRDefault="004D3C1E" w:rsidP="004F4FF3">
      <w:pPr>
        <w:pStyle w:val="enumlev2"/>
        <w:rPr>
          <w:i/>
          <w:iCs/>
          <w:lang w:val="fr-FR"/>
        </w:rPr>
      </w:pPr>
      <w:r w:rsidRPr="002007AA">
        <w:rPr>
          <w:i/>
          <w:iCs/>
          <w:lang w:val="fr-FR"/>
        </w:rPr>
        <w:t>c)</w:t>
      </w:r>
      <w:r w:rsidRPr="002007AA">
        <w:rPr>
          <w:i/>
          <w:iCs/>
          <w:lang w:val="fr-FR"/>
        </w:rPr>
        <w:tab/>
        <w:t>si la marge de protection équivalente (MPE) d'un point de mesure d'un réseau destiné à une utilisation additionnelle est inférieure à −10 dB au moment de l'examen par le Bureau de la Partie A des soumissions au titre de la Résolution </w:t>
      </w:r>
      <w:r w:rsidRPr="002007AA">
        <w:rPr>
          <w:b/>
          <w:bCs/>
          <w:i/>
          <w:iCs/>
          <w:lang w:val="fr-FR"/>
        </w:rPr>
        <w:t>559 (CMR-19)</w:t>
      </w:r>
      <w:r w:rsidRPr="002007AA">
        <w:rPr>
          <w:i/>
          <w:iCs/>
          <w:lang w:val="fr-FR"/>
        </w:rPr>
        <w:t>, le Bureau ne devrait pas tenir compte de ce point de mesure lorsqu'il réexaminera les conclusions relatives à la soumission au titre de la Résolution </w:t>
      </w:r>
      <w:r w:rsidRPr="002007AA">
        <w:rPr>
          <w:b/>
          <w:bCs/>
          <w:i/>
          <w:iCs/>
          <w:lang w:val="fr-FR"/>
        </w:rPr>
        <w:t>559 (CMR-19)</w:t>
      </w:r>
      <w:r w:rsidRPr="002007AA">
        <w:rPr>
          <w:i/>
          <w:iCs/>
          <w:lang w:val="fr-FR"/>
        </w:rPr>
        <w:t xml:space="preserve"> </w:t>
      </w:r>
      <w:proofErr w:type="gramStart"/>
      <w:r w:rsidRPr="002007AA">
        <w:rPr>
          <w:i/>
          <w:iCs/>
          <w:lang w:val="fr-FR"/>
        </w:rPr>
        <w:t>concernée;</w:t>
      </w:r>
      <w:proofErr w:type="gramEnd"/>
    </w:p>
    <w:p w14:paraId="6BF83792" w14:textId="77777777" w:rsidR="004D3C1E" w:rsidRPr="004D3C1E" w:rsidRDefault="004D3C1E" w:rsidP="004F4FF3">
      <w:pPr>
        <w:pStyle w:val="enumlev2"/>
        <w:rPr>
          <w:lang w:val="fr-FR"/>
        </w:rPr>
      </w:pPr>
      <w:r w:rsidRPr="002007AA">
        <w:rPr>
          <w:i/>
          <w:iCs/>
          <w:lang w:val="fr-FR"/>
        </w:rPr>
        <w:t>d)</w:t>
      </w:r>
      <w:r w:rsidRPr="002007AA">
        <w:rPr>
          <w:i/>
          <w:iCs/>
          <w:lang w:val="fr-FR"/>
        </w:rPr>
        <w:tab/>
        <w:t xml:space="preserve">une coordination est réputée achevée si l'espacement orbital nominal entre une soumission au titre de la Résolution </w:t>
      </w:r>
      <w:r w:rsidRPr="002007AA">
        <w:rPr>
          <w:b/>
          <w:bCs/>
          <w:i/>
          <w:iCs/>
          <w:lang w:val="fr-FR"/>
        </w:rPr>
        <w:t>559 (CMR-19)</w:t>
      </w:r>
      <w:r w:rsidRPr="002007AA">
        <w:rPr>
          <w:i/>
          <w:iCs/>
          <w:lang w:val="fr-FR"/>
        </w:rPr>
        <w:t xml:space="preserve"> et le réseau destiné à une utilisation additionnelle est supérieur ou égal à 6 degrés.</w:t>
      </w:r>
    </w:p>
    <w:p w14:paraId="2C78D7BF" w14:textId="77777777" w:rsidR="004D3C1E" w:rsidRPr="004F4FF3" w:rsidRDefault="004D3C1E" w:rsidP="004F4FF3">
      <w:pPr>
        <w:pStyle w:val="enumlev1"/>
        <w:keepNext/>
        <w:keepLines/>
        <w:rPr>
          <w:i/>
          <w:iCs/>
          <w:lang w:val="fr-FR"/>
        </w:rPr>
      </w:pPr>
      <w:r w:rsidRPr="002007AA">
        <w:rPr>
          <w:i/>
          <w:iCs/>
          <w:lang w:val="fr-FR"/>
        </w:rPr>
        <w:t>2)</w:t>
      </w:r>
      <w:r w:rsidRPr="002007AA">
        <w:rPr>
          <w:i/>
          <w:iCs/>
          <w:lang w:val="fr-FR"/>
        </w:rPr>
        <w:tab/>
        <w:t>En ce qui concerne les cas de coordination en instance au titre du § 4.1.1 e) de l'Appendice </w:t>
      </w:r>
      <w:r w:rsidRPr="002007AA">
        <w:rPr>
          <w:b/>
          <w:bCs/>
          <w:i/>
          <w:iCs/>
          <w:lang w:val="fr-FR"/>
        </w:rPr>
        <w:t xml:space="preserve">30 </w:t>
      </w:r>
      <w:r w:rsidRPr="002007AA">
        <w:rPr>
          <w:bCs/>
          <w:i/>
          <w:iCs/>
          <w:lang w:val="fr-FR"/>
        </w:rPr>
        <w:t>du RR</w:t>
      </w:r>
      <w:r w:rsidRPr="002007AA">
        <w:rPr>
          <w:i/>
          <w:iCs/>
          <w:lang w:val="fr-FR"/>
        </w:rPr>
        <w:t xml:space="preserve">, la CMR-23 a approuvé les mesures </w:t>
      </w:r>
      <w:proofErr w:type="gramStart"/>
      <w:r w:rsidRPr="002007AA">
        <w:rPr>
          <w:i/>
          <w:iCs/>
          <w:lang w:val="fr-FR"/>
        </w:rPr>
        <w:t>suivantes:</w:t>
      </w:r>
      <w:proofErr w:type="gramEnd"/>
    </w:p>
    <w:p w14:paraId="32F99008" w14:textId="77777777" w:rsidR="004D3C1E" w:rsidRPr="004F4FF3" w:rsidRDefault="004D3C1E" w:rsidP="004F4FF3">
      <w:pPr>
        <w:pStyle w:val="enumlev2"/>
        <w:rPr>
          <w:i/>
          <w:iCs/>
          <w:lang w:val="fr-FR"/>
        </w:rPr>
      </w:pPr>
      <w:r w:rsidRPr="002007AA">
        <w:rPr>
          <w:i/>
          <w:iCs/>
          <w:lang w:val="fr-FR"/>
        </w:rPr>
        <w:t>a)</w:t>
      </w:r>
      <w:r w:rsidRPr="002007AA">
        <w:rPr>
          <w:i/>
          <w:iCs/>
          <w:lang w:val="fr-FR"/>
        </w:rPr>
        <w:tab/>
        <w:t xml:space="preserve">une coordination est réputée achevée si l'espacement orbital nominal entre une soumission au titre de la Résolution </w:t>
      </w:r>
      <w:r w:rsidRPr="002007AA">
        <w:rPr>
          <w:b/>
          <w:bCs/>
          <w:i/>
          <w:iCs/>
          <w:lang w:val="fr-FR"/>
        </w:rPr>
        <w:t>559 (CMR-19)</w:t>
      </w:r>
      <w:r w:rsidRPr="002007AA">
        <w:rPr>
          <w:i/>
          <w:iCs/>
          <w:lang w:val="fr-FR"/>
        </w:rPr>
        <w:t xml:space="preserve"> et le réseau à satellite dans les bandes non planifiées concerné est supérieur ou égal à 6 </w:t>
      </w:r>
      <w:proofErr w:type="gramStart"/>
      <w:r w:rsidRPr="002007AA">
        <w:rPr>
          <w:i/>
          <w:iCs/>
          <w:lang w:val="fr-FR"/>
        </w:rPr>
        <w:t>degrés;</w:t>
      </w:r>
      <w:proofErr w:type="gramEnd"/>
    </w:p>
    <w:p w14:paraId="2B174DFC" w14:textId="43D1AAAB" w:rsidR="004D3C1E" w:rsidRPr="004F4FF3" w:rsidRDefault="004D3C1E" w:rsidP="004F4FF3">
      <w:pPr>
        <w:pStyle w:val="enumlev2"/>
        <w:rPr>
          <w:i/>
          <w:iCs/>
          <w:lang w:val="fr-FR"/>
        </w:rPr>
      </w:pPr>
      <w:r w:rsidRPr="002007AA">
        <w:rPr>
          <w:i/>
          <w:iCs/>
          <w:lang w:val="fr-FR"/>
        </w:rPr>
        <w:lastRenderedPageBreak/>
        <w:t>b)</w:t>
      </w:r>
      <w:r w:rsidRPr="002007AA">
        <w:rPr>
          <w:i/>
          <w:iCs/>
          <w:lang w:val="fr-FR"/>
        </w:rPr>
        <w:tab/>
        <w:t>la zone de service d'un réseau à satellite dans les bandes non planifiées à prendre en compte doit être sur terre et située à l'intérieur du contour de gain d'antenne à </w:t>
      </w:r>
      <w:r w:rsidRPr="004F4FF3">
        <w:rPr>
          <w:i/>
          <w:iCs/>
          <w:lang w:val="fr-FR"/>
        </w:rPr>
        <w:t>−</w:t>
      </w:r>
      <w:r w:rsidRPr="002007AA">
        <w:rPr>
          <w:i/>
          <w:iCs/>
          <w:lang w:val="fr-FR"/>
        </w:rPr>
        <w:t>3</w:t>
      </w:r>
      <w:r w:rsidRPr="004F4FF3">
        <w:rPr>
          <w:i/>
          <w:iCs/>
          <w:lang w:val="fr-FR"/>
        </w:rPr>
        <w:t> </w:t>
      </w:r>
      <w:r w:rsidRPr="002007AA">
        <w:rPr>
          <w:i/>
          <w:iCs/>
          <w:lang w:val="fr-FR"/>
        </w:rPr>
        <w:t>dB de ce réseau à satellite dans les bandes non planifiées, ce qui n'est pas le cas de la zone de service soumise, qui peut comprendre la zone dans laquelle le contour de gain d'antenne relatif présente des valeurs très faibles. Il est pris note du fait que le réseau à satellite dans les bandes non planifiées ne protège une soumission au titre de la Résolution </w:t>
      </w:r>
      <w:r w:rsidRPr="002007AA">
        <w:rPr>
          <w:b/>
          <w:bCs/>
          <w:i/>
          <w:iCs/>
          <w:lang w:val="fr-FR"/>
        </w:rPr>
        <w:t>559 (CMR-19)</w:t>
      </w:r>
      <w:r w:rsidRPr="002007AA">
        <w:rPr>
          <w:i/>
          <w:iCs/>
          <w:lang w:val="fr-FR"/>
        </w:rPr>
        <w:t xml:space="preserve"> que dans une zone de service sur terre située à l'intérieur de son contour de gain d'antenne à </w:t>
      </w:r>
      <w:r w:rsidR="002007AA" w:rsidRPr="004F4FF3">
        <w:rPr>
          <w:i/>
          <w:iCs/>
          <w:lang w:val="fr-FR"/>
        </w:rPr>
        <w:t>−</w:t>
      </w:r>
      <w:r w:rsidRPr="002007AA">
        <w:rPr>
          <w:i/>
          <w:iCs/>
          <w:lang w:val="fr-FR"/>
        </w:rPr>
        <w:t xml:space="preserve">3 </w:t>
      </w:r>
      <w:proofErr w:type="gramStart"/>
      <w:r w:rsidRPr="002007AA">
        <w:rPr>
          <w:i/>
          <w:iCs/>
          <w:lang w:val="fr-FR"/>
        </w:rPr>
        <w:t>dB;</w:t>
      </w:r>
      <w:proofErr w:type="gramEnd"/>
    </w:p>
    <w:p w14:paraId="38179689" w14:textId="77777777" w:rsidR="004D3C1E" w:rsidRPr="004F4FF3" w:rsidRDefault="004D3C1E" w:rsidP="004F4FF3">
      <w:pPr>
        <w:pStyle w:val="enumlev2"/>
        <w:rPr>
          <w:i/>
          <w:iCs/>
          <w:lang w:val="fr-FR"/>
        </w:rPr>
      </w:pPr>
      <w:r w:rsidRPr="002007AA">
        <w:rPr>
          <w:i/>
          <w:iCs/>
          <w:lang w:val="fr-FR"/>
        </w:rPr>
        <w:t>c)</w:t>
      </w:r>
      <w:r w:rsidRPr="002007AA">
        <w:rPr>
          <w:i/>
          <w:iCs/>
          <w:lang w:val="fr-FR"/>
        </w:rPr>
        <w:tab/>
        <w:t>si une administration accepte de ne pas protéger la zone située sur son territoire national dans laquelle la limite de puissance surfacique est dépassée, le Bureau ne tiendra pas compte de cette partie de la zone de service lorsqu'il examinera les autres besoins de coordination d'une soumission au titre de la Résolution </w:t>
      </w:r>
      <w:r w:rsidRPr="002007AA">
        <w:rPr>
          <w:b/>
          <w:bCs/>
          <w:i/>
          <w:iCs/>
          <w:lang w:val="fr-FR"/>
        </w:rPr>
        <w:t>559 (CMR-19</w:t>
      </w:r>
      <w:proofErr w:type="gramStart"/>
      <w:r w:rsidRPr="002007AA">
        <w:rPr>
          <w:b/>
          <w:bCs/>
          <w:i/>
          <w:iCs/>
          <w:lang w:val="fr-FR"/>
        </w:rPr>
        <w:t>)</w:t>
      </w:r>
      <w:r w:rsidRPr="002007AA">
        <w:rPr>
          <w:i/>
          <w:iCs/>
          <w:lang w:val="fr-FR"/>
        </w:rPr>
        <w:t>;</w:t>
      </w:r>
      <w:proofErr w:type="gramEnd"/>
    </w:p>
    <w:p w14:paraId="7BF6E560" w14:textId="1A6CE762" w:rsidR="004D3C1E" w:rsidRPr="004D3C1E" w:rsidRDefault="004D3C1E" w:rsidP="004F4FF3">
      <w:pPr>
        <w:pStyle w:val="enumlev2"/>
        <w:rPr>
          <w:lang w:val="fr-FR"/>
        </w:rPr>
      </w:pPr>
      <w:r w:rsidRPr="002007AA">
        <w:rPr>
          <w:i/>
          <w:iCs/>
          <w:lang w:val="fr-FR"/>
        </w:rPr>
        <w:t>d)</w:t>
      </w:r>
      <w:r w:rsidRPr="002007AA">
        <w:rPr>
          <w:i/>
          <w:iCs/>
          <w:lang w:val="fr-FR"/>
        </w:rPr>
        <w:tab/>
        <w:t>l'administration notificatrice d'un réseau à satellite dans les bandes non planifiées accepte les brouillages susceptibles d'être causés dans sa zone de service située au</w:t>
      </w:r>
      <w:r w:rsidRPr="004F4FF3">
        <w:rPr>
          <w:i/>
          <w:iCs/>
          <w:lang w:val="fr-FR"/>
        </w:rPr>
        <w:noBreakHyphen/>
      </w:r>
      <w:r w:rsidRPr="002007AA">
        <w:rPr>
          <w:i/>
          <w:iCs/>
          <w:lang w:val="fr-FR"/>
        </w:rPr>
        <w:t>delà du contour de gain d'antenne à −20 dB de la soumission au titre de la Résolution </w:t>
      </w:r>
      <w:r w:rsidRPr="002007AA">
        <w:rPr>
          <w:b/>
          <w:bCs/>
          <w:i/>
          <w:iCs/>
          <w:lang w:val="fr-FR"/>
        </w:rPr>
        <w:t>559 (CMR-19)</w:t>
      </w:r>
      <w:r w:rsidRPr="002007AA">
        <w:rPr>
          <w:i/>
          <w:iCs/>
          <w:lang w:val="fr-FR"/>
        </w:rPr>
        <w:t xml:space="preserve"> concernée.</w:t>
      </w:r>
    </w:p>
    <w:p w14:paraId="49CA8B63" w14:textId="77777777" w:rsidR="004D3C1E" w:rsidRPr="004F4FF3" w:rsidRDefault="004D3C1E" w:rsidP="004F4FF3">
      <w:pPr>
        <w:pStyle w:val="enumlev1"/>
        <w:rPr>
          <w:i/>
          <w:iCs/>
          <w:lang w:val="fr-FR"/>
        </w:rPr>
      </w:pPr>
      <w:r w:rsidRPr="002007AA">
        <w:rPr>
          <w:i/>
          <w:iCs/>
          <w:lang w:val="fr-FR"/>
        </w:rPr>
        <w:t>3)</w:t>
      </w:r>
      <w:r w:rsidRPr="002007AA">
        <w:rPr>
          <w:i/>
          <w:iCs/>
          <w:lang w:val="fr-FR"/>
        </w:rPr>
        <w:tab/>
        <w:t>En ce qui concerne les cas de coordination en instance au titre du § 4.1.1 b) de l'Appendice </w:t>
      </w:r>
      <w:r w:rsidRPr="002007AA">
        <w:rPr>
          <w:b/>
          <w:bCs/>
          <w:i/>
          <w:iCs/>
          <w:lang w:val="fr-FR"/>
        </w:rPr>
        <w:t>30A</w:t>
      </w:r>
      <w:r w:rsidRPr="002007AA">
        <w:rPr>
          <w:i/>
          <w:iCs/>
          <w:lang w:val="fr-FR"/>
        </w:rPr>
        <w:t xml:space="preserve"> du RR, la CMR-23 a approuvé le fait que les cas en question soient considérés comme résolus, compte tenu des points </w:t>
      </w:r>
      <w:proofErr w:type="gramStart"/>
      <w:r w:rsidRPr="002007AA">
        <w:rPr>
          <w:i/>
          <w:iCs/>
          <w:lang w:val="fr-FR"/>
        </w:rPr>
        <w:t>suivants:</w:t>
      </w:r>
      <w:proofErr w:type="gramEnd"/>
    </w:p>
    <w:p w14:paraId="7A522403" w14:textId="77777777" w:rsidR="004D3C1E" w:rsidRPr="004F4FF3" w:rsidRDefault="004D3C1E" w:rsidP="004F4FF3">
      <w:pPr>
        <w:pStyle w:val="enumlev2"/>
        <w:rPr>
          <w:i/>
          <w:iCs/>
          <w:lang w:val="fr-FR"/>
        </w:rPr>
      </w:pPr>
      <w:r w:rsidRPr="002007AA">
        <w:rPr>
          <w:i/>
          <w:iCs/>
          <w:lang w:val="fr-FR"/>
        </w:rPr>
        <w:t>a)</w:t>
      </w:r>
      <w:r w:rsidRPr="002007AA">
        <w:rPr>
          <w:i/>
          <w:iCs/>
          <w:lang w:val="fr-FR"/>
        </w:rPr>
        <w:tab/>
        <w:t xml:space="preserve">les réseaux à satellite visés dans l'Article 4 assurent une très grande couverture et présentent une sensibilité de réception très élevée sur le territoire national de l'administration concernée relevant de la Résolution </w:t>
      </w:r>
      <w:r w:rsidRPr="002007AA">
        <w:rPr>
          <w:b/>
          <w:bCs/>
          <w:i/>
          <w:iCs/>
          <w:lang w:val="fr-FR"/>
        </w:rPr>
        <w:t>559 (CMR-19</w:t>
      </w:r>
      <w:proofErr w:type="gramStart"/>
      <w:r w:rsidRPr="002007AA">
        <w:rPr>
          <w:b/>
          <w:bCs/>
          <w:i/>
          <w:iCs/>
          <w:lang w:val="fr-FR"/>
        </w:rPr>
        <w:t>)</w:t>
      </w:r>
      <w:r w:rsidRPr="002007AA">
        <w:rPr>
          <w:i/>
          <w:iCs/>
          <w:lang w:val="fr-FR"/>
        </w:rPr>
        <w:t>;</w:t>
      </w:r>
      <w:proofErr w:type="gramEnd"/>
    </w:p>
    <w:p w14:paraId="3C3C7922" w14:textId="77777777" w:rsidR="004D3C1E" w:rsidRPr="004F4FF3" w:rsidRDefault="004D3C1E" w:rsidP="004F4FF3">
      <w:pPr>
        <w:pStyle w:val="enumlev2"/>
        <w:rPr>
          <w:i/>
          <w:iCs/>
          <w:lang w:val="fr-FR"/>
        </w:rPr>
      </w:pPr>
      <w:r w:rsidRPr="002007AA">
        <w:rPr>
          <w:i/>
          <w:iCs/>
          <w:lang w:val="fr-FR"/>
        </w:rPr>
        <w:t>b)</w:t>
      </w:r>
      <w:r w:rsidRPr="002007AA">
        <w:rPr>
          <w:i/>
          <w:iCs/>
          <w:lang w:val="fr-FR"/>
        </w:rPr>
        <w:tab/>
        <w:t>les zones de couverture des réseaux à satellite visés dans l'Article 4 s'étendent bien au</w:t>
      </w:r>
      <w:r w:rsidRPr="002007AA">
        <w:rPr>
          <w:i/>
          <w:iCs/>
          <w:lang w:val="fr-FR"/>
        </w:rPr>
        <w:noBreakHyphen/>
        <w:t xml:space="preserve">delà du territoire national des administrations notificatrices, tandis que les stations terriennes de liaison de connexion de la soumission concernée relevant de de la Résolution </w:t>
      </w:r>
      <w:r w:rsidRPr="002007AA">
        <w:rPr>
          <w:b/>
          <w:bCs/>
          <w:i/>
          <w:iCs/>
          <w:lang w:val="fr-FR"/>
        </w:rPr>
        <w:t>559 (CMR-19)</w:t>
      </w:r>
      <w:r w:rsidRPr="002007AA">
        <w:rPr>
          <w:i/>
          <w:iCs/>
          <w:lang w:val="fr-FR"/>
        </w:rPr>
        <w:t xml:space="preserve"> sont situées uniquement à l'intérieur du territoire national et ne peuvent pas être réduites </w:t>
      </w:r>
      <w:proofErr w:type="gramStart"/>
      <w:r w:rsidRPr="002007AA">
        <w:rPr>
          <w:i/>
          <w:iCs/>
          <w:lang w:val="fr-FR"/>
        </w:rPr>
        <w:t>davantage;</w:t>
      </w:r>
      <w:proofErr w:type="gramEnd"/>
    </w:p>
    <w:p w14:paraId="76FFD282" w14:textId="77777777" w:rsidR="004D3C1E" w:rsidRPr="004D3C1E" w:rsidRDefault="004D3C1E" w:rsidP="004F4FF3">
      <w:pPr>
        <w:pStyle w:val="enumlev2"/>
        <w:rPr>
          <w:lang w:val="fr-FR"/>
        </w:rPr>
      </w:pPr>
      <w:r w:rsidRPr="002007AA">
        <w:rPr>
          <w:i/>
          <w:iCs/>
          <w:lang w:val="fr-FR"/>
        </w:rPr>
        <w:t>c)</w:t>
      </w:r>
      <w:r w:rsidRPr="002007AA">
        <w:rPr>
          <w:i/>
          <w:iCs/>
          <w:lang w:val="fr-FR"/>
        </w:rPr>
        <w:tab/>
        <w:t xml:space="preserve">l'objectif de la Résolution </w:t>
      </w:r>
      <w:r w:rsidRPr="002007AA">
        <w:rPr>
          <w:b/>
          <w:bCs/>
          <w:i/>
          <w:iCs/>
          <w:lang w:val="fr-FR"/>
        </w:rPr>
        <w:t>2 (Rév.CMR-03)</w:t>
      </w:r>
      <w:r w:rsidRPr="002007AA">
        <w:rPr>
          <w:i/>
          <w:iCs/>
          <w:lang w:val="fr-FR"/>
        </w:rPr>
        <w:t xml:space="preserve"> et du point 7 de l'ordre du jour de la CMR</w:t>
      </w:r>
      <w:r w:rsidRPr="002007AA">
        <w:rPr>
          <w:i/>
          <w:iCs/>
          <w:lang w:val="fr-FR"/>
        </w:rPr>
        <w:noBreakHyphen/>
        <w:t>23, Question F.</w:t>
      </w:r>
    </w:p>
    <w:p w14:paraId="4F3BB82A" w14:textId="77777777" w:rsidR="004D3C1E" w:rsidRPr="004F4FF3" w:rsidRDefault="004D3C1E" w:rsidP="004F4FF3">
      <w:pPr>
        <w:pStyle w:val="enumlev1"/>
        <w:rPr>
          <w:i/>
          <w:iCs/>
          <w:lang w:val="fr-FR"/>
        </w:rPr>
      </w:pPr>
      <w:r w:rsidRPr="002007AA">
        <w:rPr>
          <w:i/>
          <w:iCs/>
          <w:lang w:val="fr-FR"/>
        </w:rPr>
        <w:t>4)</w:t>
      </w:r>
      <w:r w:rsidRPr="002007AA">
        <w:rPr>
          <w:i/>
          <w:iCs/>
          <w:lang w:val="fr-FR"/>
        </w:rPr>
        <w:tab/>
        <w:t>En ce qui concerne les cas de coordination en instance au titre du § 4.1.1 a) des Appendices </w:t>
      </w:r>
      <w:r w:rsidRPr="002007AA">
        <w:rPr>
          <w:b/>
          <w:bCs/>
          <w:i/>
          <w:iCs/>
          <w:lang w:val="fr-FR"/>
        </w:rPr>
        <w:t>30</w:t>
      </w:r>
      <w:r w:rsidRPr="002007AA">
        <w:rPr>
          <w:i/>
          <w:iCs/>
          <w:lang w:val="fr-FR"/>
        </w:rPr>
        <w:t xml:space="preserve"> et </w:t>
      </w:r>
      <w:r w:rsidRPr="002007AA">
        <w:rPr>
          <w:b/>
          <w:bCs/>
          <w:i/>
          <w:iCs/>
          <w:lang w:val="fr-FR"/>
        </w:rPr>
        <w:t>30A</w:t>
      </w:r>
      <w:r w:rsidRPr="002007AA">
        <w:rPr>
          <w:i/>
          <w:iCs/>
          <w:lang w:val="fr-FR"/>
        </w:rPr>
        <w:t xml:space="preserve">, la CMR-23 a approuvé les mesures </w:t>
      </w:r>
      <w:proofErr w:type="gramStart"/>
      <w:r w:rsidRPr="002007AA">
        <w:rPr>
          <w:i/>
          <w:iCs/>
          <w:lang w:val="fr-FR"/>
        </w:rPr>
        <w:t>suivantes:</w:t>
      </w:r>
      <w:proofErr w:type="gramEnd"/>
    </w:p>
    <w:p w14:paraId="411515AC" w14:textId="12C1E8D0" w:rsidR="004D3C1E" w:rsidRPr="004F4FF3" w:rsidRDefault="004D3C1E" w:rsidP="004F4FF3">
      <w:pPr>
        <w:pStyle w:val="enumlev2"/>
        <w:rPr>
          <w:i/>
          <w:iCs/>
          <w:lang w:val="fr-FR"/>
        </w:rPr>
      </w:pPr>
      <w:r w:rsidRPr="002007AA">
        <w:rPr>
          <w:i/>
          <w:iCs/>
          <w:lang w:val="fr-FR"/>
        </w:rPr>
        <w:t>a)</w:t>
      </w:r>
      <w:r w:rsidRPr="002007AA">
        <w:rPr>
          <w:i/>
          <w:iCs/>
          <w:lang w:val="fr-FR"/>
        </w:rPr>
        <w:tab/>
        <w:t xml:space="preserve">Pour les assignations multifaisceaux du Plan, si les valeurs du </w:t>
      </w:r>
      <w:r w:rsidR="003076EA" w:rsidRPr="004F4FF3">
        <w:rPr>
          <w:i/>
          <w:iCs/>
          <w:lang w:val="fr-FR"/>
        </w:rPr>
        <w:t>r</w:t>
      </w:r>
      <w:r w:rsidRPr="002007AA">
        <w:rPr>
          <w:i/>
          <w:iCs/>
          <w:lang w:val="fr-FR"/>
        </w:rPr>
        <w:t xml:space="preserve">apport C/I pour un brouillage dû à une source unique sur la liaison descendante sont supérieures à 21 dB, sauf pour un point de mesure où le </w:t>
      </w:r>
      <w:r w:rsidR="003076EA" w:rsidRPr="004F4FF3">
        <w:rPr>
          <w:i/>
          <w:iCs/>
          <w:lang w:val="fr-FR"/>
        </w:rPr>
        <w:t>r</w:t>
      </w:r>
      <w:r w:rsidRPr="002007AA">
        <w:rPr>
          <w:i/>
          <w:iCs/>
          <w:lang w:val="fr-FR"/>
        </w:rPr>
        <w:t xml:space="preserve">apport </w:t>
      </w:r>
      <w:r w:rsidR="003076EA" w:rsidRPr="003076EA">
        <w:rPr>
          <w:lang w:val="fr-FR"/>
        </w:rPr>
        <w:t>C</w:t>
      </w:r>
      <w:r w:rsidRPr="002007AA">
        <w:rPr>
          <w:i/>
          <w:iCs/>
          <w:lang w:val="fr-FR"/>
        </w:rPr>
        <w:t>/</w:t>
      </w:r>
      <w:r w:rsidRPr="002007AA">
        <w:rPr>
          <w:lang w:val="fr-FR"/>
        </w:rPr>
        <w:t>I</w:t>
      </w:r>
      <w:r w:rsidRPr="002007AA">
        <w:rPr>
          <w:i/>
          <w:iCs/>
          <w:lang w:val="fr-FR"/>
        </w:rPr>
        <w:t xml:space="preserve"> pour un brouillage dû à une source unique est supérieur à 18 dB, les soumissions au titre de la Résolution </w:t>
      </w:r>
      <w:r w:rsidRPr="002007AA">
        <w:rPr>
          <w:b/>
          <w:bCs/>
          <w:i/>
          <w:iCs/>
          <w:lang w:val="fr-FR"/>
        </w:rPr>
        <w:t>559 (CMR-19)</w:t>
      </w:r>
      <w:r w:rsidRPr="002007AA">
        <w:rPr>
          <w:i/>
          <w:iCs/>
          <w:lang w:val="fr-FR"/>
        </w:rPr>
        <w:t xml:space="preserve"> et les assignations de fréquence correspondantes du Plan pour les Régions 1 et 3 sont considérées comme compatibles. En vue de préserver le même niveau de protection pour les cas compatibles de ces assignations de fréquence du Plan pour les Régions 1 et 3 vis-à-vis des nouvelles soumissions au titre de l'Article</w:t>
      </w:r>
      <w:r w:rsidRPr="004F4FF3">
        <w:rPr>
          <w:i/>
          <w:iCs/>
          <w:lang w:val="fr-FR"/>
        </w:rPr>
        <w:t> </w:t>
      </w:r>
      <w:r w:rsidRPr="002007AA">
        <w:rPr>
          <w:i/>
          <w:iCs/>
          <w:lang w:val="fr-FR"/>
        </w:rPr>
        <w:t xml:space="preserve">4, la situation de référence de ces assignations de fréquence du Plan pour les Régions 1 et 3 ne devra pas être mise à jour lorsque les assignations de fréquence au titre de la Résolution </w:t>
      </w:r>
      <w:r w:rsidRPr="002007AA">
        <w:rPr>
          <w:b/>
          <w:bCs/>
          <w:i/>
          <w:iCs/>
          <w:lang w:val="fr-FR"/>
        </w:rPr>
        <w:t>559 (CMR</w:t>
      </w:r>
      <w:r w:rsidRPr="002007AA">
        <w:rPr>
          <w:b/>
          <w:bCs/>
          <w:i/>
          <w:iCs/>
          <w:lang w:val="fr-FR"/>
        </w:rPr>
        <w:noBreakHyphen/>
        <w:t>19)</w:t>
      </w:r>
      <w:r w:rsidRPr="002007AA">
        <w:rPr>
          <w:i/>
          <w:iCs/>
          <w:lang w:val="fr-FR"/>
        </w:rPr>
        <w:t xml:space="preserve"> figurant dans la Liste seront incluses dans les Plans.</w:t>
      </w:r>
    </w:p>
    <w:p w14:paraId="6FC251C9" w14:textId="77777777" w:rsidR="002007AA" w:rsidRDefault="002007AA" w:rsidP="004F4FF3">
      <w:pPr>
        <w:pStyle w:val="enumlev2"/>
        <w:rPr>
          <w:i/>
          <w:iCs/>
          <w:lang w:val="fr-FR"/>
        </w:rPr>
      </w:pPr>
      <w:r>
        <w:rPr>
          <w:i/>
          <w:iCs/>
          <w:lang w:val="fr-FR"/>
        </w:rPr>
        <w:br w:type="page"/>
      </w:r>
    </w:p>
    <w:p w14:paraId="60ED4F55" w14:textId="7DE5B0F3" w:rsidR="004D3C1E" w:rsidRPr="004D3C1E" w:rsidRDefault="004D3C1E" w:rsidP="004F4FF3">
      <w:pPr>
        <w:pStyle w:val="enumlev2"/>
        <w:rPr>
          <w:lang w:val="fr-FR"/>
        </w:rPr>
      </w:pPr>
      <w:r w:rsidRPr="002007AA">
        <w:rPr>
          <w:i/>
          <w:iCs/>
          <w:lang w:val="fr-FR"/>
        </w:rPr>
        <w:lastRenderedPageBreak/>
        <w:t>b)</w:t>
      </w:r>
      <w:r w:rsidRPr="002007AA">
        <w:rPr>
          <w:i/>
          <w:iCs/>
          <w:lang w:val="fr-FR"/>
        </w:rPr>
        <w:tab/>
        <w:t xml:space="preserve">Pour les assignations multifaisceaux du Plan, si les valeurs du </w:t>
      </w:r>
      <w:r w:rsidR="003076EA" w:rsidRPr="004F4FF3">
        <w:rPr>
          <w:i/>
          <w:iCs/>
          <w:lang w:val="fr-FR"/>
        </w:rPr>
        <w:t>r</w:t>
      </w:r>
      <w:r w:rsidRPr="002007AA">
        <w:rPr>
          <w:i/>
          <w:iCs/>
          <w:lang w:val="fr-FR"/>
        </w:rPr>
        <w:t>apport </w:t>
      </w:r>
      <w:r w:rsidRPr="001E3DF0">
        <w:rPr>
          <w:i/>
          <w:iCs/>
          <w:lang w:val="fr-FR"/>
        </w:rPr>
        <w:t>C/I</w:t>
      </w:r>
      <w:r w:rsidRPr="002007AA">
        <w:rPr>
          <w:i/>
          <w:iCs/>
          <w:lang w:val="fr-FR"/>
        </w:rPr>
        <w:t xml:space="preserve"> pour un brouillage dû à une source unique sur les liaisons de connexion sont supérieures à 27 dB, les soumissions au titre de la Résolution </w:t>
      </w:r>
      <w:r w:rsidRPr="002007AA">
        <w:rPr>
          <w:b/>
          <w:bCs/>
          <w:i/>
          <w:iCs/>
          <w:lang w:val="fr-FR"/>
        </w:rPr>
        <w:t>559 (CMR-19)</w:t>
      </w:r>
      <w:r w:rsidRPr="002007AA">
        <w:rPr>
          <w:i/>
          <w:iCs/>
          <w:lang w:val="fr-FR"/>
        </w:rPr>
        <w:t xml:space="preserve"> et les assignations de fréquence correspondantes du Plan pour les Régions 1 et 3 sont considérées comme compatibles. En vue de préserver le même niveau de protection pour les cas compatibles de ces assignations de fréquence du Plan pour les Régions 1 et 3 vis</w:t>
      </w:r>
      <w:r w:rsidRPr="004F4FF3">
        <w:rPr>
          <w:i/>
          <w:iCs/>
          <w:lang w:val="fr-FR"/>
        </w:rPr>
        <w:noBreakHyphen/>
      </w:r>
      <w:r w:rsidRPr="002007AA">
        <w:rPr>
          <w:i/>
          <w:iCs/>
          <w:lang w:val="fr-FR"/>
        </w:rPr>
        <w:t>à</w:t>
      </w:r>
      <w:r w:rsidRPr="004F4FF3">
        <w:rPr>
          <w:i/>
          <w:iCs/>
          <w:lang w:val="fr-FR"/>
        </w:rPr>
        <w:noBreakHyphen/>
      </w:r>
      <w:r w:rsidRPr="002007AA">
        <w:rPr>
          <w:i/>
          <w:iCs/>
          <w:lang w:val="fr-FR"/>
        </w:rPr>
        <w:t xml:space="preserve">vis des nouvelles soumissions au titre de l'Article </w:t>
      </w:r>
      <w:r w:rsidRPr="001E3DF0">
        <w:rPr>
          <w:i/>
          <w:iCs/>
          <w:lang w:val="fr-FR"/>
        </w:rPr>
        <w:t>4</w:t>
      </w:r>
      <w:r w:rsidRPr="002007AA">
        <w:rPr>
          <w:i/>
          <w:iCs/>
          <w:lang w:val="fr-FR"/>
        </w:rPr>
        <w:t xml:space="preserve">, la situation de référence de ces assignations de fréquence du Plan pour les Régions 1 et 3 ne devra pas être mise à jour lorsque les assignations de fréquence au titre de la Résolution </w:t>
      </w:r>
      <w:r w:rsidRPr="002007AA">
        <w:rPr>
          <w:b/>
          <w:bCs/>
          <w:i/>
          <w:iCs/>
          <w:lang w:val="fr-FR"/>
        </w:rPr>
        <w:t>559 (CMR-19)</w:t>
      </w:r>
      <w:r w:rsidRPr="002007AA">
        <w:rPr>
          <w:i/>
          <w:iCs/>
          <w:lang w:val="fr-FR"/>
        </w:rPr>
        <w:t xml:space="preserve"> figurant dans la Liste seront incluses dans les Plans.</w:t>
      </w:r>
    </w:p>
    <w:p w14:paraId="0B0966A5" w14:textId="77777777" w:rsidR="004D3C1E" w:rsidRPr="004F4FF3" w:rsidRDefault="004D3C1E" w:rsidP="004F4FF3">
      <w:pPr>
        <w:pStyle w:val="enumlev1"/>
        <w:rPr>
          <w:i/>
          <w:iCs/>
          <w:lang w:val="fr-FR"/>
        </w:rPr>
      </w:pPr>
      <w:r w:rsidRPr="002007AA">
        <w:rPr>
          <w:i/>
          <w:iCs/>
          <w:lang w:val="fr-FR"/>
        </w:rPr>
        <w:t>5)</w:t>
      </w:r>
      <w:r w:rsidRPr="002007AA">
        <w:rPr>
          <w:i/>
          <w:iCs/>
          <w:lang w:val="fr-FR"/>
        </w:rPr>
        <w:tab/>
        <w:t xml:space="preserve">Le Bureau est </w:t>
      </w:r>
      <w:proofErr w:type="gramStart"/>
      <w:r w:rsidRPr="002007AA">
        <w:rPr>
          <w:i/>
          <w:iCs/>
          <w:lang w:val="fr-FR"/>
        </w:rPr>
        <w:t>chargé:</w:t>
      </w:r>
      <w:proofErr w:type="gramEnd"/>
    </w:p>
    <w:p w14:paraId="02B3779A" w14:textId="77777777" w:rsidR="004D3C1E" w:rsidRPr="004F4FF3" w:rsidRDefault="004D3C1E" w:rsidP="004F4FF3">
      <w:pPr>
        <w:pStyle w:val="enumlev2"/>
        <w:rPr>
          <w:i/>
          <w:iCs/>
          <w:lang w:val="fr-FR"/>
        </w:rPr>
      </w:pPr>
      <w:r w:rsidRPr="002007AA">
        <w:rPr>
          <w:i/>
          <w:iCs/>
          <w:lang w:val="fr-FR"/>
        </w:rPr>
        <w:t>a)</w:t>
      </w:r>
      <w:r w:rsidRPr="002007AA">
        <w:rPr>
          <w:i/>
          <w:iCs/>
          <w:lang w:val="fr-FR"/>
        </w:rPr>
        <w:tab/>
        <w:t>d'examiner le statut de tous les cas de coordination restants, en tenant compte de toutes les propositions susmentionnées, y compris celles du RRB et du BR. À cet égard, pour les cas de coordination restants au titre du § 4.1.1 b) de l'Appendice </w:t>
      </w:r>
      <w:r w:rsidRPr="002007AA">
        <w:rPr>
          <w:b/>
          <w:bCs/>
          <w:i/>
          <w:iCs/>
          <w:lang w:val="fr-FR"/>
        </w:rPr>
        <w:t>30</w:t>
      </w:r>
      <w:r w:rsidRPr="002007AA">
        <w:rPr>
          <w:i/>
          <w:iCs/>
          <w:lang w:val="fr-FR"/>
        </w:rPr>
        <w:t xml:space="preserve"> du RR, si, après avoir pris en compte toutes les propositions susmentionnées, il ne reste plus qu'un seul point de mesure susceptible d'être affecté, la coordination est considérée comme achevée en ce qui concerne les assignations concernées inscrites dans la Liste le 1er janvier 2017 ou après cette </w:t>
      </w:r>
      <w:proofErr w:type="gramStart"/>
      <w:r w:rsidRPr="002007AA">
        <w:rPr>
          <w:i/>
          <w:iCs/>
          <w:lang w:val="fr-FR"/>
        </w:rPr>
        <w:t>date;</w:t>
      </w:r>
      <w:proofErr w:type="gramEnd"/>
    </w:p>
    <w:p w14:paraId="39FFF024" w14:textId="561BBD4D" w:rsidR="004D3C1E" w:rsidRPr="004D3C1E" w:rsidRDefault="004D3C1E" w:rsidP="004F4FF3">
      <w:pPr>
        <w:pStyle w:val="enumlev2"/>
        <w:rPr>
          <w:lang w:val="fr-FR"/>
        </w:rPr>
      </w:pPr>
      <w:r w:rsidRPr="002007AA">
        <w:rPr>
          <w:i/>
          <w:iCs/>
          <w:lang w:val="fr-FR"/>
        </w:rPr>
        <w:t>b)</w:t>
      </w:r>
      <w:r w:rsidRPr="002007AA">
        <w:rPr>
          <w:i/>
          <w:iCs/>
          <w:lang w:val="fr-FR"/>
        </w:rPr>
        <w:tab/>
        <w:t xml:space="preserve">d'appliquer toutes les mesures approuvées par la CMR-23 aux soumissions au titre de la Résolution </w:t>
      </w:r>
      <w:r w:rsidRPr="002007AA">
        <w:rPr>
          <w:b/>
          <w:bCs/>
          <w:i/>
          <w:iCs/>
          <w:lang w:val="fr-FR"/>
        </w:rPr>
        <w:t>559 (CMR-19)</w:t>
      </w:r>
      <w:r w:rsidRPr="002007AA">
        <w:rPr>
          <w:i/>
          <w:iCs/>
          <w:lang w:val="fr-FR"/>
        </w:rPr>
        <w:t xml:space="preserve"> présentées par les administrations de l'Afghanistan, de la Guinée équatoriale, de Malte et des Seychelles et aux applications futures des</w:t>
      </w:r>
      <w:r w:rsidR="001E3DF0">
        <w:rPr>
          <w:i/>
          <w:iCs/>
          <w:lang w:val="fr-FR"/>
        </w:rPr>
        <w:t xml:space="preserve"> </w:t>
      </w:r>
      <w:r w:rsidRPr="002007AA">
        <w:rPr>
          <w:i/>
          <w:iCs/>
          <w:lang w:val="fr-FR"/>
        </w:rPr>
        <w:t>§</w:t>
      </w:r>
      <w:r w:rsidR="001E3DF0">
        <w:rPr>
          <w:i/>
          <w:iCs/>
          <w:lang w:val="fr-FR"/>
        </w:rPr>
        <w:t> </w:t>
      </w:r>
      <w:r w:rsidRPr="002007AA">
        <w:rPr>
          <w:i/>
          <w:iCs/>
          <w:lang w:val="fr-FR"/>
        </w:rPr>
        <w:t>4.1.26 ou 4.1.27 de l'Article</w:t>
      </w:r>
      <w:r w:rsidRPr="002007AA">
        <w:rPr>
          <w:b/>
          <w:bCs/>
          <w:i/>
          <w:iCs/>
          <w:lang w:val="fr-FR"/>
        </w:rPr>
        <w:t xml:space="preserve"> </w:t>
      </w:r>
      <w:r w:rsidRPr="001E3DF0">
        <w:rPr>
          <w:i/>
          <w:iCs/>
          <w:lang w:val="fr-FR"/>
        </w:rPr>
        <w:t>4</w:t>
      </w:r>
      <w:r w:rsidRPr="002007AA">
        <w:rPr>
          <w:b/>
          <w:bCs/>
          <w:i/>
          <w:iCs/>
          <w:lang w:val="fr-FR"/>
        </w:rPr>
        <w:t xml:space="preserve"> </w:t>
      </w:r>
      <w:r w:rsidRPr="002007AA">
        <w:rPr>
          <w:i/>
          <w:iCs/>
          <w:lang w:val="fr-FR"/>
        </w:rPr>
        <w:t>des Appendices </w:t>
      </w:r>
      <w:r w:rsidRPr="002007AA">
        <w:rPr>
          <w:b/>
          <w:bCs/>
          <w:i/>
          <w:iCs/>
          <w:lang w:val="fr-FR"/>
        </w:rPr>
        <w:t>30</w:t>
      </w:r>
      <w:r w:rsidRPr="002007AA">
        <w:rPr>
          <w:i/>
          <w:iCs/>
          <w:lang w:val="fr-FR"/>
        </w:rPr>
        <w:t xml:space="preserve"> et </w:t>
      </w:r>
      <w:r w:rsidRPr="002007AA">
        <w:rPr>
          <w:b/>
          <w:bCs/>
          <w:i/>
          <w:iCs/>
          <w:lang w:val="fr-FR"/>
        </w:rPr>
        <w:t>30A</w:t>
      </w:r>
      <w:r w:rsidRPr="002007AA">
        <w:rPr>
          <w:i/>
          <w:iCs/>
          <w:lang w:val="fr-FR"/>
        </w:rPr>
        <w:t xml:space="preserve"> du RR, qui sont de même nature que la Résolution </w:t>
      </w:r>
      <w:r w:rsidRPr="002007AA">
        <w:rPr>
          <w:b/>
          <w:bCs/>
          <w:i/>
          <w:iCs/>
          <w:lang w:val="fr-FR"/>
        </w:rPr>
        <w:t>559 (CMR-19</w:t>
      </w:r>
      <w:proofErr w:type="gramStart"/>
      <w:r w:rsidRPr="002007AA">
        <w:rPr>
          <w:b/>
          <w:bCs/>
          <w:i/>
          <w:iCs/>
          <w:lang w:val="fr-FR"/>
        </w:rPr>
        <w:t>)</w:t>
      </w:r>
      <w:r w:rsidRPr="002007AA">
        <w:rPr>
          <w:i/>
          <w:iCs/>
          <w:lang w:val="fr-FR"/>
        </w:rPr>
        <w:t>»</w:t>
      </w:r>
      <w:proofErr w:type="gramEnd"/>
      <w:r w:rsidR="00A806C4" w:rsidRPr="002007AA">
        <w:rPr>
          <w:i/>
          <w:iCs/>
          <w:lang w:val="fr-FR"/>
        </w:rPr>
        <w:t>.</w:t>
      </w:r>
    </w:p>
    <w:p w14:paraId="143FA831" w14:textId="7902765C" w:rsidR="00E052A7" w:rsidRDefault="00E052A7" w:rsidP="004D3C1E">
      <w:pPr>
        <w:jc w:val="center"/>
        <w:rPr>
          <w:rFonts w:asciiTheme="majorBidi" w:hAnsiTheme="majorBidi" w:cstheme="majorBidi"/>
          <w:color w:val="000000"/>
          <w:lang w:val="fr-FR"/>
        </w:rPr>
      </w:pPr>
      <w:r w:rsidRPr="002007AA">
        <w:rPr>
          <w:rFonts w:asciiTheme="majorBidi" w:hAnsiTheme="majorBidi" w:cstheme="majorBidi"/>
          <w:color w:val="000000"/>
          <w:lang w:val="fr-FR"/>
        </w:rPr>
        <w:t>____________________</w:t>
      </w:r>
    </w:p>
    <w:p w14:paraId="2B9FD283" w14:textId="77777777" w:rsidR="001E3DF0" w:rsidRDefault="001E3DF0" w:rsidP="004D3C1E">
      <w:pPr>
        <w:jc w:val="center"/>
        <w:rPr>
          <w:rFonts w:asciiTheme="majorBidi" w:hAnsiTheme="majorBidi" w:cstheme="majorBidi"/>
          <w:color w:val="000000"/>
          <w:lang w:val="fr-FR"/>
        </w:rPr>
      </w:pPr>
    </w:p>
    <w:p w14:paraId="314251B6" w14:textId="77777777" w:rsidR="001E3DF0" w:rsidRDefault="001E3DF0" w:rsidP="004D3C1E">
      <w:pPr>
        <w:jc w:val="center"/>
        <w:rPr>
          <w:rFonts w:asciiTheme="majorBidi" w:hAnsiTheme="majorBidi" w:cstheme="majorBidi"/>
          <w:color w:val="000000"/>
          <w:lang w:val="fr-FR"/>
        </w:rPr>
      </w:pPr>
    </w:p>
    <w:p w14:paraId="7AE0A6EA" w14:textId="77777777" w:rsidR="001E3DF0" w:rsidRDefault="001E3DF0" w:rsidP="004D3C1E">
      <w:pPr>
        <w:jc w:val="center"/>
        <w:rPr>
          <w:rFonts w:asciiTheme="majorBidi" w:hAnsiTheme="majorBidi" w:cstheme="majorBidi"/>
          <w:color w:val="000000"/>
          <w:lang w:val="fr-FR"/>
        </w:rPr>
      </w:pPr>
    </w:p>
    <w:p w14:paraId="4E463DAD" w14:textId="77777777" w:rsidR="001E3DF0" w:rsidRDefault="001E3DF0" w:rsidP="004D3C1E">
      <w:pPr>
        <w:jc w:val="center"/>
        <w:rPr>
          <w:rFonts w:asciiTheme="majorBidi" w:hAnsiTheme="majorBidi" w:cstheme="majorBidi"/>
          <w:color w:val="000000"/>
          <w:lang w:val="fr-FR"/>
        </w:rPr>
      </w:pPr>
    </w:p>
    <w:p w14:paraId="0BF2AE92" w14:textId="77777777" w:rsidR="001E3DF0" w:rsidRDefault="001E3DF0" w:rsidP="004D3C1E">
      <w:pPr>
        <w:jc w:val="center"/>
        <w:rPr>
          <w:rFonts w:asciiTheme="majorBidi" w:hAnsiTheme="majorBidi" w:cstheme="majorBidi"/>
          <w:color w:val="000000"/>
          <w:lang w:val="fr-FR"/>
        </w:rPr>
      </w:pPr>
    </w:p>
    <w:p w14:paraId="782A2A4B" w14:textId="77777777" w:rsidR="001E3DF0" w:rsidRDefault="001E3DF0" w:rsidP="004D3C1E">
      <w:pPr>
        <w:jc w:val="center"/>
        <w:rPr>
          <w:rFonts w:asciiTheme="majorBidi" w:hAnsiTheme="majorBidi" w:cstheme="majorBidi"/>
          <w:color w:val="000000"/>
          <w:lang w:val="fr-FR"/>
        </w:rPr>
      </w:pPr>
    </w:p>
    <w:p w14:paraId="59C14B6C" w14:textId="77777777" w:rsidR="001E3DF0" w:rsidRDefault="001E3DF0" w:rsidP="004D3C1E">
      <w:pPr>
        <w:jc w:val="center"/>
        <w:rPr>
          <w:rFonts w:asciiTheme="majorBidi" w:hAnsiTheme="majorBidi" w:cstheme="majorBidi"/>
          <w:color w:val="000000"/>
          <w:lang w:val="fr-FR"/>
        </w:rPr>
      </w:pPr>
    </w:p>
    <w:p w14:paraId="6908D08F" w14:textId="77777777" w:rsidR="001E3DF0" w:rsidRDefault="001E3DF0" w:rsidP="004D3C1E">
      <w:pPr>
        <w:jc w:val="center"/>
        <w:rPr>
          <w:rFonts w:asciiTheme="majorBidi" w:hAnsiTheme="majorBidi" w:cstheme="majorBidi"/>
          <w:color w:val="000000"/>
          <w:lang w:val="fr-FR"/>
        </w:rPr>
      </w:pPr>
    </w:p>
    <w:p w14:paraId="3ADFE14D" w14:textId="77777777" w:rsidR="001E3DF0" w:rsidRDefault="001E3DF0" w:rsidP="004D3C1E">
      <w:pPr>
        <w:jc w:val="center"/>
        <w:rPr>
          <w:rFonts w:asciiTheme="majorBidi" w:hAnsiTheme="majorBidi" w:cstheme="majorBidi"/>
          <w:color w:val="000000"/>
          <w:lang w:val="fr-FR"/>
        </w:rPr>
      </w:pPr>
    </w:p>
    <w:p w14:paraId="70B05EFC" w14:textId="77777777" w:rsidR="001E3DF0" w:rsidRDefault="001E3DF0" w:rsidP="004D3C1E">
      <w:pPr>
        <w:jc w:val="center"/>
        <w:rPr>
          <w:rFonts w:asciiTheme="majorBidi" w:hAnsiTheme="majorBidi" w:cstheme="majorBidi"/>
          <w:color w:val="000000"/>
          <w:lang w:val="fr-FR"/>
        </w:rPr>
      </w:pPr>
    </w:p>
    <w:p w14:paraId="57919ABD" w14:textId="77777777" w:rsidR="001E3DF0" w:rsidRDefault="001E3DF0" w:rsidP="004D3C1E">
      <w:pPr>
        <w:jc w:val="center"/>
        <w:rPr>
          <w:rFonts w:asciiTheme="majorBidi" w:hAnsiTheme="majorBidi" w:cstheme="majorBidi"/>
          <w:color w:val="000000"/>
          <w:lang w:val="fr-FR"/>
        </w:rPr>
      </w:pPr>
    </w:p>
    <w:p w14:paraId="3F07DEFD" w14:textId="77777777" w:rsidR="001E3DF0" w:rsidRDefault="001E3DF0" w:rsidP="004D3C1E">
      <w:pPr>
        <w:jc w:val="center"/>
        <w:rPr>
          <w:rFonts w:asciiTheme="majorBidi" w:hAnsiTheme="majorBidi" w:cstheme="majorBidi"/>
          <w:color w:val="000000"/>
          <w:lang w:val="fr-FR"/>
        </w:rPr>
      </w:pPr>
    </w:p>
    <w:p w14:paraId="7066C189" w14:textId="77777777" w:rsidR="001E3DF0" w:rsidRDefault="001E3DF0" w:rsidP="004D3C1E">
      <w:pPr>
        <w:jc w:val="center"/>
        <w:rPr>
          <w:rFonts w:asciiTheme="majorBidi" w:hAnsiTheme="majorBidi" w:cstheme="majorBidi"/>
          <w:color w:val="000000"/>
          <w:lang w:val="fr-FR"/>
        </w:rPr>
      </w:pPr>
    </w:p>
    <w:p w14:paraId="33A8AD63" w14:textId="77777777" w:rsidR="001E3DF0" w:rsidRPr="002007AA" w:rsidRDefault="001E3DF0" w:rsidP="004D3C1E">
      <w:pPr>
        <w:jc w:val="center"/>
        <w:rPr>
          <w:rFonts w:asciiTheme="majorBidi" w:hAnsiTheme="majorBidi" w:cstheme="majorBidi"/>
          <w:color w:val="000000"/>
          <w:lang w:val="fr-FR"/>
        </w:rPr>
      </w:pPr>
    </w:p>
    <w:sectPr w:rsidR="001E3DF0" w:rsidRPr="002007AA" w:rsidSect="0089365D">
      <w:headerReference w:type="even" r:id="rId7"/>
      <w:headerReference w:type="default" r:id="rId8"/>
      <w:footerReference w:type="even" r:id="rId9"/>
      <w:footerReference w:type="default" r:id="rId10"/>
      <w:headerReference w:type="first" r:id="rId11"/>
      <w:footerReference w:type="first" r:id="rId12"/>
      <w:footnotePr>
        <w:pos w:val="beneathText"/>
      </w:footnotePr>
      <w:pgSz w:w="11907" w:h="16840" w:code="9"/>
      <w:pgMar w:top="1701" w:right="851" w:bottom="1134" w:left="1985" w:header="720" w:footer="482" w:gutter="0"/>
      <w:cols w:space="720"/>
      <w:vAlign w:val="both"/>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9A7806" w14:textId="77777777" w:rsidR="00824378" w:rsidRDefault="00824378">
      <w:r>
        <w:separator/>
      </w:r>
    </w:p>
  </w:endnote>
  <w:endnote w:type="continuationSeparator" w:id="0">
    <w:p w14:paraId="30701766" w14:textId="77777777" w:rsidR="00824378" w:rsidRDefault="008243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PSMT"/>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F8A77C" w14:textId="77777777" w:rsidR="007A6872" w:rsidRDefault="007A687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744228" w14:textId="77777777" w:rsidR="007A6872" w:rsidRDefault="007A687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A650F2" w14:textId="77777777" w:rsidR="007A6872" w:rsidRDefault="007A687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2411ED" w14:textId="77777777" w:rsidR="00824378" w:rsidRDefault="00824378">
      <w:r>
        <w:rPr>
          <w:b/>
        </w:rPr>
        <w:t>_______________</w:t>
      </w:r>
    </w:p>
  </w:footnote>
  <w:footnote w:type="continuationSeparator" w:id="0">
    <w:p w14:paraId="0968A897" w14:textId="77777777" w:rsidR="00824378" w:rsidRDefault="008243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4A0" w:firstRow="1" w:lastRow="0" w:firstColumn="1" w:lastColumn="0" w:noHBand="0" w:noVBand="1"/>
    </w:tblPr>
    <w:tblGrid>
      <w:gridCol w:w="1701"/>
      <w:gridCol w:w="1701"/>
      <w:gridCol w:w="1701"/>
      <w:gridCol w:w="1701"/>
    </w:tblGrid>
    <w:tr w:rsidR="007A6872" w14:paraId="19270DB1" w14:textId="77777777" w:rsidTr="007A6872">
      <w:trPr>
        <w:cantSplit/>
      </w:trPr>
      <w:tc>
        <w:tcPr>
          <w:tcW w:w="1701" w:type="dxa"/>
          <w:tcBorders>
            <w:top w:val="single" w:sz="6" w:space="0" w:color="auto"/>
            <w:left w:val="single" w:sz="6" w:space="0" w:color="auto"/>
            <w:bottom w:val="single" w:sz="6" w:space="0" w:color="auto"/>
            <w:right w:val="single" w:sz="6" w:space="0" w:color="auto"/>
          </w:tcBorders>
          <w:hideMark/>
        </w:tcPr>
        <w:p w14:paraId="460ECF0D" w14:textId="77777777" w:rsidR="007A6872" w:rsidRDefault="007A6872" w:rsidP="007A6872">
          <w:pPr>
            <w:pStyle w:val="HeaderRegProc"/>
            <w:rPr>
              <w:lang w:eastAsia="zh-CN"/>
            </w:rPr>
          </w:pPr>
          <w:proofErr w:type="spellStart"/>
          <w:r>
            <w:rPr>
              <w:lang w:eastAsia="zh-CN"/>
            </w:rPr>
            <w:t>Partie</w:t>
          </w:r>
          <w:proofErr w:type="spellEnd"/>
          <w:r>
            <w:rPr>
              <w:lang w:eastAsia="zh-CN"/>
            </w:rPr>
            <w:t xml:space="preserve"> A1</w:t>
          </w:r>
        </w:p>
      </w:tc>
      <w:tc>
        <w:tcPr>
          <w:tcW w:w="1701" w:type="dxa"/>
          <w:tcBorders>
            <w:top w:val="single" w:sz="6" w:space="0" w:color="auto"/>
            <w:left w:val="single" w:sz="6" w:space="0" w:color="auto"/>
            <w:bottom w:val="single" w:sz="6" w:space="0" w:color="auto"/>
            <w:right w:val="single" w:sz="6" w:space="0" w:color="auto"/>
          </w:tcBorders>
          <w:hideMark/>
        </w:tcPr>
        <w:p w14:paraId="412A070E" w14:textId="77777777" w:rsidR="007A6872" w:rsidRDefault="007A6872" w:rsidP="007A6872">
          <w:pPr>
            <w:pStyle w:val="HeaderRegProc"/>
            <w:rPr>
              <w:lang w:val="fr-FR" w:eastAsia="zh-CN"/>
            </w:rPr>
          </w:pPr>
          <w:r>
            <w:rPr>
              <w:lang w:eastAsia="zh-CN"/>
            </w:rPr>
            <w:t>RES559</w:t>
          </w:r>
        </w:p>
      </w:tc>
      <w:tc>
        <w:tcPr>
          <w:tcW w:w="1701" w:type="dxa"/>
          <w:tcBorders>
            <w:top w:val="single" w:sz="6" w:space="0" w:color="auto"/>
            <w:left w:val="single" w:sz="6" w:space="0" w:color="auto"/>
            <w:bottom w:val="single" w:sz="6" w:space="0" w:color="auto"/>
            <w:right w:val="single" w:sz="6" w:space="0" w:color="auto"/>
          </w:tcBorders>
          <w:hideMark/>
        </w:tcPr>
        <w:p w14:paraId="045D7C0E" w14:textId="77777777" w:rsidR="007A6872" w:rsidRDefault="007A6872" w:rsidP="007A6872">
          <w:pPr>
            <w:pStyle w:val="HeaderRegProc"/>
            <w:rPr>
              <w:lang w:val="fr-CH" w:eastAsia="zh-CN"/>
            </w:rPr>
          </w:pPr>
          <w:proofErr w:type="gramStart"/>
          <w:r>
            <w:rPr>
              <w:lang w:val="fr-FR" w:eastAsia="zh-CN"/>
            </w:rPr>
            <w:t>page</w:t>
          </w:r>
          <w:proofErr w:type="gramEnd"/>
          <w:r>
            <w:rPr>
              <w:lang w:val="fr-FR" w:eastAsia="zh-CN"/>
            </w:rPr>
            <w:t xml:space="preserve"> </w:t>
          </w:r>
          <w:r>
            <w:rPr>
              <w:rStyle w:val="PageNumber"/>
              <w:lang w:eastAsia="zh-CN"/>
            </w:rPr>
            <w:fldChar w:fldCharType="begin"/>
          </w:r>
          <w:r>
            <w:rPr>
              <w:rStyle w:val="PageNumber"/>
              <w:lang w:eastAsia="zh-CN"/>
            </w:rPr>
            <w:instrText xml:space="preserve"> PAGE </w:instrText>
          </w:r>
          <w:r>
            <w:rPr>
              <w:rStyle w:val="PageNumber"/>
              <w:lang w:eastAsia="zh-CN"/>
            </w:rPr>
            <w:fldChar w:fldCharType="separate"/>
          </w:r>
          <w:r>
            <w:rPr>
              <w:rStyle w:val="PageNumber"/>
              <w:noProof/>
              <w:lang w:eastAsia="zh-CN"/>
            </w:rPr>
            <w:t>1</w:t>
          </w:r>
          <w:r>
            <w:rPr>
              <w:rStyle w:val="PageNumber"/>
              <w:lang w:eastAsia="zh-CN"/>
            </w:rPr>
            <w:fldChar w:fldCharType="end"/>
          </w:r>
        </w:p>
      </w:tc>
      <w:tc>
        <w:tcPr>
          <w:tcW w:w="1701" w:type="dxa"/>
          <w:tcBorders>
            <w:top w:val="single" w:sz="6" w:space="0" w:color="auto"/>
            <w:left w:val="single" w:sz="6" w:space="0" w:color="auto"/>
            <w:bottom w:val="single" w:sz="6" w:space="0" w:color="auto"/>
            <w:right w:val="single" w:sz="6" w:space="0" w:color="auto"/>
          </w:tcBorders>
          <w:hideMark/>
        </w:tcPr>
        <w:p w14:paraId="116CE201" w14:textId="77777777" w:rsidR="007A6872" w:rsidRDefault="007A6872" w:rsidP="007A6872">
          <w:pPr>
            <w:pStyle w:val="HeaderRegProc"/>
            <w:rPr>
              <w:lang w:val="fr-CH" w:eastAsia="zh-CN"/>
            </w:rPr>
          </w:pPr>
          <w:proofErr w:type="gramStart"/>
          <w:r>
            <w:rPr>
              <w:lang w:val="fr-CH" w:eastAsia="zh-CN"/>
            </w:rPr>
            <w:t>rév</w:t>
          </w:r>
          <w:proofErr w:type="gramEnd"/>
          <w:r>
            <w:rPr>
              <w:lang w:val="fr-CH" w:eastAsia="zh-CN"/>
            </w:rPr>
            <w:t>. -</w:t>
          </w:r>
        </w:p>
      </w:tc>
    </w:tr>
  </w:tbl>
  <w:p w14:paraId="4C6B2315" w14:textId="77777777" w:rsidR="007A6872" w:rsidRDefault="007A687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4A0" w:firstRow="1" w:lastRow="0" w:firstColumn="1" w:lastColumn="0" w:noHBand="0" w:noVBand="1"/>
    </w:tblPr>
    <w:tblGrid>
      <w:gridCol w:w="1701"/>
      <w:gridCol w:w="1701"/>
      <w:gridCol w:w="1701"/>
      <w:gridCol w:w="1701"/>
    </w:tblGrid>
    <w:tr w:rsidR="007A6872" w14:paraId="249E9CAD" w14:textId="77777777" w:rsidTr="00A6225F">
      <w:trPr>
        <w:cantSplit/>
        <w:jc w:val="right"/>
      </w:trPr>
      <w:tc>
        <w:tcPr>
          <w:tcW w:w="1701" w:type="dxa"/>
          <w:tcBorders>
            <w:top w:val="single" w:sz="6" w:space="0" w:color="auto"/>
            <w:left w:val="single" w:sz="6" w:space="0" w:color="auto"/>
            <w:bottom w:val="single" w:sz="6" w:space="0" w:color="auto"/>
            <w:right w:val="single" w:sz="6" w:space="0" w:color="auto"/>
          </w:tcBorders>
          <w:hideMark/>
        </w:tcPr>
        <w:p w14:paraId="266FC1C6" w14:textId="77777777" w:rsidR="007A6872" w:rsidRDefault="007A6872" w:rsidP="007A6872">
          <w:pPr>
            <w:pStyle w:val="HeaderRegProc"/>
            <w:rPr>
              <w:lang w:eastAsia="zh-CN"/>
            </w:rPr>
          </w:pPr>
          <w:proofErr w:type="spellStart"/>
          <w:r>
            <w:rPr>
              <w:lang w:eastAsia="zh-CN"/>
            </w:rPr>
            <w:t>Partie</w:t>
          </w:r>
          <w:proofErr w:type="spellEnd"/>
          <w:r>
            <w:rPr>
              <w:lang w:eastAsia="zh-CN"/>
            </w:rPr>
            <w:t xml:space="preserve"> A1</w:t>
          </w:r>
        </w:p>
      </w:tc>
      <w:tc>
        <w:tcPr>
          <w:tcW w:w="1701" w:type="dxa"/>
          <w:tcBorders>
            <w:top w:val="single" w:sz="6" w:space="0" w:color="auto"/>
            <w:left w:val="single" w:sz="6" w:space="0" w:color="auto"/>
            <w:bottom w:val="single" w:sz="6" w:space="0" w:color="auto"/>
            <w:right w:val="single" w:sz="6" w:space="0" w:color="auto"/>
          </w:tcBorders>
          <w:hideMark/>
        </w:tcPr>
        <w:p w14:paraId="28697D88" w14:textId="77777777" w:rsidR="007A6872" w:rsidRDefault="007A6872" w:rsidP="007A6872">
          <w:pPr>
            <w:pStyle w:val="HeaderRegProc"/>
            <w:rPr>
              <w:lang w:val="fr-FR" w:eastAsia="zh-CN"/>
            </w:rPr>
          </w:pPr>
          <w:r>
            <w:rPr>
              <w:lang w:eastAsia="zh-CN"/>
            </w:rPr>
            <w:t>RES559</w:t>
          </w:r>
        </w:p>
      </w:tc>
      <w:tc>
        <w:tcPr>
          <w:tcW w:w="1701" w:type="dxa"/>
          <w:tcBorders>
            <w:top w:val="single" w:sz="6" w:space="0" w:color="auto"/>
            <w:left w:val="single" w:sz="6" w:space="0" w:color="auto"/>
            <w:bottom w:val="single" w:sz="6" w:space="0" w:color="auto"/>
            <w:right w:val="single" w:sz="6" w:space="0" w:color="auto"/>
          </w:tcBorders>
          <w:hideMark/>
        </w:tcPr>
        <w:p w14:paraId="72019183" w14:textId="77777777" w:rsidR="007A6872" w:rsidRDefault="007A6872" w:rsidP="007A6872">
          <w:pPr>
            <w:pStyle w:val="HeaderRegProc"/>
            <w:rPr>
              <w:lang w:val="fr-CH" w:eastAsia="zh-CN"/>
            </w:rPr>
          </w:pPr>
          <w:proofErr w:type="gramStart"/>
          <w:r>
            <w:rPr>
              <w:lang w:val="fr-FR" w:eastAsia="zh-CN"/>
            </w:rPr>
            <w:t>page</w:t>
          </w:r>
          <w:proofErr w:type="gramEnd"/>
          <w:r>
            <w:rPr>
              <w:lang w:val="fr-FR" w:eastAsia="zh-CN"/>
            </w:rPr>
            <w:t xml:space="preserve"> </w:t>
          </w:r>
          <w:r>
            <w:rPr>
              <w:rStyle w:val="PageNumber"/>
              <w:lang w:eastAsia="zh-CN"/>
            </w:rPr>
            <w:fldChar w:fldCharType="begin"/>
          </w:r>
          <w:r>
            <w:rPr>
              <w:rStyle w:val="PageNumber"/>
              <w:lang w:eastAsia="zh-CN"/>
            </w:rPr>
            <w:instrText xml:space="preserve"> PAGE </w:instrText>
          </w:r>
          <w:r>
            <w:rPr>
              <w:rStyle w:val="PageNumber"/>
              <w:lang w:eastAsia="zh-CN"/>
            </w:rPr>
            <w:fldChar w:fldCharType="separate"/>
          </w:r>
          <w:r>
            <w:rPr>
              <w:rStyle w:val="PageNumber"/>
              <w:noProof/>
              <w:lang w:eastAsia="zh-CN"/>
            </w:rPr>
            <w:t>1</w:t>
          </w:r>
          <w:r>
            <w:rPr>
              <w:rStyle w:val="PageNumber"/>
              <w:lang w:eastAsia="zh-CN"/>
            </w:rPr>
            <w:fldChar w:fldCharType="end"/>
          </w:r>
        </w:p>
      </w:tc>
      <w:tc>
        <w:tcPr>
          <w:tcW w:w="1701" w:type="dxa"/>
          <w:tcBorders>
            <w:top w:val="single" w:sz="6" w:space="0" w:color="auto"/>
            <w:left w:val="single" w:sz="6" w:space="0" w:color="auto"/>
            <w:bottom w:val="single" w:sz="6" w:space="0" w:color="auto"/>
            <w:right w:val="single" w:sz="6" w:space="0" w:color="auto"/>
          </w:tcBorders>
          <w:hideMark/>
        </w:tcPr>
        <w:p w14:paraId="413836E4" w14:textId="77777777" w:rsidR="007A6872" w:rsidRDefault="007A6872" w:rsidP="007A6872">
          <w:pPr>
            <w:pStyle w:val="HeaderRegProc"/>
            <w:rPr>
              <w:lang w:val="fr-CH" w:eastAsia="zh-CN"/>
            </w:rPr>
          </w:pPr>
          <w:proofErr w:type="gramStart"/>
          <w:r>
            <w:rPr>
              <w:lang w:val="fr-CH" w:eastAsia="zh-CN"/>
            </w:rPr>
            <w:t>rév</w:t>
          </w:r>
          <w:proofErr w:type="gramEnd"/>
          <w:r>
            <w:rPr>
              <w:lang w:val="fr-CH" w:eastAsia="zh-CN"/>
            </w:rPr>
            <w:t>. -</w:t>
          </w:r>
        </w:p>
      </w:tc>
    </w:tr>
  </w:tbl>
  <w:p w14:paraId="057EAE1D" w14:textId="77777777" w:rsidR="007A6872" w:rsidRDefault="007A687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4A0" w:firstRow="1" w:lastRow="0" w:firstColumn="1" w:lastColumn="0" w:noHBand="0" w:noVBand="1"/>
    </w:tblPr>
    <w:tblGrid>
      <w:gridCol w:w="1701"/>
      <w:gridCol w:w="1701"/>
      <w:gridCol w:w="1701"/>
      <w:gridCol w:w="1701"/>
    </w:tblGrid>
    <w:tr w:rsidR="007D105E" w14:paraId="6AD0BD24" w14:textId="77777777" w:rsidTr="007D105E">
      <w:trPr>
        <w:cantSplit/>
        <w:jc w:val="right"/>
      </w:trPr>
      <w:tc>
        <w:tcPr>
          <w:tcW w:w="1701" w:type="dxa"/>
          <w:tcBorders>
            <w:top w:val="single" w:sz="6" w:space="0" w:color="auto"/>
            <w:left w:val="single" w:sz="6" w:space="0" w:color="auto"/>
            <w:bottom w:val="single" w:sz="6" w:space="0" w:color="auto"/>
            <w:right w:val="single" w:sz="6" w:space="0" w:color="auto"/>
          </w:tcBorders>
          <w:hideMark/>
        </w:tcPr>
        <w:p w14:paraId="4A180EE2" w14:textId="77777777" w:rsidR="007D105E" w:rsidRDefault="007D105E" w:rsidP="007D105E">
          <w:pPr>
            <w:pStyle w:val="HeaderRegProc"/>
            <w:rPr>
              <w:lang w:eastAsia="zh-CN"/>
            </w:rPr>
          </w:pPr>
          <w:proofErr w:type="spellStart"/>
          <w:r>
            <w:rPr>
              <w:lang w:eastAsia="zh-CN"/>
            </w:rPr>
            <w:t>Partie</w:t>
          </w:r>
          <w:proofErr w:type="spellEnd"/>
          <w:r>
            <w:rPr>
              <w:lang w:eastAsia="zh-CN"/>
            </w:rPr>
            <w:t xml:space="preserve"> A1</w:t>
          </w:r>
        </w:p>
      </w:tc>
      <w:tc>
        <w:tcPr>
          <w:tcW w:w="1701" w:type="dxa"/>
          <w:tcBorders>
            <w:top w:val="single" w:sz="6" w:space="0" w:color="auto"/>
            <w:left w:val="single" w:sz="6" w:space="0" w:color="auto"/>
            <w:bottom w:val="single" w:sz="6" w:space="0" w:color="auto"/>
            <w:right w:val="single" w:sz="6" w:space="0" w:color="auto"/>
          </w:tcBorders>
          <w:hideMark/>
        </w:tcPr>
        <w:p w14:paraId="17FFC973" w14:textId="1B96B862" w:rsidR="007D105E" w:rsidRDefault="007D105E" w:rsidP="007D105E">
          <w:pPr>
            <w:pStyle w:val="HeaderRegProc"/>
            <w:rPr>
              <w:lang w:val="fr-FR" w:eastAsia="zh-CN"/>
            </w:rPr>
          </w:pPr>
          <w:r>
            <w:rPr>
              <w:lang w:eastAsia="zh-CN"/>
            </w:rPr>
            <w:t>RES559</w:t>
          </w:r>
        </w:p>
      </w:tc>
      <w:tc>
        <w:tcPr>
          <w:tcW w:w="1701" w:type="dxa"/>
          <w:tcBorders>
            <w:top w:val="single" w:sz="6" w:space="0" w:color="auto"/>
            <w:left w:val="single" w:sz="6" w:space="0" w:color="auto"/>
            <w:bottom w:val="single" w:sz="6" w:space="0" w:color="auto"/>
            <w:right w:val="single" w:sz="6" w:space="0" w:color="auto"/>
          </w:tcBorders>
          <w:hideMark/>
        </w:tcPr>
        <w:p w14:paraId="4ADFEFFB" w14:textId="77777777" w:rsidR="007D105E" w:rsidRDefault="007D105E" w:rsidP="007D105E">
          <w:pPr>
            <w:pStyle w:val="HeaderRegProc"/>
            <w:rPr>
              <w:lang w:val="fr-CH" w:eastAsia="zh-CN"/>
            </w:rPr>
          </w:pPr>
          <w:proofErr w:type="gramStart"/>
          <w:r>
            <w:rPr>
              <w:lang w:val="fr-FR" w:eastAsia="zh-CN"/>
            </w:rPr>
            <w:t>page</w:t>
          </w:r>
          <w:proofErr w:type="gramEnd"/>
          <w:r>
            <w:rPr>
              <w:lang w:val="fr-FR" w:eastAsia="zh-CN"/>
            </w:rPr>
            <w:t xml:space="preserve"> </w:t>
          </w:r>
          <w:r>
            <w:rPr>
              <w:rStyle w:val="PageNumber"/>
              <w:lang w:eastAsia="zh-CN"/>
            </w:rPr>
            <w:fldChar w:fldCharType="begin"/>
          </w:r>
          <w:r>
            <w:rPr>
              <w:rStyle w:val="PageNumber"/>
              <w:lang w:eastAsia="zh-CN"/>
            </w:rPr>
            <w:instrText xml:space="preserve"> PAGE </w:instrText>
          </w:r>
          <w:r>
            <w:rPr>
              <w:rStyle w:val="PageNumber"/>
              <w:lang w:eastAsia="zh-CN"/>
            </w:rPr>
            <w:fldChar w:fldCharType="separate"/>
          </w:r>
          <w:r>
            <w:rPr>
              <w:rStyle w:val="PageNumber"/>
              <w:noProof/>
              <w:lang w:eastAsia="zh-CN"/>
            </w:rPr>
            <w:t>1</w:t>
          </w:r>
          <w:r>
            <w:rPr>
              <w:rStyle w:val="PageNumber"/>
              <w:lang w:eastAsia="zh-CN"/>
            </w:rPr>
            <w:fldChar w:fldCharType="end"/>
          </w:r>
        </w:p>
      </w:tc>
      <w:tc>
        <w:tcPr>
          <w:tcW w:w="1701" w:type="dxa"/>
          <w:tcBorders>
            <w:top w:val="single" w:sz="6" w:space="0" w:color="auto"/>
            <w:left w:val="single" w:sz="6" w:space="0" w:color="auto"/>
            <w:bottom w:val="single" w:sz="6" w:space="0" w:color="auto"/>
            <w:right w:val="single" w:sz="6" w:space="0" w:color="auto"/>
          </w:tcBorders>
          <w:hideMark/>
        </w:tcPr>
        <w:p w14:paraId="0C065AA9" w14:textId="16F94016" w:rsidR="007D105E" w:rsidRDefault="007D105E" w:rsidP="007D105E">
          <w:pPr>
            <w:pStyle w:val="HeaderRegProc"/>
            <w:rPr>
              <w:lang w:val="fr-CH" w:eastAsia="zh-CN"/>
            </w:rPr>
          </w:pPr>
          <w:proofErr w:type="gramStart"/>
          <w:r>
            <w:rPr>
              <w:lang w:val="fr-CH" w:eastAsia="zh-CN"/>
            </w:rPr>
            <w:t>rév</w:t>
          </w:r>
          <w:proofErr w:type="gramEnd"/>
          <w:r>
            <w:rPr>
              <w:lang w:val="fr-CH" w:eastAsia="zh-CN"/>
            </w:rPr>
            <w:t>. -</w:t>
          </w:r>
        </w:p>
      </w:tc>
    </w:tr>
  </w:tbl>
  <w:p w14:paraId="77C9EBBD" w14:textId="77777777" w:rsidR="007D105E" w:rsidRDefault="007D105E">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mirrorMargin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32769"/>
  </w:hdrShapeDefault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52A7"/>
    <w:rsid w:val="000A14AD"/>
    <w:rsid w:val="000E7624"/>
    <w:rsid w:val="000F7D8B"/>
    <w:rsid w:val="00116408"/>
    <w:rsid w:val="00117C3F"/>
    <w:rsid w:val="001221BA"/>
    <w:rsid w:val="001E3DF0"/>
    <w:rsid w:val="002007AA"/>
    <w:rsid w:val="002367E3"/>
    <w:rsid w:val="003076EA"/>
    <w:rsid w:val="004D3C1E"/>
    <w:rsid w:val="004F4FF3"/>
    <w:rsid w:val="00545224"/>
    <w:rsid w:val="005C1AF6"/>
    <w:rsid w:val="006A4C0E"/>
    <w:rsid w:val="00762ECE"/>
    <w:rsid w:val="007A6872"/>
    <w:rsid w:val="007D105E"/>
    <w:rsid w:val="007E3EEF"/>
    <w:rsid w:val="00824378"/>
    <w:rsid w:val="00844A76"/>
    <w:rsid w:val="0089365D"/>
    <w:rsid w:val="00A54080"/>
    <w:rsid w:val="00A806C4"/>
    <w:rsid w:val="00AE6875"/>
    <w:rsid w:val="00B623D7"/>
    <w:rsid w:val="00BB4E79"/>
    <w:rsid w:val="00C91547"/>
    <w:rsid w:val="00CC1BC0"/>
    <w:rsid w:val="00D41107"/>
    <w:rsid w:val="00E052A7"/>
    <w:rsid w:val="00E62A47"/>
    <w:rsid w:val="00EC4FE1"/>
    <w:rsid w:val="00F715D6"/>
    <w:rsid w:val="00FB2CB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o:shapelayout v:ext="edit">
      <o:idmap v:ext="edit" data="1"/>
    </o:shapelayout>
  </w:shapeDefaults>
  <w:decimalSymbol w:val="."/>
  <w:listSeparator w:val=";"/>
  <w14:docId w14:val="1B6B106E"/>
  <w15:docId w15:val="{3A873873-15E5-4745-824A-8F7BDFD5FD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aliases w:val="h1"/>
    <w:basedOn w:val="Normal"/>
    <w:next w:val="Normal"/>
    <w:qFormat/>
    <w:pPr>
      <w:keepNext/>
      <w:keepLines/>
      <w:tabs>
        <w:tab w:val="clear" w:pos="2268"/>
      </w:tabs>
      <w:spacing w:before="600"/>
      <w:ind w:left="1134" w:hanging="1134"/>
      <w:outlineLvl w:val="0"/>
    </w:pPr>
    <w:rPr>
      <w:b/>
      <w:sz w:val="28"/>
    </w:rPr>
  </w:style>
  <w:style w:type="paragraph" w:styleId="Heading2">
    <w:name w:val="heading 2"/>
    <w:aliases w:val="h2,UNDERRUBRIK 1-2"/>
    <w:basedOn w:val="Heading1"/>
    <w:next w:val="Normal"/>
    <w:qFormat/>
    <w:pPr>
      <w:spacing w:before="480"/>
      <w:outlineLvl w:val="1"/>
    </w:pPr>
    <w:rPr>
      <w:sz w:val="26"/>
    </w:rPr>
  </w:style>
  <w:style w:type="paragraph" w:styleId="Heading3">
    <w:name w:val="heading 3"/>
    <w:basedOn w:val="Heading1"/>
    <w:next w:val="Normal"/>
    <w:qFormat/>
    <w:pPr>
      <w:spacing w:before="360"/>
      <w:outlineLvl w:val="2"/>
    </w:pPr>
    <w:rPr>
      <w:sz w:val="24"/>
    </w:rPr>
  </w:style>
  <w:style w:type="paragraph" w:styleId="Heading4">
    <w:name w:val="heading 4"/>
    <w:basedOn w:val="Heading3"/>
    <w:next w:val="Normal"/>
    <w:qFormat/>
    <w:pPr>
      <w:outlineLvl w:val="3"/>
    </w:pPr>
  </w:style>
  <w:style w:type="paragraph" w:styleId="Heading5">
    <w:name w:val="heading 5"/>
    <w:basedOn w:val="Heading3"/>
    <w:next w:val="Normal"/>
    <w:qFormat/>
    <w:pPr>
      <w:outlineLvl w:val="4"/>
    </w:pPr>
  </w:style>
  <w:style w:type="paragraph" w:styleId="Heading6">
    <w:name w:val="heading 6"/>
    <w:basedOn w:val="Heading3"/>
    <w:next w:val="Normal"/>
    <w:qFormat/>
    <w:pPr>
      <w:outlineLvl w:val="5"/>
    </w:pPr>
  </w:style>
  <w:style w:type="paragraph" w:styleId="Heading7">
    <w:name w:val="heading 7"/>
    <w:basedOn w:val="Heading3"/>
    <w:next w:val="Normal"/>
    <w:qFormat/>
    <w:pPr>
      <w:outlineLvl w:val="6"/>
    </w:pPr>
  </w:style>
  <w:style w:type="paragraph" w:styleId="Heading8">
    <w:name w:val="heading 8"/>
    <w:basedOn w:val="Heading3"/>
    <w:next w:val="Normal"/>
    <w:qFormat/>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Pr>
      <w:vertAlign w:val="superscript"/>
    </w:rPr>
  </w:style>
  <w:style w:type="paragraph" w:styleId="TOC8">
    <w:name w:val="toc 8"/>
    <w:basedOn w:val="Normal"/>
    <w:next w:val="Normal"/>
    <w:semiHidden/>
    <w:pPr>
      <w:tabs>
        <w:tab w:val="left" w:pos="7711"/>
        <w:tab w:val="right" w:leader="dot" w:pos="9725"/>
      </w:tabs>
      <w:ind w:left="6350"/>
    </w:pPr>
  </w:style>
  <w:style w:type="paragraph" w:styleId="TOC7">
    <w:name w:val="toc 7"/>
    <w:basedOn w:val="Normal"/>
    <w:next w:val="Normal"/>
    <w:semiHidden/>
    <w:pPr>
      <w:tabs>
        <w:tab w:val="left" w:pos="6350"/>
        <w:tab w:val="right" w:leader="dot" w:pos="9725"/>
      </w:tabs>
      <w:ind w:left="5103"/>
    </w:pPr>
  </w:style>
  <w:style w:type="paragraph" w:styleId="TOC6">
    <w:name w:val="toc 6"/>
    <w:basedOn w:val="TOC4"/>
    <w:next w:val="Normal"/>
    <w:semiHidden/>
    <w:pPr>
      <w:ind w:left="3913"/>
    </w:pPr>
  </w:style>
  <w:style w:type="paragraph" w:styleId="TOC4">
    <w:name w:val="toc 4"/>
    <w:basedOn w:val="TOC3"/>
    <w:next w:val="Normal"/>
    <w:semiHidden/>
    <w:pPr>
      <w:tabs>
        <w:tab w:val="clear" w:pos="2268"/>
      </w:tabs>
      <w:spacing w:before="80"/>
      <w:ind w:left="3119" w:hanging="851"/>
    </w:pPr>
  </w:style>
  <w:style w:type="paragraph" w:styleId="TOC3">
    <w:name w:val="toc 3"/>
    <w:basedOn w:val="TOC2"/>
    <w:next w:val="Normal"/>
    <w:semiHidden/>
    <w:pPr>
      <w:tabs>
        <w:tab w:val="clear" w:pos="1985"/>
        <w:tab w:val="left" w:pos="2268"/>
      </w:tabs>
      <w:ind w:left="2268" w:hanging="2268"/>
    </w:pPr>
  </w:style>
  <w:style w:type="paragraph" w:styleId="TOC2">
    <w:name w:val="toc 2"/>
    <w:basedOn w:val="TOC1"/>
    <w:next w:val="Normal"/>
    <w:semiHidden/>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pPr>
      <w:tabs>
        <w:tab w:val="clear" w:pos="2268"/>
        <w:tab w:val="left" w:pos="3062"/>
      </w:tabs>
      <w:ind w:left="3062" w:hanging="3062"/>
    </w:pPr>
  </w:style>
  <w:style w:type="paragraph" w:styleId="Index1">
    <w:name w:val="index 1"/>
    <w:basedOn w:val="Normal"/>
    <w:next w:val="Normal"/>
    <w:semiHidden/>
  </w:style>
  <w:style w:type="paragraph" w:styleId="Footer">
    <w:name w:val="footer"/>
    <w:basedOn w:val="Normal"/>
    <w:pPr>
      <w:tabs>
        <w:tab w:val="left" w:pos="567"/>
        <w:tab w:val="center" w:pos="3742"/>
        <w:tab w:val="right" w:pos="6974"/>
      </w:tabs>
    </w:pPr>
  </w:style>
  <w:style w:type="paragraph" w:styleId="Header">
    <w:name w:val="header"/>
    <w:basedOn w:val="Normal"/>
    <w:pPr>
      <w:tabs>
        <w:tab w:val="clear" w:pos="1134"/>
        <w:tab w:val="clear" w:pos="1871"/>
        <w:tab w:val="clear" w:pos="2268"/>
        <w:tab w:val="center" w:pos="4320"/>
        <w:tab w:val="right" w:pos="8640"/>
      </w:tabs>
    </w:pPr>
  </w:style>
  <w:style w:type="character" w:styleId="FootnoteReference">
    <w:name w:val="footnote reference"/>
    <w:aliases w:val="Appel note de bas de p,Footnote Reference/"/>
    <w:basedOn w:val="DefaultParagraphFont"/>
    <w:rPr>
      <w:position w:val="6"/>
      <w:sz w:val="16"/>
    </w:rPr>
  </w:style>
  <w:style w:type="paragraph" w:styleId="FootnoteText">
    <w:name w:val="footnote text"/>
    <w:basedOn w:val="Normal"/>
    <w:link w:val="FootnoteTextChar"/>
    <w:pPr>
      <w:tabs>
        <w:tab w:val="clear" w:pos="1134"/>
        <w:tab w:val="clear" w:pos="1871"/>
        <w:tab w:val="clear" w:pos="2268"/>
        <w:tab w:val="left" w:pos="284"/>
        <w:tab w:val="left" w:pos="1418"/>
      </w:tabs>
      <w:spacing w:before="60"/>
    </w:pPr>
    <w:rPr>
      <w:sz w:val="20"/>
    </w:rPr>
  </w:style>
  <w:style w:type="paragraph" w:styleId="NormalIndent">
    <w:name w:val="Normal Indent"/>
    <w:basedOn w:val="Normal"/>
    <w:pPr>
      <w:spacing w:before="120"/>
      <w:ind w:left="1134"/>
    </w:pPr>
  </w:style>
  <w:style w:type="paragraph" w:customStyle="1" w:styleId="TableLegend">
    <w:name w:val="Table_Legend"/>
    <w:basedOn w:val="TableText"/>
    <w:next w:val="Normal"/>
    <w:pPr>
      <w:keepNext/>
      <w:tabs>
        <w:tab w:val="left" w:pos="284"/>
        <w:tab w:val="left" w:pos="567"/>
        <w:tab w:val="left" w:pos="851"/>
        <w:tab w:val="left" w:pos="1134"/>
      </w:tabs>
      <w:spacing w:before="120" w:after="0"/>
    </w:pPr>
  </w:style>
  <w:style w:type="paragraph" w:customStyle="1" w:styleId="TableText">
    <w:name w:val="Table_Text"/>
    <w:basedOn w:val="Normal"/>
    <w:pPr>
      <w:tabs>
        <w:tab w:val="clear" w:pos="1134"/>
        <w:tab w:val="clear" w:pos="1871"/>
        <w:tab w:val="clear" w:pos="2268"/>
      </w:tabs>
      <w:spacing w:before="40" w:after="40"/>
    </w:pPr>
    <w:rPr>
      <w:sz w:val="20"/>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clear" w:pos="1134"/>
        <w:tab w:val="clear" w:pos="1871"/>
        <w:tab w:val="clear" w:pos="2268"/>
      </w:tabs>
      <w:spacing w:before="360" w:after="120"/>
      <w:jc w:val="center"/>
    </w:pPr>
    <w:rPr>
      <w:sz w:val="20"/>
    </w:rPr>
  </w:style>
  <w:style w:type="paragraph" w:customStyle="1" w:styleId="enumlev1">
    <w:name w:val="enumlev1"/>
    <w:basedOn w:val="Normal"/>
    <w:link w:val="enumlev1Char"/>
    <w:qFormat/>
    <w:pPr>
      <w:tabs>
        <w:tab w:val="clear" w:pos="2268"/>
        <w:tab w:val="left" w:pos="2608"/>
        <w:tab w:val="left" w:pos="3345"/>
      </w:tabs>
      <w:spacing w:before="120"/>
      <w:ind w:left="454" w:hanging="454"/>
    </w:pPr>
  </w:style>
  <w:style w:type="paragraph" w:customStyle="1" w:styleId="enumlev2">
    <w:name w:val="enumlev2"/>
    <w:basedOn w:val="enumlev1"/>
    <w:pPr>
      <w:tabs>
        <w:tab w:val="left" w:pos="907"/>
      </w:tabs>
      <w:ind w:left="908"/>
    </w:p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spacing w:before="240"/>
      <w:jc w:val="center"/>
    </w:p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pPr>
      <w:keepNext/>
      <w:keepLines/>
      <w:spacing w:before="720"/>
      <w:jc w:val="center"/>
    </w:pPr>
    <w:rPr>
      <w:sz w:val="28"/>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pPr>
      <w:spacing w:before="360"/>
    </w:pPr>
  </w:style>
  <w:style w:type="paragraph" w:customStyle="1" w:styleId="AnnexRef">
    <w:name w:val="Annex_Ref"/>
    <w:basedOn w:val="Normal"/>
    <w:pPr>
      <w:jc w:val="center"/>
    </w:pPr>
  </w:style>
  <w:style w:type="paragraph" w:customStyle="1" w:styleId="AnnexTitle">
    <w:name w:val="Annex_Title"/>
    <w:basedOn w:val="Arttitle"/>
    <w:next w:val="Normal"/>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spacing w:before="0"/>
    </w:pPr>
    <w:rPr>
      <w:color w:val="0000FF"/>
      <w:sz w:val="20"/>
    </w:rPr>
  </w:style>
  <w:style w:type="paragraph" w:customStyle="1" w:styleId="AppendixRef">
    <w:name w:val="Appendix_Ref"/>
    <w:basedOn w:val="AnnexRef"/>
    <w:next w:val="AppendixTitle"/>
  </w:style>
  <w:style w:type="paragraph" w:customStyle="1" w:styleId="RefTitle">
    <w:name w:val="Ref_Title"/>
    <w:basedOn w:val="Normal"/>
    <w:next w:val="RefText"/>
    <w:pPr>
      <w:spacing w:before="480"/>
      <w:jc w:val="left"/>
    </w:pPr>
    <w:rPr>
      <w:b/>
    </w:rPr>
  </w:style>
  <w:style w:type="paragraph" w:customStyle="1" w:styleId="RefText">
    <w:name w:val="Ref_Text"/>
    <w:basedOn w:val="Normal"/>
  </w:style>
  <w:style w:type="paragraph" w:customStyle="1" w:styleId="listitem">
    <w:name w:val="listitem"/>
    <w:basedOn w:val="Normal"/>
    <w:pPr>
      <w:keepLines/>
      <w:spacing w:before="0"/>
      <w:jc w:val="left"/>
    </w:pPr>
  </w:style>
  <w:style w:type="paragraph" w:customStyle="1" w:styleId="TableRef">
    <w:name w:val="Table_Ref"/>
    <w:basedOn w:val="Normal"/>
    <w:next w:val="TableTitle"/>
    <w:pPr>
      <w:keepNext/>
      <w:spacing w:before="567"/>
      <w:jc w:val="center"/>
    </w:pPr>
    <w:rPr>
      <w:sz w:val="18"/>
    </w:rPr>
  </w:style>
  <w:style w:type="paragraph" w:customStyle="1" w:styleId="Signcountry">
    <w:name w:val="Sign_country"/>
    <w:basedOn w:val="Normal"/>
    <w:next w:val="SignPart"/>
    <w:pPr>
      <w:keepNext/>
      <w:keepLines/>
      <w:spacing w:before="240" w:after="57"/>
      <w:jc w:val="left"/>
    </w:pPr>
    <w:rPr>
      <w:b/>
    </w:rPr>
  </w:style>
  <w:style w:type="paragraph" w:customStyle="1" w:styleId="SignPart">
    <w:name w:val="Sign_Part"/>
    <w:basedOn w:val="Signcountry"/>
    <w:pPr>
      <w:keepNext w:val="0"/>
      <w:keepLines w:val="0"/>
      <w:spacing w:before="0"/>
      <w:ind w:left="284"/>
    </w:pPr>
    <w:rPr>
      <w:b w:val="0"/>
      <w:smallCaps/>
    </w:rPr>
  </w:style>
  <w:style w:type="paragraph" w:customStyle="1" w:styleId="Chap">
    <w:name w:val="Chap_#"/>
    <w:basedOn w:val="Art"/>
    <w:next w:val="Chaptitle"/>
    <w:pPr>
      <w:spacing w:before="1200"/>
    </w:pPr>
    <w:rPr>
      <w:sz w:val="32"/>
    </w:rPr>
  </w:style>
  <w:style w:type="paragraph" w:customStyle="1" w:styleId="Chaptitle">
    <w:name w:val="Chap_title"/>
    <w:basedOn w:val="Arttitle"/>
    <w:next w:val="Art"/>
    <w:rPr>
      <w:sz w:val="32"/>
    </w:rPr>
  </w:style>
  <w:style w:type="paragraph" w:customStyle="1" w:styleId="Protfin">
    <w:name w:val="Prot_fin"/>
    <w:basedOn w:val="Normal"/>
    <w:next w:val="Normalaftertitle"/>
    <w:pPr>
      <w:pageBreakBefore/>
      <w:spacing w:before="720" w:after="240"/>
      <w:jc w:val="center"/>
    </w:pPr>
    <w:rPr>
      <w:b/>
    </w:rPr>
  </w:style>
  <w:style w:type="paragraph" w:customStyle="1" w:styleId="Prot">
    <w:name w:val="Prot_#"/>
    <w:basedOn w:val="Normal"/>
    <w:next w:val="Protlang"/>
    <w:pPr>
      <w:keepNext/>
      <w:spacing w:before="240"/>
      <w:jc w:val="center"/>
    </w:pPr>
  </w:style>
  <w:style w:type="paragraph" w:customStyle="1" w:styleId="Protlang">
    <w:name w:val="Prot_lang"/>
    <w:basedOn w:val="Prot"/>
    <w:next w:val="Protpays"/>
    <w:pPr>
      <w:keepLines/>
      <w:framePr w:hSpace="181" w:vSpace="181" w:wrap="auto" w:hAnchor="text" w:xAlign="right"/>
      <w:spacing w:before="0"/>
      <w:jc w:val="right"/>
    </w:pPr>
    <w:rPr>
      <w:i/>
      <w:sz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rPr>
  </w:style>
  <w:style w:type="paragraph" w:customStyle="1" w:styleId="Protcall">
    <w:name w:val="Prot_call"/>
    <w:basedOn w:val="Prottexte"/>
    <w:next w:val="Prottexte"/>
    <w:pPr>
      <w:keepNext/>
      <w:keepLines/>
      <w:framePr w:wrap="auto" w:xAlign="left"/>
      <w:spacing w:before="170"/>
      <w:ind w:left="794"/>
      <w:jc w:val="left"/>
    </w:pPr>
    <w:rPr>
      <w:i/>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clear" w:pos="1871"/>
        <w:tab w:val="clear" w:pos="2268"/>
        <w:tab w:val="center" w:pos="4678"/>
        <w:tab w:val="right" w:pos="9356"/>
      </w:tabs>
      <w:jc w:val="left"/>
    </w:pPr>
  </w:style>
  <w:style w:type="paragraph" w:customStyle="1" w:styleId="Note">
    <w:name w:val="Note"/>
    <w:basedOn w:val="Normal"/>
    <w:pPr>
      <w:tabs>
        <w:tab w:val="left" w:pos="284"/>
      </w:tabs>
      <w:spacing w:before="160"/>
    </w:pPr>
    <w:rPr>
      <w:sz w:val="20"/>
    </w:rPr>
  </w:style>
  <w:style w:type="paragraph" w:customStyle="1" w:styleId="Signcountry0">
    <w:name w:val="Sign country"/>
    <w:basedOn w:val="Normal"/>
    <w:next w:val="Signpart0"/>
    <w:pPr>
      <w:keepNext/>
      <w:keepLines/>
      <w:spacing w:before="240" w:after="57"/>
      <w:jc w:val="left"/>
    </w:pPr>
    <w:rPr>
      <w:b/>
    </w:rPr>
  </w:style>
  <w:style w:type="paragraph" w:customStyle="1" w:styleId="Signpart0">
    <w:name w:val="Sign part"/>
    <w:basedOn w:val="Signcountry0"/>
    <w:pPr>
      <w:keepNext w:val="0"/>
      <w:keepLines w:val="0"/>
      <w:spacing w:before="0"/>
      <w:ind w:left="284"/>
    </w:pPr>
    <w:rPr>
      <w:b w:val="0"/>
      <w:smallCaps/>
    </w:rPr>
  </w:style>
  <w:style w:type="paragraph" w:customStyle="1" w:styleId="Section1">
    <w:name w:val="Section_1"/>
    <w:basedOn w:val="Normal"/>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pPr>
      <w:pageBreakBefore/>
      <w:spacing w:before="720" w:after="240"/>
      <w:jc w:val="center"/>
    </w:pPr>
    <w:rPr>
      <w:b/>
    </w:rPr>
  </w:style>
  <w:style w:type="paragraph" w:customStyle="1" w:styleId="Prot0">
    <w:name w:val="Prot #"/>
    <w:basedOn w:val="Normal"/>
    <w:next w:val="Protlang0"/>
    <w:pPr>
      <w:keepNext/>
      <w:spacing w:before="240"/>
      <w:jc w:val="center"/>
    </w:pPr>
  </w:style>
  <w:style w:type="paragraph" w:customStyle="1" w:styleId="Protlang0">
    <w:name w:val="Prot lang"/>
    <w:basedOn w:val="Prot0"/>
    <w:next w:val="Protpays0"/>
    <w:pPr>
      <w:keepLines/>
      <w:framePr w:hSpace="181" w:vSpace="181" w:wrap="auto" w:hAnchor="text" w:xAlign="right"/>
      <w:spacing w:before="0"/>
      <w:jc w:val="right"/>
    </w:pPr>
    <w:rPr>
      <w:i/>
      <w:sz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rPr>
  </w:style>
  <w:style w:type="paragraph" w:customStyle="1" w:styleId="Protcall0">
    <w:name w:val="Prot call"/>
    <w:basedOn w:val="Prottexte0"/>
    <w:next w:val="Prottexte0"/>
    <w:pPr>
      <w:keepNext/>
      <w:keepLines/>
      <w:framePr w:wrap="auto" w:xAlign="left"/>
      <w:spacing w:before="170"/>
      <w:ind w:left="794"/>
      <w:jc w:val="left"/>
    </w:pPr>
    <w:rPr>
      <w:i/>
    </w:rPr>
  </w:style>
  <w:style w:type="character" w:styleId="PageNumber">
    <w:name w:val="page number"/>
    <w:basedOn w:val="DefaultParagraphFont"/>
  </w:style>
  <w:style w:type="paragraph" w:customStyle="1" w:styleId="TableFin">
    <w:name w:val="Table_Fin"/>
    <w:basedOn w:val="Normal"/>
    <w:pPr>
      <w:tabs>
        <w:tab w:val="clear" w:pos="1134"/>
      </w:tabs>
      <w:spacing w:before="0"/>
    </w:pPr>
    <w:rPr>
      <w:sz w:val="12"/>
    </w:rPr>
  </w:style>
  <w:style w:type="paragraph" w:customStyle="1" w:styleId="MEP">
    <w:name w:val="MEP"/>
    <w:basedOn w:val="Normal"/>
  </w:style>
  <w:style w:type="paragraph" w:customStyle="1" w:styleId="head">
    <w:name w:val="head"/>
    <w:basedOn w:val="headfoot"/>
  </w:style>
  <w:style w:type="paragraph" w:customStyle="1" w:styleId="foot">
    <w:name w:val="foot"/>
    <w:basedOn w:val="headfoot"/>
  </w:style>
  <w:style w:type="character" w:customStyle="1" w:styleId="href">
    <w:name w:val="href"/>
    <w:basedOn w:val="DefaultParagraphFont"/>
  </w:style>
  <w:style w:type="paragraph" w:customStyle="1" w:styleId="Section2">
    <w:name w:val="Section_2"/>
    <w:basedOn w:val="Section1"/>
    <w:pPr>
      <w:jc w:val="left"/>
    </w:pPr>
    <w:rPr>
      <w:b w:val="0"/>
      <w:i/>
    </w:rPr>
  </w:style>
  <w:style w:type="paragraph" w:customStyle="1" w:styleId="Section3">
    <w:name w:val="Section_3"/>
    <w:basedOn w:val="Section1"/>
    <w:rPr>
      <w:b w:val="0"/>
    </w:rPr>
  </w:style>
  <w:style w:type="paragraph" w:customStyle="1" w:styleId="EquationLegend">
    <w:name w:val="Equation_Legend"/>
    <w:basedOn w:val="NormalIndent"/>
  </w:style>
  <w:style w:type="paragraph" w:customStyle="1" w:styleId="Call">
    <w:name w:val="Call"/>
    <w:basedOn w:val="Normal"/>
    <w:next w:val="Normal"/>
    <w:pPr>
      <w:tabs>
        <w:tab w:val="clear" w:pos="1871"/>
        <w:tab w:val="clear" w:pos="2268"/>
      </w:tabs>
      <w:spacing w:before="360"/>
      <w:ind w:left="1134"/>
    </w:pPr>
    <w:rPr>
      <w:i/>
    </w:rPr>
  </w:style>
  <w:style w:type="paragraph" w:customStyle="1" w:styleId="Headingb">
    <w:name w:val="Heading b"/>
    <w:basedOn w:val="Heading3"/>
    <w:pPr>
      <w:spacing w:before="400"/>
      <w:ind w:left="0" w:firstLine="0"/>
      <w:outlineLvl w:val="9"/>
    </w:pPr>
  </w:style>
  <w:style w:type="paragraph" w:customStyle="1" w:styleId="TableHead">
    <w:name w:val="Table_Head"/>
    <w:basedOn w:val="TableText"/>
    <w:next w:val="TableText"/>
    <w:pPr>
      <w:spacing w:before="80" w:after="80"/>
      <w:jc w:val="center"/>
    </w:pPr>
    <w:rPr>
      <w:b/>
    </w:rPr>
  </w:style>
  <w:style w:type="paragraph" w:customStyle="1" w:styleId="Line">
    <w:name w:val="Line"/>
    <w:basedOn w:val="Normal"/>
    <w:next w:val="Normal"/>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Pr>
      <w:b w:val="0"/>
      <w:i/>
    </w:rPr>
  </w:style>
  <w:style w:type="paragraph" w:styleId="TableofFigures">
    <w:name w:val="table of figures"/>
    <w:basedOn w:val="Normal"/>
    <w:next w:val="Normal"/>
    <w:semiHidden/>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Pr>
      <w:sz w:val="16"/>
    </w:rPr>
  </w:style>
  <w:style w:type="paragraph" w:styleId="CommentText">
    <w:name w:val="annotation text"/>
    <w:basedOn w:val="Normal"/>
    <w:semiHidden/>
    <w:rPr>
      <w:sz w:val="20"/>
      <w:lang w:val="fr-FR"/>
    </w:rPr>
  </w:style>
  <w:style w:type="paragraph" w:customStyle="1" w:styleId="Tabletext0">
    <w:name w:val="Table_text"/>
    <w:basedOn w:val="Normal"/>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pPr>
      <w:keepNext/>
      <w:spacing w:before="80" w:after="80"/>
      <w:jc w:val="center"/>
    </w:pPr>
    <w:rPr>
      <w:b/>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paragraph" w:customStyle="1" w:styleId="HeaderRegProc">
    <w:name w:val="Header_RegProc"/>
    <w:basedOn w:val="Normal"/>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pPr>
      <w:tabs>
        <w:tab w:val="clear" w:pos="907"/>
        <w:tab w:val="left" w:pos="1814"/>
      </w:tabs>
      <w:spacing w:before="80"/>
      <w:ind w:left="1815"/>
    </w:pPr>
    <w:rPr>
      <w:lang w:val="fr-CH"/>
    </w:rPr>
  </w:style>
  <w:style w:type="character" w:customStyle="1" w:styleId="href2">
    <w:name w:val="href2"/>
    <w:basedOn w:val="href"/>
  </w:style>
  <w:style w:type="character" w:customStyle="1" w:styleId="Style1">
    <w:name w:val="Style1"/>
    <w:basedOn w:val="DefaultParagraphFont"/>
  </w:style>
  <w:style w:type="character" w:customStyle="1" w:styleId="Appdef">
    <w:name w:val="App_def"/>
    <w:basedOn w:val="DefaultParagraphFont"/>
    <w:rPr>
      <w:b/>
      <w:color w:val="FFCC00"/>
    </w:rPr>
  </w:style>
  <w:style w:type="character" w:customStyle="1" w:styleId="Appref">
    <w:name w:val="App_ref"/>
    <w:basedOn w:val="DefaultParagraphFont"/>
    <w:rPr>
      <w:color w:val="3366FF"/>
    </w:rPr>
  </w:style>
  <w:style w:type="character" w:customStyle="1" w:styleId="Artdef">
    <w:name w:val="Art_def"/>
    <w:basedOn w:val="DefaultParagraphFont"/>
    <w:rPr>
      <w:b/>
      <w:color w:val="FFCC00"/>
    </w:rPr>
  </w:style>
  <w:style w:type="character" w:customStyle="1" w:styleId="Artref">
    <w:name w:val="Art_ref"/>
    <w:basedOn w:val="DefaultParagraphFont"/>
    <w:rPr>
      <w:color w:val="3366FF"/>
    </w:rPr>
  </w:style>
  <w:style w:type="character" w:customStyle="1" w:styleId="Recdef">
    <w:name w:val="Rec_def"/>
    <w:basedOn w:val="DefaultParagraphFont"/>
    <w:rPr>
      <w:b/>
      <w:color w:val="FFCC00"/>
    </w:rPr>
  </w:style>
  <w:style w:type="character" w:customStyle="1" w:styleId="Recref">
    <w:name w:val="Rec_ref"/>
    <w:basedOn w:val="DefaultParagraphFont"/>
    <w:rPr>
      <w:color w:val="3366FF"/>
    </w:rPr>
  </w:style>
  <w:style w:type="character" w:customStyle="1" w:styleId="Resdef">
    <w:name w:val="Res_def"/>
    <w:basedOn w:val="DefaultParagraphFont"/>
    <w:rPr>
      <w:b/>
      <w:color w:val="FFCC00"/>
    </w:rPr>
  </w:style>
  <w:style w:type="character" w:customStyle="1" w:styleId="Resref">
    <w:name w:val="Res_ref"/>
    <w:basedOn w:val="DefaultParagraphFont"/>
    <w:rPr>
      <w:color w:val="3366FF"/>
    </w:rPr>
  </w:style>
  <w:style w:type="character" w:customStyle="1" w:styleId="Tableref0">
    <w:name w:val="Table_ref"/>
    <w:basedOn w:val="DefaultParagraphFont"/>
    <w:rPr>
      <w:color w:val="3366FF"/>
    </w:rPr>
  </w:style>
  <w:style w:type="character" w:customStyle="1" w:styleId="Appref0">
    <w:name w:val="App#_ref"/>
    <w:basedOn w:val="DefaultParagraphFont"/>
  </w:style>
  <w:style w:type="character" w:customStyle="1" w:styleId="Artref0">
    <w:name w:val="Art#_ref"/>
    <w:basedOn w:val="DefaultParagraphFont"/>
  </w:style>
  <w:style w:type="character" w:customStyle="1" w:styleId="Resref0">
    <w:name w:val="Res#_ref"/>
    <w:basedOn w:val="DefaultParagraphFont"/>
  </w:style>
  <w:style w:type="character" w:customStyle="1" w:styleId="FootnoteTextChar">
    <w:name w:val="Footnote Text Char"/>
    <w:basedOn w:val="DefaultParagraphFont"/>
    <w:link w:val="FootnoteText"/>
    <w:rsid w:val="000A14AD"/>
    <w:rPr>
      <w:lang w:val="en-GB" w:eastAsia="en-US"/>
    </w:rPr>
  </w:style>
  <w:style w:type="paragraph" w:styleId="Revision">
    <w:name w:val="Revision"/>
    <w:hidden/>
    <w:uiPriority w:val="99"/>
    <w:semiHidden/>
    <w:rsid w:val="004D3C1E"/>
    <w:rPr>
      <w:sz w:val="24"/>
      <w:lang w:val="en-GB" w:eastAsia="en-US"/>
    </w:rPr>
  </w:style>
  <w:style w:type="character" w:styleId="Hyperlink">
    <w:name w:val="Hyperlink"/>
    <w:aliases w:val="CEO_Hyperlink"/>
    <w:basedOn w:val="DefaultParagraphFont"/>
    <w:semiHidden/>
    <w:unhideWhenUsed/>
    <w:rsid w:val="004D3C1E"/>
    <w:rPr>
      <w:color w:val="0000FF" w:themeColor="hyperlink"/>
      <w:u w:val="single"/>
    </w:rPr>
  </w:style>
  <w:style w:type="character" w:customStyle="1" w:styleId="enumlev1Char">
    <w:name w:val="enumlev1 Char"/>
    <w:basedOn w:val="DefaultParagraphFont"/>
    <w:link w:val="enumlev1"/>
    <w:locked/>
    <w:rsid w:val="004D3C1E"/>
    <w:rPr>
      <w:sz w:val="24"/>
      <w:lang w:val="en-GB" w:eastAsia="en-US"/>
    </w:rPr>
  </w:style>
  <w:style w:type="paragraph" w:customStyle="1" w:styleId="AnnexNoTitle">
    <w:name w:val="Annex_NoTitle"/>
    <w:basedOn w:val="Normal"/>
    <w:next w:val="Normal"/>
    <w:rsid w:val="004D3C1E"/>
    <w:pPr>
      <w:keepNext/>
      <w:keepLines/>
      <w:tabs>
        <w:tab w:val="clear" w:pos="1134"/>
        <w:tab w:val="clear" w:pos="1871"/>
        <w:tab w:val="clear" w:pos="2268"/>
        <w:tab w:val="left" w:pos="794"/>
        <w:tab w:val="left" w:pos="1191"/>
        <w:tab w:val="left" w:pos="1588"/>
        <w:tab w:val="left" w:pos="1985"/>
      </w:tabs>
      <w:spacing w:before="720" w:after="120" w:line="280" w:lineRule="exact"/>
      <w:jc w:val="center"/>
      <w:textAlignment w:val="auto"/>
    </w:pPr>
    <w:rPr>
      <w:rFonts w:ascii="Calibri" w:hAnsi="Calibri" w:cs="Calibri"/>
      <w:b/>
      <w:szCs w:val="22"/>
      <w:lang w:val="en-US"/>
    </w:rPr>
  </w:style>
  <w:style w:type="paragraph" w:customStyle="1" w:styleId="Res0">
    <w:name w:val="Res"/>
    <w:basedOn w:val="Heading2"/>
    <w:rsid w:val="004F4FF3"/>
    <w:pPr>
      <w:jc w:val="center"/>
    </w:pPr>
    <w:rPr>
      <w:rFonts w:asciiTheme="majorBidi" w:hAnsiTheme="majorBidi" w:cstheme="majorBidi"/>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4350938">
      <w:bodyDiv w:val="1"/>
      <w:marLeft w:val="0"/>
      <w:marRight w:val="0"/>
      <w:marTop w:val="0"/>
      <w:marBottom w:val="0"/>
      <w:divBdr>
        <w:top w:val="none" w:sz="0" w:space="0" w:color="auto"/>
        <w:left w:val="none" w:sz="0" w:space="0" w:color="auto"/>
        <w:bottom w:val="none" w:sz="0" w:space="0" w:color="auto"/>
        <w:right w:val="none" w:sz="0" w:space="0" w:color="auto"/>
      </w:divBdr>
    </w:div>
    <w:div w:id="993992039">
      <w:bodyDiv w:val="1"/>
      <w:marLeft w:val="0"/>
      <w:marRight w:val="0"/>
      <w:marTop w:val="0"/>
      <w:marBottom w:val="0"/>
      <w:divBdr>
        <w:top w:val="none" w:sz="0" w:space="0" w:color="auto"/>
        <w:left w:val="none" w:sz="0" w:space="0" w:color="auto"/>
        <w:bottom w:val="none" w:sz="0" w:space="0" w:color="auto"/>
        <w:right w:val="none" w:sz="0" w:space="0" w:color="auto"/>
      </w:divBdr>
    </w:div>
    <w:div w:id="1644920239">
      <w:bodyDiv w:val="1"/>
      <w:marLeft w:val="0"/>
      <w:marRight w:val="0"/>
      <w:marTop w:val="0"/>
      <w:marBottom w:val="0"/>
      <w:divBdr>
        <w:top w:val="none" w:sz="0" w:space="0" w:color="auto"/>
        <w:left w:val="none" w:sz="0" w:space="0" w:color="auto"/>
        <w:bottom w:val="none" w:sz="0" w:space="0" w:color="auto"/>
        <w:right w:val="none" w:sz="0" w:space="0" w:color="auto"/>
      </w:divBdr>
    </w:div>
    <w:div w:id="1970627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itu.int/md/R23-WRC23-C-0528/fr" TargetMode="External"/><Relationship Id="rId11" Type="http://schemas.openxmlformats.org/officeDocument/2006/relationships/header" Target="header3.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ammouni\AppData\Roaming\Microsoft\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Regl_proc02.dot</Template>
  <TotalTime>11</TotalTime>
  <Pages>3</Pages>
  <Words>1333</Words>
  <Characters>6757</Characters>
  <Application>Microsoft Office Word</Application>
  <DocSecurity>0</DocSecurity>
  <Lines>107</Lines>
  <Paragraphs>34</Paragraphs>
  <ScaleCrop>false</ScaleCrop>
  <HeadingPairs>
    <vt:vector size="2" baseType="variant">
      <vt:variant>
        <vt:lpstr>Title</vt:lpstr>
      </vt:variant>
      <vt:variant>
        <vt:i4>1</vt:i4>
      </vt:variant>
    </vt:vector>
  </HeadingPairs>
  <TitlesOfParts>
    <vt:vector size="1" baseType="lpstr">
      <vt:lpstr>Règles de procédures / Edition 2009</vt:lpstr>
    </vt:vector>
  </TitlesOfParts>
  <Manager>CP--107223/DD</Manager>
  <Company>ITU</Company>
  <LinksUpToDate>false</LinksUpToDate>
  <CharactersWithSpaces>8056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 Edition 2025</dc:title>
  <dc:subject>RES1 du RR</dc:subject>
  <dc:creator/>
  <cp:keywords/>
  <dc:description/>
  <cp:lastModifiedBy>Gachet, Christelle</cp:lastModifiedBy>
  <cp:revision>5</cp:revision>
  <cp:lastPrinted>2009-02-24T11:01:00Z</cp:lastPrinted>
  <dcterms:created xsi:type="dcterms:W3CDTF">2026-01-15T10:26:00Z</dcterms:created>
  <dcterms:modified xsi:type="dcterms:W3CDTF">2026-01-15T10:37:00Z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