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7CFE2E48" w:rsidR="00E052A7" w:rsidRPr="006467B3" w:rsidRDefault="0041361B" w:rsidP="0089365D">
      <w:pPr>
        <w:pStyle w:val="Heading1"/>
        <w:spacing w:before="300"/>
        <w:ind w:left="0" w:firstLine="0"/>
        <w:jc w:val="center"/>
        <w:rPr>
          <w:lang w:val="fr-CH"/>
        </w:rPr>
      </w:pPr>
      <w:r w:rsidRPr="006467B3">
        <w:rPr>
          <w:lang w:val="fr-CH"/>
        </w:rPr>
        <w:t>Règles relatives à la</w:t>
      </w:r>
    </w:p>
    <w:p w14:paraId="6D735A6A" w14:textId="3A8C390C" w:rsidR="00E052A7" w:rsidRPr="006467B3" w:rsidRDefault="0041361B">
      <w:pPr>
        <w:pStyle w:val="Heading2"/>
        <w:ind w:left="0" w:firstLine="0"/>
        <w:jc w:val="center"/>
        <w:rPr>
          <w:lang w:val="fr-CH"/>
        </w:rPr>
      </w:pPr>
      <w:r w:rsidRPr="006467B3">
        <w:rPr>
          <w:lang w:val="fr-CH"/>
        </w:rPr>
        <w:t xml:space="preserve">RÉSOLUTION </w:t>
      </w:r>
      <w:r w:rsidR="00062037" w:rsidRPr="006467B3">
        <w:rPr>
          <w:rStyle w:val="href2"/>
          <w:lang w:val="fr-CH"/>
        </w:rPr>
        <w:t>123</w:t>
      </w:r>
      <w:r w:rsidR="00E052A7" w:rsidRPr="006467B3">
        <w:rPr>
          <w:lang w:val="fr-CH"/>
        </w:rPr>
        <w:t xml:space="preserve"> (</w:t>
      </w:r>
      <w:r w:rsidRPr="006467B3">
        <w:rPr>
          <w:lang w:val="fr-CH"/>
        </w:rPr>
        <w:t>CMR</w:t>
      </w:r>
      <w:r w:rsidR="00E052A7" w:rsidRPr="006467B3">
        <w:rPr>
          <w:lang w:val="fr-CH"/>
        </w:rPr>
        <w:t>-</w:t>
      </w:r>
      <w:r w:rsidR="00062037" w:rsidRPr="006467B3">
        <w:rPr>
          <w:lang w:val="fr-CH"/>
        </w:rPr>
        <w:t>2</w:t>
      </w:r>
      <w:r w:rsidR="00A002ED" w:rsidRPr="006467B3">
        <w:rPr>
          <w:lang w:val="fr-CH"/>
        </w:rPr>
        <w:t>3</w:t>
      </w:r>
      <w:r w:rsidR="00E052A7" w:rsidRPr="006467B3">
        <w:rPr>
          <w:lang w:val="fr-CH"/>
        </w:rPr>
        <w:t>)</w:t>
      </w:r>
    </w:p>
    <w:p w14:paraId="7D60942F" w14:textId="37AB61C1" w:rsidR="00E052A7" w:rsidRPr="006467B3" w:rsidRDefault="0041361B" w:rsidP="003F79CF">
      <w:pPr>
        <w:pStyle w:val="Heading1"/>
        <w:ind w:left="0" w:firstLine="0"/>
        <w:jc w:val="center"/>
        <w:rPr>
          <w:lang w:val="fr-CH"/>
        </w:rPr>
      </w:pPr>
      <w:r w:rsidRPr="006467B3">
        <w:rPr>
          <w:lang w:val="fr-CH"/>
        </w:rPr>
        <w:t>Utilisation des bandes de fréquences 17,7-18,6 GHz, 18,8-19,3 GHz et</w:t>
      </w:r>
      <w:r w:rsidR="001E215E" w:rsidRPr="006467B3">
        <w:rPr>
          <w:lang w:val="fr-CH"/>
        </w:rPr>
        <w:br/>
      </w:r>
      <w:r w:rsidRPr="006467B3">
        <w:rPr>
          <w:lang w:val="fr-CH"/>
        </w:rPr>
        <w:t>19,7</w:t>
      </w:r>
      <w:r w:rsidR="00BB2F74">
        <w:rPr>
          <w:lang w:val="fr-CH"/>
        </w:rPr>
        <w:t>-</w:t>
      </w:r>
      <w:r w:rsidRPr="006467B3">
        <w:rPr>
          <w:lang w:val="fr-CH"/>
        </w:rPr>
        <w:t>20,2 GHz (espace vers Terre) et 27,5-29,1 GHz et 29,5-30 GHz</w:t>
      </w:r>
      <w:r w:rsidR="001E215E" w:rsidRPr="006467B3">
        <w:rPr>
          <w:lang w:val="fr-CH"/>
        </w:rPr>
        <w:br/>
      </w:r>
      <w:r w:rsidRPr="006467B3">
        <w:rPr>
          <w:lang w:val="fr-CH"/>
        </w:rPr>
        <w:t>(Terre vers espace) par les stations terriennes aéronautiques et</w:t>
      </w:r>
      <w:r w:rsidR="001E215E" w:rsidRPr="006467B3">
        <w:rPr>
          <w:lang w:val="fr-CH"/>
        </w:rPr>
        <w:br/>
      </w:r>
      <w:r w:rsidRPr="006467B3">
        <w:rPr>
          <w:lang w:val="fr-CH"/>
        </w:rPr>
        <w:t>maritimes en mouvement communiquant avec</w:t>
      </w:r>
      <w:r w:rsidR="001E215E" w:rsidRPr="006467B3">
        <w:rPr>
          <w:lang w:val="fr-CH"/>
        </w:rPr>
        <w:br/>
      </w:r>
      <w:r w:rsidRPr="006467B3">
        <w:rPr>
          <w:lang w:val="fr-CH"/>
        </w:rPr>
        <w:t>des stations spatiales non géostationnaires</w:t>
      </w:r>
      <w:r w:rsidR="008018D9" w:rsidRPr="006467B3">
        <w:rPr>
          <w:lang w:val="fr-CH"/>
        </w:rPr>
        <w:br/>
      </w:r>
      <w:r w:rsidRPr="006467B3">
        <w:rPr>
          <w:lang w:val="fr-CH"/>
        </w:rPr>
        <w:t>du service fixe par satellite</w:t>
      </w:r>
    </w:p>
    <w:p w14:paraId="69842E1A" w14:textId="77777777" w:rsidR="0041361B" w:rsidRPr="006467B3" w:rsidRDefault="0041361B" w:rsidP="0041361B">
      <w:pPr>
        <w:rPr>
          <w:lang w:val="fr-CH"/>
        </w:rPr>
      </w:pPr>
      <w:r w:rsidRPr="006467B3">
        <w:rPr>
          <w:lang w:val="fr-CH"/>
        </w:rPr>
        <w:t>1</w:t>
      </w:r>
      <w:r w:rsidRPr="006467B3">
        <w:rPr>
          <w:lang w:val="fr-CH"/>
        </w:rPr>
        <w:tab/>
        <w:t xml:space="preserve">Le Comité a noté qu'en vertu du point 2 du </w:t>
      </w:r>
      <w:r w:rsidRPr="006467B3">
        <w:rPr>
          <w:i/>
          <w:iCs/>
          <w:lang w:val="fr-CH"/>
        </w:rPr>
        <w:t>décide</w:t>
      </w:r>
      <w:r w:rsidRPr="006467B3">
        <w:rPr>
          <w:lang w:val="fr-CH"/>
        </w:rPr>
        <w:t xml:space="preserve"> de la Résolution </w:t>
      </w:r>
      <w:r w:rsidRPr="006467B3">
        <w:rPr>
          <w:b/>
          <w:bCs/>
          <w:lang w:val="fr-CH"/>
        </w:rPr>
        <w:t>123 (CMR</w:t>
      </w:r>
      <w:r w:rsidRPr="006467B3">
        <w:rPr>
          <w:b/>
          <w:bCs/>
          <w:lang w:val="fr-CH"/>
        </w:rPr>
        <w:noBreakHyphen/>
        <w:t>23)</w:t>
      </w:r>
      <w:r w:rsidRPr="006467B3">
        <w:rPr>
          <w:lang w:val="fr-CH"/>
        </w:rPr>
        <w:t>, les caractéristiques des stations terriennes en mouvement (ESIM) doivent rester dans les limites des caractéristiques, y compris des accords de coordination applicables, des stations terriennes types associées au système du service fixe par satellite (SFS) non géostationnaire (non OSG) avec lequel les stations ESIM communiquent.</w:t>
      </w:r>
    </w:p>
    <w:p w14:paraId="698D545F" w14:textId="77777777" w:rsidR="0041361B" w:rsidRPr="0041361B" w:rsidRDefault="0041361B" w:rsidP="0041361B">
      <w:pPr>
        <w:rPr>
          <w:lang w:val="fr-FR"/>
        </w:rPr>
      </w:pPr>
      <w:r w:rsidRPr="0041361B">
        <w:rPr>
          <w:lang w:val="fr-FR"/>
        </w:rPr>
        <w:t>1.1</w:t>
      </w:r>
      <w:r w:rsidRPr="0041361B">
        <w:rPr>
          <w:lang w:val="fr-FR"/>
        </w:rPr>
        <w:tab/>
        <w:t xml:space="preserve">S'agissant de l'application du point 2 du </w:t>
      </w:r>
      <w:r w:rsidRPr="0041361B">
        <w:rPr>
          <w:i/>
          <w:iCs/>
          <w:lang w:val="fr-FR"/>
        </w:rPr>
        <w:t>décide</w:t>
      </w:r>
      <w:r w:rsidRPr="0041361B">
        <w:rPr>
          <w:lang w:val="fr-FR"/>
        </w:rPr>
        <w:t>, le Comité a décidé que le Bureau devrait déterminer si les caractéristiques des stations ESIM sont dans les limites des caractéristiques des stations terriennes types associées au système à satellites avec lequel les stations ESIM aéronautiques et maritimes communiquent à l'aide de la méthode indiquée au § 2.3 de la Règle de procédure relative au numéro </w:t>
      </w:r>
      <w:r w:rsidRPr="0041361B">
        <w:rPr>
          <w:b/>
          <w:bCs/>
          <w:lang w:val="fr-FR"/>
        </w:rPr>
        <w:t>9.27</w:t>
      </w:r>
      <w:r w:rsidRPr="0041361B">
        <w:rPr>
          <w:lang w:val="fr-FR"/>
        </w:rPr>
        <w:t>. Dans les cas où cet examen montre que les besoins de coordination des assignations de fréquence des stations ESIM aéronautiques et/ou maritimes impliquent un quelconque réseau à satellite ou système à satellites additionnel, les assignations de fréquence aux stations ESIM aéronautiques et/ou maritimes seront retournées à l'administration notificatrice, avec une conclusion défavorable au titre du numéro </w:t>
      </w:r>
      <w:r w:rsidRPr="0041361B">
        <w:rPr>
          <w:b/>
          <w:bCs/>
          <w:lang w:val="fr-FR"/>
        </w:rPr>
        <w:t>11.32</w:t>
      </w:r>
      <w:r w:rsidRPr="0041361B">
        <w:rPr>
          <w:lang w:val="fr-FR"/>
        </w:rPr>
        <w:t>. Les résultats de l'examen effectué par le Bureau seront publiés dans la Circulaire internationale d'information sur les fréquences (BR IFIC).</w:t>
      </w:r>
    </w:p>
    <w:p w14:paraId="6DEA9E78" w14:textId="77777777" w:rsidR="0041361B" w:rsidRPr="0041361B" w:rsidRDefault="0041361B" w:rsidP="0041361B">
      <w:pPr>
        <w:rPr>
          <w:lang w:val="fr-FR"/>
        </w:rPr>
      </w:pPr>
      <w:r w:rsidRPr="0041361B">
        <w:rPr>
          <w:szCs w:val="28"/>
          <w:lang w:val="fr-FR"/>
        </w:rPr>
        <w:t>1.2</w:t>
      </w:r>
      <w:r w:rsidRPr="0041361B">
        <w:rPr>
          <w:szCs w:val="28"/>
          <w:lang w:val="fr-FR"/>
        </w:rPr>
        <w:tab/>
        <w:t xml:space="preserve">Outre la procédure indiquée au § 1.1 ci-dessus, lorsque les stations ESIM fonctionnent dans les bandes de fréquences </w:t>
      </w:r>
      <w:r w:rsidRPr="0041361B">
        <w:rPr>
          <w:lang w:val="fr-FR"/>
        </w:rPr>
        <w:t>27,5</w:t>
      </w:r>
      <w:r w:rsidRPr="0041361B">
        <w:rPr>
          <w:szCs w:val="28"/>
          <w:lang w:val="fr-FR"/>
        </w:rPr>
        <w:t>-28</w:t>
      </w:r>
      <w:r w:rsidRPr="0041361B">
        <w:rPr>
          <w:lang w:val="fr-FR"/>
        </w:rPr>
        <w:t>,6 GHz et 29,5-30 GHz (Terre vers espace)</w:t>
      </w:r>
      <w:r w:rsidRPr="0041361B">
        <w:rPr>
          <w:szCs w:val="24"/>
          <w:lang w:val="fr-FR"/>
        </w:rPr>
        <w:t>,</w:t>
      </w:r>
      <w:r w:rsidRPr="0041361B">
        <w:rPr>
          <w:lang w:val="fr-FR"/>
        </w:rPr>
        <w:t xml:space="preserve"> le Comité a conclu que l'angle d'élévation minimal des stations ESIM (voir l'élément de données </w:t>
      </w:r>
      <w:r w:rsidRPr="0041361B">
        <w:rPr>
          <w:szCs w:val="28"/>
          <w:lang w:val="fr-FR"/>
        </w:rPr>
        <w:t xml:space="preserve">A.36.a de </w:t>
      </w:r>
      <w:r w:rsidRPr="0041361B">
        <w:rPr>
          <w:lang w:val="fr-FR"/>
        </w:rPr>
        <w:t>l'Appendice </w:t>
      </w:r>
      <w:r w:rsidRPr="0041361B">
        <w:rPr>
          <w:b/>
          <w:bCs/>
          <w:lang w:val="fr-FR"/>
        </w:rPr>
        <w:t>4</w:t>
      </w:r>
      <w:r w:rsidRPr="0041361B">
        <w:rPr>
          <w:lang w:val="fr-FR"/>
        </w:rPr>
        <w:t xml:space="preserve">) devrait être supérieur ou égal à l'angle d'élévation minimal soumis pour le groupe d'assignations de fréquence associées au système du SFS non OSG (voir l'élément de données </w:t>
      </w:r>
      <w:r w:rsidRPr="0041361B">
        <w:rPr>
          <w:szCs w:val="28"/>
          <w:lang w:val="fr-FR" w:eastAsia="zh-CN"/>
        </w:rPr>
        <w:t>A.4.b.7.c</w:t>
      </w:r>
      <w:r w:rsidRPr="0041361B">
        <w:rPr>
          <w:i/>
          <w:szCs w:val="28"/>
          <w:lang w:val="fr-FR" w:eastAsia="zh-CN"/>
        </w:rPr>
        <w:t xml:space="preserve">bis </w:t>
      </w:r>
      <w:r w:rsidRPr="0041361B">
        <w:rPr>
          <w:iCs/>
          <w:szCs w:val="28"/>
          <w:lang w:val="fr-FR" w:eastAsia="zh-CN"/>
        </w:rPr>
        <w:t>de l'</w:t>
      </w:r>
      <w:r w:rsidRPr="0041361B">
        <w:rPr>
          <w:lang w:val="fr-FR"/>
        </w:rPr>
        <w:t>Appendice </w:t>
      </w:r>
      <w:r w:rsidRPr="0041361B">
        <w:rPr>
          <w:b/>
          <w:bCs/>
          <w:lang w:val="fr-FR"/>
        </w:rPr>
        <w:t>4</w:t>
      </w:r>
      <w:r w:rsidRPr="0041361B">
        <w:rPr>
          <w:lang w:val="fr-FR"/>
        </w:rPr>
        <w:t>) afin de garantir que les stations ESIM respectent les limites d'epfd indiquées au numéro</w:t>
      </w:r>
      <w:r w:rsidRPr="0041361B">
        <w:rPr>
          <w:bCs/>
          <w:lang w:val="fr-FR"/>
        </w:rPr>
        <w:t> </w:t>
      </w:r>
      <w:r w:rsidRPr="0041361B">
        <w:rPr>
          <w:b/>
          <w:bCs/>
          <w:lang w:val="fr-FR"/>
        </w:rPr>
        <w:t>22.5D</w:t>
      </w:r>
      <w:r w:rsidRPr="0041361B">
        <w:rPr>
          <w:lang w:val="fr-FR"/>
        </w:rPr>
        <w:t>.</w:t>
      </w:r>
    </w:p>
    <w:p w14:paraId="5CCE5941" w14:textId="77777777" w:rsidR="0041361B" w:rsidRPr="0041361B" w:rsidRDefault="0041361B" w:rsidP="0041361B">
      <w:pPr>
        <w:rPr>
          <w:lang w:val="fr-FR"/>
        </w:rPr>
      </w:pPr>
      <w:r w:rsidRPr="0041361B">
        <w:rPr>
          <w:lang w:val="fr-FR"/>
        </w:rPr>
        <w:t>Le Comité a noté que, pour les stations ESIM aéronautiques, la valeur de l'angle d'élévation minimal de référence des stations terriennes types du système du SFS non OSG associé, lorsqu'elle est ajustée à une altitude de 15 km, sera supérieure à celle correspondant à une altitude de 0 km, à condition de conserver le même angle de vision depuis la station spatiale non OSG.</w:t>
      </w:r>
    </w:p>
    <w:p w14:paraId="51AF60A5" w14:textId="77777777" w:rsidR="00722FEF" w:rsidRPr="006467B3" w:rsidRDefault="00722FEF">
      <w:pPr>
        <w:tabs>
          <w:tab w:val="clear" w:pos="1134"/>
          <w:tab w:val="clear" w:pos="1871"/>
          <w:tab w:val="clear" w:pos="2268"/>
        </w:tabs>
        <w:overflowPunct/>
        <w:autoSpaceDE/>
        <w:autoSpaceDN/>
        <w:adjustRightInd/>
        <w:spacing w:before="0"/>
        <w:jc w:val="left"/>
        <w:textAlignment w:val="auto"/>
        <w:rPr>
          <w:rFonts w:asciiTheme="majorBidi" w:hAnsiTheme="majorBidi" w:cstheme="majorBidi"/>
          <w:iCs/>
          <w:szCs w:val="22"/>
          <w:lang w:val="fr-CH"/>
        </w:rPr>
      </w:pPr>
      <w:r w:rsidRPr="006467B3">
        <w:rPr>
          <w:rFonts w:asciiTheme="majorBidi" w:hAnsiTheme="majorBidi" w:cstheme="majorBidi"/>
          <w:iCs/>
          <w:szCs w:val="22"/>
          <w:lang w:val="fr-CH"/>
        </w:rPr>
        <w:br w:type="page"/>
      </w:r>
    </w:p>
    <w:p w14:paraId="6D32AAA8" w14:textId="77777777" w:rsidR="0041361B" w:rsidRPr="0041361B" w:rsidRDefault="0041361B" w:rsidP="0041361B">
      <w:pPr>
        <w:rPr>
          <w:lang w:val="fr-FR"/>
        </w:rPr>
      </w:pPr>
      <w:r w:rsidRPr="0041361B">
        <w:rPr>
          <w:iCs/>
          <w:lang w:val="fr-FR"/>
        </w:rPr>
        <w:lastRenderedPageBreak/>
        <w:t>2</w:t>
      </w:r>
      <w:r w:rsidRPr="0041361B">
        <w:rPr>
          <w:iCs/>
          <w:lang w:val="fr-FR"/>
        </w:rPr>
        <w:tab/>
        <w:t>Le Comité a noté qu'en vertu du point 3</w:t>
      </w:r>
      <w:r w:rsidRPr="0041361B">
        <w:rPr>
          <w:lang w:val="fr-FR"/>
        </w:rPr>
        <w:t xml:space="preserve">.5 du </w:t>
      </w:r>
      <w:r w:rsidRPr="0041361B">
        <w:rPr>
          <w:i/>
          <w:iCs/>
          <w:lang w:val="fr-FR"/>
        </w:rPr>
        <w:t>décide</w:t>
      </w:r>
      <w:r w:rsidRPr="0041361B">
        <w:rPr>
          <w:lang w:val="fr-FR"/>
        </w:rPr>
        <w:t xml:space="preserve"> de la Résolution </w:t>
      </w:r>
      <w:r w:rsidRPr="0041361B">
        <w:rPr>
          <w:b/>
          <w:bCs/>
          <w:lang w:val="fr-FR"/>
        </w:rPr>
        <w:t>123 (CMR</w:t>
      </w:r>
      <w:r w:rsidRPr="0041361B">
        <w:rPr>
          <w:b/>
          <w:bCs/>
          <w:lang w:val="fr-FR"/>
        </w:rPr>
        <w:noBreakHyphen/>
        <w:t>23)</w:t>
      </w:r>
      <w:r w:rsidRPr="0041361B">
        <w:rPr>
          <w:lang w:val="fr-FR"/>
        </w:rPr>
        <w:t>, en ce qui concerne la protection du service d'exploration de la Terre par satellite (passive) exploité dans la bande de fréquences 18,6-18,8 GHz, un système du SFS non OSG dont l'orbite présente un apogée inférieur à 20 000 km exploité dans les bandes de fréquences 18,3-18,6 GHz et 18,8-19,1 GHz avec lequel des stations ESIM aéronautiques et/ou maritimes communiquent et pour lequel les renseignements complets de notification ont été reçus par le Bureau après le 1er janvier 2025 doit être conforme aux dispositions énoncées dans l'Annexe 3 de cette Résolution. Étant donné que la Résolution </w:t>
      </w:r>
      <w:r w:rsidRPr="0041361B">
        <w:rPr>
          <w:b/>
          <w:bCs/>
          <w:lang w:val="fr-FR"/>
        </w:rPr>
        <w:t>123 (CMR-23)</w:t>
      </w:r>
      <w:r w:rsidRPr="0041361B">
        <w:rPr>
          <w:lang w:val="fr-FR"/>
        </w:rPr>
        <w:t xml:space="preserve"> est entrée en vigueur le 1er janvier 2025, le Comité a conclu que cette disposition s'applique aux systèmes du SFS non OSG dont l'orbite présente un apogée inférieur à 20 000 km exploités dans les bandes de fréquences 18,3-18,6 GHz et 18,8</w:t>
      </w:r>
      <w:r w:rsidRPr="0041361B">
        <w:rPr>
          <w:lang w:val="fr-FR"/>
        </w:rPr>
        <w:noBreakHyphen/>
        <w:t>19,1 GHz avec lesquels des stations ESIM aéronautiques et/ou maritimes communiquent et pour lesquels les renseignements de notification ont été reçus par le Bureau à compter du 1er janvier 2025, plutôt que seulement après.</w:t>
      </w:r>
    </w:p>
    <w:p w14:paraId="6EC7B6C4" w14:textId="77777777" w:rsidR="0041361B" w:rsidRPr="0041361B" w:rsidRDefault="0041361B" w:rsidP="0041361B">
      <w:pPr>
        <w:rPr>
          <w:lang w:val="fr-FR"/>
        </w:rPr>
      </w:pPr>
      <w:r w:rsidRPr="0041361B">
        <w:rPr>
          <w:lang w:val="fr-FR"/>
        </w:rPr>
        <w:t>3</w:t>
      </w:r>
      <w:r w:rsidRPr="0041361B">
        <w:rPr>
          <w:lang w:val="fr-FR"/>
        </w:rPr>
        <w:tab/>
        <w:t>En outre, le Comité a conclu que le Bureau devrait examiner les caractéristiques des stations ESIM aéronautiques du point de vue de la conformité aux limites de puissance surfacique à la surface de la Terre indiquées dans la Partie II de l'Annexe 1 de la Résolution </w:t>
      </w:r>
      <w:r w:rsidRPr="0041361B">
        <w:rPr>
          <w:b/>
          <w:bCs/>
          <w:lang w:val="fr-FR"/>
        </w:rPr>
        <w:t>123 (CMR</w:t>
      </w:r>
      <w:r w:rsidRPr="0041361B">
        <w:rPr>
          <w:b/>
          <w:bCs/>
          <w:lang w:val="fr-FR"/>
        </w:rPr>
        <w:noBreakHyphen/>
        <w:t>23)</w:t>
      </w:r>
      <w:r w:rsidRPr="0041361B">
        <w:rPr>
          <w:lang w:val="fr-FR"/>
        </w:rPr>
        <w:t>, à l'aide de la méthode décrite dans la Règle de procédure relative au calcul des niveaux de puissance surfacique produite par les stations ESIM aéronautiques et à leur validation compte tenu des limites énoncées dans l'Annexe 3 de la Résolution </w:t>
      </w:r>
      <w:r w:rsidRPr="0041361B">
        <w:rPr>
          <w:b/>
          <w:bCs/>
          <w:lang w:val="fr-FR"/>
        </w:rPr>
        <w:t>169 (Rév.CMR</w:t>
      </w:r>
      <w:r w:rsidRPr="0041361B">
        <w:rPr>
          <w:b/>
          <w:bCs/>
          <w:lang w:val="fr-FR"/>
        </w:rPr>
        <w:noBreakHyphen/>
        <w:t>23)</w:t>
      </w:r>
      <w:r w:rsidRPr="0041361B">
        <w:rPr>
          <w:lang w:val="fr-FR"/>
        </w:rPr>
        <w:t>, dans l'Annexe 2 de la Résolution </w:t>
      </w:r>
      <w:r w:rsidRPr="0041361B">
        <w:rPr>
          <w:b/>
          <w:bCs/>
          <w:lang w:val="fr-FR"/>
        </w:rPr>
        <w:t>121 (CMR</w:t>
      </w:r>
      <w:r w:rsidRPr="0041361B">
        <w:rPr>
          <w:b/>
          <w:bCs/>
          <w:lang w:val="fr-FR"/>
        </w:rPr>
        <w:noBreakHyphen/>
        <w:t>23)</w:t>
      </w:r>
      <w:r w:rsidRPr="0041361B">
        <w:rPr>
          <w:lang w:val="fr-FR"/>
        </w:rPr>
        <w:t xml:space="preserve"> et dans l'Annexe 2 de la Résolution </w:t>
      </w:r>
      <w:r w:rsidRPr="0041361B">
        <w:rPr>
          <w:b/>
          <w:bCs/>
          <w:lang w:val="fr-FR"/>
        </w:rPr>
        <w:t>123 (CMR</w:t>
      </w:r>
      <w:r w:rsidRPr="0041361B">
        <w:rPr>
          <w:b/>
          <w:bCs/>
          <w:lang w:val="fr-FR"/>
        </w:rPr>
        <w:noBreakHyphen/>
        <w:t>23)</w:t>
      </w:r>
      <w:r w:rsidRPr="0041361B">
        <w:rPr>
          <w:lang w:val="fr-FR"/>
        </w:rPr>
        <w:t>. Les conclusions devront être conformes au numéro </w:t>
      </w:r>
      <w:r w:rsidRPr="0041361B">
        <w:rPr>
          <w:b/>
          <w:bCs/>
          <w:lang w:val="fr-FR"/>
        </w:rPr>
        <w:t>11.31</w:t>
      </w:r>
      <w:r w:rsidRPr="0041361B">
        <w:rPr>
          <w:lang w:val="fr-FR"/>
        </w:rPr>
        <w:t>.</w:t>
      </w:r>
    </w:p>
    <w:p w14:paraId="7EBB80D9" w14:textId="77777777" w:rsidR="0041361B" w:rsidRPr="0041361B" w:rsidRDefault="0041361B" w:rsidP="0041361B">
      <w:pPr>
        <w:rPr>
          <w:szCs w:val="24"/>
          <w:lang w:val="fr-FR"/>
        </w:rPr>
      </w:pPr>
      <w:r w:rsidRPr="0041361B">
        <w:rPr>
          <w:lang w:val="fr-FR"/>
        </w:rPr>
        <w:t>4</w:t>
      </w:r>
      <w:r w:rsidRPr="0041361B">
        <w:rPr>
          <w:lang w:val="fr-FR"/>
        </w:rPr>
        <w:tab/>
        <w:t>En ce qui concerne les dispositions énoncées dans la Partie 1 de l'Annexe 1 et dans l'Annexe 3 de la Résolution </w:t>
      </w:r>
      <w:r w:rsidRPr="0041361B">
        <w:rPr>
          <w:b/>
          <w:bCs/>
          <w:szCs w:val="24"/>
          <w:lang w:val="fr-FR"/>
        </w:rPr>
        <w:t>123 (CMR</w:t>
      </w:r>
      <w:r w:rsidRPr="0041361B">
        <w:rPr>
          <w:b/>
          <w:bCs/>
          <w:szCs w:val="24"/>
          <w:lang w:val="fr-FR"/>
        </w:rPr>
        <w:noBreakHyphen/>
        <w:t>23)</w:t>
      </w:r>
      <w:r w:rsidRPr="0041361B">
        <w:rPr>
          <w:szCs w:val="24"/>
          <w:lang w:val="fr-FR"/>
        </w:rPr>
        <w:t>,</w:t>
      </w:r>
      <w:r w:rsidRPr="0041361B">
        <w:rPr>
          <w:lang w:val="fr-FR"/>
        </w:rPr>
        <w:t xml:space="preserve"> le Comité a en outre conclu qu'aucun examen ne devrait être effectué par le Bureau. </w:t>
      </w:r>
      <w:r w:rsidRPr="0041361B">
        <w:rPr>
          <w:szCs w:val="24"/>
          <w:lang w:val="fr-FR"/>
        </w:rPr>
        <w:t>L'administration notificatrice responsable du système du SFS non OSG avec lequel les stations ESIM communiquent garantira le respect de ces dispositions lorsqu'elle prendra l'engagement requis au titre de l'élément de données A.34.a de l'Annexe 2 de l'Appendice </w:t>
      </w:r>
      <w:r w:rsidRPr="0041361B">
        <w:rPr>
          <w:b/>
          <w:bCs/>
          <w:szCs w:val="24"/>
          <w:lang w:val="fr-FR"/>
        </w:rPr>
        <w:t>4</w:t>
      </w:r>
      <w:r w:rsidRPr="0041361B">
        <w:rPr>
          <w:szCs w:val="24"/>
          <w:lang w:val="fr-FR"/>
        </w:rPr>
        <w:t xml:space="preserve"> d'exploiter les stations ESIM conformément au Règlement des radiocommunications et à la Résolution </w:t>
      </w:r>
      <w:r w:rsidRPr="0041361B">
        <w:rPr>
          <w:b/>
          <w:bCs/>
          <w:szCs w:val="24"/>
          <w:lang w:val="fr-FR"/>
        </w:rPr>
        <w:t>123 (CMR</w:t>
      </w:r>
      <w:r w:rsidRPr="0041361B">
        <w:rPr>
          <w:b/>
          <w:bCs/>
          <w:szCs w:val="24"/>
          <w:lang w:val="fr-FR"/>
        </w:rPr>
        <w:noBreakHyphen/>
        <w:t>23)</w:t>
      </w:r>
      <w:r w:rsidRPr="0041361B">
        <w:rPr>
          <w:szCs w:val="24"/>
          <w:lang w:val="fr-FR"/>
        </w:rPr>
        <w:t>.</w:t>
      </w:r>
    </w:p>
    <w:p w14:paraId="3B749283" w14:textId="77777777" w:rsidR="00E052A7" w:rsidRPr="006467B3" w:rsidRDefault="00E052A7" w:rsidP="0089365D">
      <w:pPr>
        <w:rPr>
          <w:lang w:val="fr-CH"/>
        </w:rPr>
      </w:pPr>
    </w:p>
    <w:p w14:paraId="02257F70" w14:textId="77777777" w:rsidR="00E052A7" w:rsidRDefault="00E052A7">
      <w:pPr>
        <w:jc w:val="center"/>
        <w:rPr>
          <w:color w:val="000000"/>
        </w:rPr>
      </w:pPr>
      <w:r>
        <w:rPr>
          <w:color w:val="000000"/>
        </w:rPr>
        <w:t>____________________</w:t>
      </w:r>
    </w:p>
    <w:p w14:paraId="65D0D92C" w14:textId="77777777" w:rsidR="00035525" w:rsidRDefault="00035525">
      <w:pPr>
        <w:jc w:val="center"/>
        <w:rPr>
          <w:color w:val="000000"/>
        </w:rPr>
      </w:pPr>
    </w:p>
    <w:p w14:paraId="47E7C057" w14:textId="77777777" w:rsidR="00035525" w:rsidRDefault="00035525">
      <w:pPr>
        <w:jc w:val="center"/>
        <w:rPr>
          <w:color w:val="000000"/>
        </w:rPr>
      </w:pPr>
    </w:p>
    <w:p w14:paraId="5E21AD6A" w14:textId="77777777" w:rsidR="00035525" w:rsidRDefault="00035525">
      <w:pPr>
        <w:jc w:val="center"/>
        <w:rPr>
          <w:color w:val="000000"/>
        </w:rPr>
      </w:pPr>
    </w:p>
    <w:p w14:paraId="45586D9A" w14:textId="77777777" w:rsidR="00035525" w:rsidRDefault="00035525">
      <w:pPr>
        <w:jc w:val="center"/>
        <w:rPr>
          <w:color w:val="000000"/>
        </w:rPr>
      </w:pPr>
    </w:p>
    <w:p w14:paraId="1C316475" w14:textId="77777777" w:rsidR="00035525" w:rsidRDefault="00035525">
      <w:pPr>
        <w:jc w:val="center"/>
        <w:rPr>
          <w:color w:val="000000"/>
        </w:rPr>
      </w:pPr>
    </w:p>
    <w:p w14:paraId="7396A8FA" w14:textId="77777777" w:rsidR="00E052A7" w:rsidRDefault="00E052A7" w:rsidP="0089365D"/>
    <w:p w14:paraId="1F1DDE53" w14:textId="77777777" w:rsidR="00E07A08" w:rsidRDefault="00E07A08" w:rsidP="00E36ED1">
      <w:pPr>
        <w:rPr>
          <w:lang w:val="en-US"/>
        </w:rPr>
        <w:sectPr w:rsidR="00E07A08" w:rsidSect="0089365D">
          <w:headerReference w:type="even" r:id="rId6"/>
          <w:headerReference w:type="first" r:id="rId7"/>
          <w:footnotePr>
            <w:pos w:val="beneathText"/>
          </w:footnotePr>
          <w:pgSz w:w="11907" w:h="16840" w:code="9"/>
          <w:pgMar w:top="1701" w:right="851" w:bottom="1134" w:left="1985" w:header="720" w:footer="482" w:gutter="0"/>
          <w:cols w:space="720"/>
          <w:vAlign w:val="both"/>
          <w:titlePg/>
        </w:sectPr>
      </w:pPr>
    </w:p>
    <w:p w14:paraId="445AFBC5" w14:textId="77777777" w:rsidR="00E052A7" w:rsidRDefault="00E052A7" w:rsidP="00E36ED1">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38B07" w14:textId="77777777" w:rsidR="000E7236" w:rsidRDefault="000E7236">
      <w:r>
        <w:separator/>
      </w:r>
    </w:p>
  </w:endnote>
  <w:endnote w:type="continuationSeparator" w:id="0">
    <w:p w14:paraId="3EF8CCA8" w14:textId="77777777" w:rsidR="000E7236" w:rsidRDefault="000E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38090" w14:textId="77777777" w:rsidR="000E7236" w:rsidRDefault="000E7236">
      <w:r>
        <w:rPr>
          <w:b/>
        </w:rPr>
        <w:t>_______________</w:t>
      </w:r>
    </w:p>
  </w:footnote>
  <w:footnote w:type="continuationSeparator" w:id="0">
    <w:p w14:paraId="0FFA00CE" w14:textId="77777777" w:rsidR="000E7236" w:rsidRDefault="000E7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7A08" w14:paraId="4C5F77E2" w14:textId="77777777" w:rsidTr="00E07A08">
      <w:trPr>
        <w:cantSplit/>
      </w:trPr>
      <w:tc>
        <w:tcPr>
          <w:tcW w:w="1701" w:type="dxa"/>
          <w:tcBorders>
            <w:top w:val="single" w:sz="6" w:space="0" w:color="auto"/>
            <w:left w:val="single" w:sz="6" w:space="0" w:color="auto"/>
            <w:bottom w:val="single" w:sz="6" w:space="0" w:color="auto"/>
            <w:right w:val="single" w:sz="6" w:space="0" w:color="auto"/>
          </w:tcBorders>
        </w:tcPr>
        <w:p w14:paraId="0B5C71B2" w14:textId="00F91D1B" w:rsidR="00E07A08" w:rsidRDefault="00E07A08" w:rsidP="00E07A08">
          <w:pPr>
            <w:pStyle w:val="HeaderRegProc"/>
          </w:pPr>
          <w:r>
            <w:t>Part</w:t>
          </w:r>
          <w:r w:rsidR="0041361B">
            <w:t>ie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74826545" w14:textId="540969D0" w:rsidR="00E07A08" w:rsidRDefault="00E07A08" w:rsidP="00E07A08">
          <w:pPr>
            <w:pStyle w:val="HeaderRegProc"/>
            <w:rPr>
              <w:lang w:val="fr-FR"/>
            </w:rPr>
          </w:pPr>
          <w:r>
            <w:t>R</w:t>
          </w:r>
          <w:r w:rsidR="008018A4">
            <w:t>E</w:t>
          </w:r>
          <w:r>
            <w:t>S</w:t>
          </w:r>
          <w:r>
            <w:fldChar w:fldCharType="begin"/>
          </w:r>
          <w:r>
            <w:instrText>styleref href2</w:instrText>
          </w:r>
          <w:r>
            <w:fldChar w:fldCharType="separate"/>
          </w:r>
          <w:r w:rsidR="00931DD3">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73FD54" w14:textId="77777777" w:rsidR="00E07A08" w:rsidRDefault="00E07A08" w:rsidP="00E07A0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A63B3" w14:textId="6BB229D1" w:rsidR="00E07A08" w:rsidRDefault="00E07A08" w:rsidP="00E07A08">
          <w:pPr>
            <w:pStyle w:val="HeaderRegProc"/>
            <w:rPr>
              <w:lang w:val="fr-CH"/>
            </w:rPr>
          </w:pPr>
          <w:r>
            <w:rPr>
              <w:lang w:val="fr-CH"/>
            </w:rPr>
            <w:t>r</w:t>
          </w:r>
          <w:r w:rsidR="0041361B">
            <w:rPr>
              <w:lang w:val="fr-CH"/>
            </w:rPr>
            <w:t>é</w:t>
          </w:r>
          <w:r>
            <w:rPr>
              <w:lang w:val="fr-CH"/>
            </w:rPr>
            <w:t xml:space="preserve">v. </w:t>
          </w:r>
          <w:r w:rsidR="006467B3">
            <w:t>-</w:t>
          </w:r>
        </w:p>
      </w:tc>
    </w:tr>
  </w:tbl>
  <w:p w14:paraId="7ACF379A" w14:textId="77777777" w:rsidR="00E07A08" w:rsidRDefault="00E07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0CFD70FC" w:rsidR="00B00715" w:rsidRDefault="00B00715" w:rsidP="00B00715">
          <w:pPr>
            <w:pStyle w:val="HeaderRegProc"/>
          </w:pPr>
          <w:r>
            <w:t>Part</w:t>
          </w:r>
          <w:r w:rsidR="0041361B">
            <w:t>ie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D8094A7" w14:textId="22171CD5" w:rsidR="00B00715" w:rsidRDefault="00B00715" w:rsidP="00B00715">
          <w:pPr>
            <w:pStyle w:val="HeaderRegProc"/>
            <w:rPr>
              <w:lang w:val="fr-FR"/>
            </w:rPr>
          </w:pPr>
          <w:r>
            <w:t>R</w:t>
          </w:r>
          <w:r w:rsidR="008018A4">
            <w:t>E</w:t>
          </w:r>
          <w:r>
            <w:t>S</w:t>
          </w:r>
          <w:r>
            <w:fldChar w:fldCharType="begin"/>
          </w:r>
          <w:r>
            <w:instrText>styleref href2</w:instrText>
          </w:r>
          <w:r>
            <w:fldChar w:fldCharType="separate"/>
          </w:r>
          <w:r w:rsidR="00931DD3">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77777777" w:rsidR="00B00715" w:rsidRDefault="00B00715" w:rsidP="00B0071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4E770769" w:rsidR="00B00715" w:rsidRDefault="00B00715" w:rsidP="00B00715">
          <w:pPr>
            <w:pStyle w:val="HeaderRegProc"/>
            <w:rPr>
              <w:lang w:val="fr-CH"/>
            </w:rPr>
          </w:pPr>
          <w:r>
            <w:rPr>
              <w:lang w:val="fr-CH"/>
            </w:rPr>
            <w:t>r</w:t>
          </w:r>
          <w:r w:rsidR="0041361B">
            <w:rPr>
              <w:lang w:val="fr-CH"/>
            </w:rPr>
            <w:t>é</w:t>
          </w:r>
          <w:r>
            <w:rPr>
              <w:lang w:val="fr-CH"/>
            </w:rPr>
            <w:t xml:space="preserve">v. </w:t>
          </w:r>
          <w:r w:rsidR="006467B3">
            <w:t>-</w:t>
          </w:r>
        </w:p>
      </w:tc>
    </w:tr>
  </w:tbl>
  <w:p w14:paraId="3CE4A68B"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A9699" w14:textId="77777777" w:rsidR="00E07A08" w:rsidRDefault="00E07A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35525"/>
    <w:rsid w:val="00062037"/>
    <w:rsid w:val="00075975"/>
    <w:rsid w:val="00085F8F"/>
    <w:rsid w:val="000B1472"/>
    <w:rsid w:val="000B6CC5"/>
    <w:rsid w:val="000E7236"/>
    <w:rsid w:val="001549C7"/>
    <w:rsid w:val="001C7192"/>
    <w:rsid w:val="001E215E"/>
    <w:rsid w:val="00204C1C"/>
    <w:rsid w:val="0023244B"/>
    <w:rsid w:val="00264A7E"/>
    <w:rsid w:val="002F6FCF"/>
    <w:rsid w:val="00301321"/>
    <w:rsid w:val="00382B7D"/>
    <w:rsid w:val="00395F3E"/>
    <w:rsid w:val="003F79CF"/>
    <w:rsid w:val="00405F45"/>
    <w:rsid w:val="0041361B"/>
    <w:rsid w:val="00483705"/>
    <w:rsid w:val="006467B3"/>
    <w:rsid w:val="006779FD"/>
    <w:rsid w:val="006B2BAF"/>
    <w:rsid w:val="006B40CA"/>
    <w:rsid w:val="00722FEF"/>
    <w:rsid w:val="00762188"/>
    <w:rsid w:val="008018A4"/>
    <w:rsid w:val="008018D9"/>
    <w:rsid w:val="00803152"/>
    <w:rsid w:val="00824378"/>
    <w:rsid w:val="0089365D"/>
    <w:rsid w:val="00931DD3"/>
    <w:rsid w:val="00963257"/>
    <w:rsid w:val="0098158F"/>
    <w:rsid w:val="009971CA"/>
    <w:rsid w:val="009B0898"/>
    <w:rsid w:val="00A002ED"/>
    <w:rsid w:val="00A04D5E"/>
    <w:rsid w:val="00A70933"/>
    <w:rsid w:val="00AE5F49"/>
    <w:rsid w:val="00B00715"/>
    <w:rsid w:val="00B2732B"/>
    <w:rsid w:val="00B472F8"/>
    <w:rsid w:val="00BA1AEC"/>
    <w:rsid w:val="00BB2F74"/>
    <w:rsid w:val="00C77ED5"/>
    <w:rsid w:val="00C92907"/>
    <w:rsid w:val="00CC1BC0"/>
    <w:rsid w:val="00E052A7"/>
    <w:rsid w:val="00E07A08"/>
    <w:rsid w:val="00E36ED1"/>
    <w:rsid w:val="00E70951"/>
    <w:rsid w:val="00EC2C88"/>
    <w:rsid w:val="00F14B16"/>
    <w:rsid w:val="00F733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styleId="Revision">
    <w:name w:val="Revision"/>
    <w:hidden/>
    <w:uiPriority w:val="99"/>
    <w:semiHidden/>
    <w:rsid w:val="009971CA"/>
    <w:rPr>
      <w:sz w:val="24"/>
      <w:lang w:val="en-GB" w:eastAsia="en-US"/>
    </w:rPr>
  </w:style>
  <w:style w:type="paragraph" w:customStyle="1" w:styleId="Normalaftertitle0">
    <w:name w:val="Normal_after_title"/>
    <w:basedOn w:val="Normal"/>
    <w:next w:val="Normal"/>
    <w:rsid w:val="0041361B"/>
    <w:pPr>
      <w:tabs>
        <w:tab w:val="clear" w:pos="1134"/>
        <w:tab w:val="clear" w:pos="1871"/>
        <w:tab w:val="clear" w:pos="2268"/>
        <w:tab w:val="left" w:pos="794"/>
        <w:tab w:val="left" w:pos="1191"/>
        <w:tab w:val="left" w:pos="1588"/>
        <w:tab w:val="left" w:pos="1985"/>
      </w:tabs>
      <w:spacing w:before="360"/>
      <w:jc w:val="left"/>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75</TotalTime>
  <Pages>3</Pages>
  <Words>663</Words>
  <Characters>4525</Characters>
  <Application>Microsoft Office Word</Application>
  <DocSecurity>0</DocSecurity>
  <Lines>205</Lines>
  <Paragraphs>172</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
  <dc:creator/>
  <cp:keywords/>
  <dc:description/>
  <cp:lastModifiedBy>Gachet, Christelle</cp:lastModifiedBy>
  <cp:revision>41</cp:revision>
  <cp:lastPrinted>2025-11-25T14:14:00Z</cp:lastPrinted>
  <dcterms:created xsi:type="dcterms:W3CDTF">2012-08-08T06:51:00Z</dcterms:created>
  <dcterms:modified xsi:type="dcterms:W3CDTF">2025-11-25T14:14:00Z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