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2D0DB" w14:textId="017AFC7B" w:rsidR="00E052A7" w:rsidRPr="004B0335" w:rsidRDefault="006A4B59" w:rsidP="0089365D">
      <w:pPr>
        <w:pStyle w:val="Heading1"/>
        <w:spacing w:before="300"/>
        <w:ind w:left="0" w:firstLine="0"/>
        <w:jc w:val="center"/>
        <w:rPr>
          <w:lang w:val="fr-CH"/>
        </w:rPr>
      </w:pPr>
      <w:r w:rsidRPr="004B0335">
        <w:rPr>
          <w:lang w:val="fr-CH"/>
        </w:rPr>
        <w:t>Règles relatives à la</w:t>
      </w:r>
    </w:p>
    <w:p w14:paraId="6D735A6A" w14:textId="6CA2ACCD" w:rsidR="00E052A7" w:rsidRPr="004B0335" w:rsidRDefault="006A4B59">
      <w:pPr>
        <w:pStyle w:val="Heading2"/>
        <w:ind w:left="0" w:firstLine="0"/>
        <w:jc w:val="center"/>
        <w:rPr>
          <w:lang w:val="fr-CH"/>
        </w:rPr>
      </w:pPr>
      <w:r w:rsidRPr="004B0335">
        <w:rPr>
          <w:lang w:val="fr-CH"/>
        </w:rPr>
        <w:t xml:space="preserve">RÉSOLUTION </w:t>
      </w:r>
      <w:r w:rsidR="00FD379E" w:rsidRPr="004B0335">
        <w:rPr>
          <w:rStyle w:val="href2"/>
          <w:lang w:val="fr-CH"/>
        </w:rPr>
        <w:t>35</w:t>
      </w:r>
      <w:r w:rsidR="00E052A7" w:rsidRPr="004B0335">
        <w:rPr>
          <w:lang w:val="fr-CH"/>
        </w:rPr>
        <w:t xml:space="preserve"> (</w:t>
      </w:r>
      <w:r w:rsidR="00FD379E" w:rsidRPr="004B0335">
        <w:rPr>
          <w:lang w:val="fr-CH"/>
        </w:rPr>
        <w:t>R</w:t>
      </w:r>
      <w:r w:rsidR="004B0335">
        <w:rPr>
          <w:lang w:val="fr-CH"/>
        </w:rPr>
        <w:t>é</w:t>
      </w:r>
      <w:r w:rsidR="00FD379E" w:rsidRPr="004B0335">
        <w:rPr>
          <w:lang w:val="fr-CH"/>
        </w:rPr>
        <w:t>v.</w:t>
      </w:r>
      <w:r w:rsidRPr="004B0335">
        <w:rPr>
          <w:lang w:val="fr-CH"/>
        </w:rPr>
        <w:t>CMR</w:t>
      </w:r>
      <w:r w:rsidR="00E052A7" w:rsidRPr="004B0335">
        <w:rPr>
          <w:lang w:val="fr-CH"/>
        </w:rPr>
        <w:t>-</w:t>
      </w:r>
      <w:r w:rsidR="005F1E1A" w:rsidRPr="004B0335">
        <w:rPr>
          <w:lang w:val="fr-CH"/>
        </w:rPr>
        <w:t>23</w:t>
      </w:r>
      <w:r w:rsidR="00E052A7" w:rsidRPr="004B0335">
        <w:rPr>
          <w:lang w:val="fr-CH"/>
        </w:rPr>
        <w:t>)</w:t>
      </w:r>
    </w:p>
    <w:p w14:paraId="490722B8" w14:textId="5DFA7ACB" w:rsidR="006A4B59" w:rsidRPr="006A4B59" w:rsidRDefault="006A4B59" w:rsidP="006A4B59">
      <w:pPr>
        <w:keepNext/>
        <w:keepLines/>
        <w:tabs>
          <w:tab w:val="clear" w:pos="1134"/>
          <w:tab w:val="clear" w:pos="1871"/>
          <w:tab w:val="clear" w:pos="2268"/>
          <w:tab w:val="left" w:pos="794"/>
          <w:tab w:val="left" w:pos="1191"/>
          <w:tab w:val="left" w:pos="1588"/>
          <w:tab w:val="left" w:pos="1985"/>
        </w:tabs>
        <w:spacing w:before="240"/>
        <w:jc w:val="center"/>
        <w:rPr>
          <w:rFonts w:eastAsiaTheme="minorEastAsia"/>
          <w:b/>
          <w:sz w:val="28"/>
          <w:lang w:val="fr-FR"/>
        </w:rPr>
      </w:pPr>
      <w:bookmarkStart w:id="0" w:name="_Hlk184197827"/>
      <w:r w:rsidRPr="006A4B59">
        <w:rPr>
          <w:rFonts w:eastAsiaTheme="minorEastAsia"/>
          <w:b/>
          <w:sz w:val="28"/>
          <w:lang w:val="fr-FR"/>
        </w:rPr>
        <w:t xml:space="preserve">Méthode par étape relative à la mise en œuvre des assignations de fréquence à </w:t>
      </w:r>
      <w:bookmarkEnd w:id="0"/>
      <w:r w:rsidRPr="006A4B59">
        <w:rPr>
          <w:rFonts w:eastAsiaTheme="minorEastAsia"/>
          <w:b/>
          <w:sz w:val="28"/>
          <w:lang w:val="fr-FR"/>
        </w:rPr>
        <w:t xml:space="preserve">des stations spatiales d'un système à satellites non géostationnaires dans certaines bandes de fréquences </w:t>
      </w:r>
      <w:r>
        <w:rPr>
          <w:rFonts w:eastAsiaTheme="minorEastAsia"/>
          <w:b/>
          <w:sz w:val="28"/>
          <w:lang w:val="fr-FR"/>
        </w:rPr>
        <w:br/>
      </w:r>
      <w:r w:rsidRPr="006A4B59">
        <w:rPr>
          <w:rFonts w:eastAsiaTheme="minorEastAsia"/>
          <w:b/>
          <w:sz w:val="28"/>
          <w:lang w:val="fr-FR"/>
        </w:rPr>
        <w:t>et certains services</w:t>
      </w:r>
    </w:p>
    <w:p w14:paraId="68C11DA3" w14:textId="77777777" w:rsidR="00386BFB" w:rsidRPr="004B0335" w:rsidRDefault="00386BFB" w:rsidP="00386BFB">
      <w:pPr>
        <w:rPr>
          <w:lang w:val="fr-CH"/>
        </w:rPr>
      </w:pPr>
      <w:bookmarkStart w:id="1" w:name="lt_pId104"/>
      <w:r w:rsidRPr="004B0335">
        <w:rPr>
          <w:lang w:val="fr-CH"/>
        </w:rPr>
        <w:t>S'agissant de l'application du point 17 </w:t>
      </w:r>
      <w:r w:rsidRPr="004B0335">
        <w:rPr>
          <w:i/>
          <w:iCs/>
          <w:lang w:val="fr-CH"/>
        </w:rPr>
        <w:t>b)</w:t>
      </w:r>
      <w:r w:rsidRPr="004B0335">
        <w:rPr>
          <w:lang w:val="fr-CH"/>
        </w:rPr>
        <w:t xml:space="preserve"> i) du </w:t>
      </w:r>
      <w:r w:rsidRPr="004B0335">
        <w:rPr>
          <w:i/>
          <w:iCs/>
          <w:lang w:val="fr-CH"/>
        </w:rPr>
        <w:t>décide</w:t>
      </w:r>
      <w:r w:rsidRPr="004B0335">
        <w:rPr>
          <w:lang w:val="fr-CH"/>
        </w:rPr>
        <w:t xml:space="preserve"> de la Résolution </w:t>
      </w:r>
      <w:r w:rsidRPr="004B0335">
        <w:rPr>
          <w:b/>
          <w:bCs/>
          <w:lang w:val="fr-CH"/>
        </w:rPr>
        <w:t>35 (Rév.CMR-23)</w:t>
      </w:r>
      <w:r w:rsidRPr="004B0335">
        <w:rPr>
          <w:lang w:val="fr-CH"/>
        </w:rPr>
        <w:t xml:space="preserve">, le Comité croit comprendre que tous les satellites fonctionnant dans un plan orbital quelconque qui ne sont pas énumérés dans les renseignements complets définitifs relatifs au déploiement, ainsi que tous les plans orbitaux dans lesquels aucun satellite n'est indiqué dans les renseignements complets définitifs relatifs au déploiement, soumis au titre du point 2, 3, 7 ou 8 du </w:t>
      </w:r>
      <w:r w:rsidRPr="004B0335">
        <w:rPr>
          <w:i/>
          <w:iCs/>
          <w:lang w:val="fr-CH"/>
        </w:rPr>
        <w:t>décide</w:t>
      </w:r>
      <w:r w:rsidRPr="004B0335">
        <w:rPr>
          <w:lang w:val="fr-CH"/>
        </w:rPr>
        <w:t>, selon le cas, de la Résolution </w:t>
      </w:r>
      <w:r w:rsidRPr="004B0335">
        <w:rPr>
          <w:b/>
          <w:bCs/>
          <w:lang w:val="fr-CH"/>
        </w:rPr>
        <w:t>35 (Rév.CMR-23)</w:t>
      </w:r>
      <w:r w:rsidRPr="004B0335">
        <w:rPr>
          <w:lang w:val="fr-CH"/>
        </w:rPr>
        <w:t xml:space="preserve"> devront être supprimés de la fiche de notification.</w:t>
      </w:r>
      <w:bookmarkEnd w:id="1"/>
      <w:r w:rsidRPr="004B0335">
        <w:rPr>
          <w:lang w:val="fr-CH"/>
        </w:rPr>
        <w:t xml:space="preserve"> En conséquence, tous les faisceaux et groupes d'assignations de fréquence associés uniquement à ces plans orbitaux ou à ces satellites devront également être supprimés.</w:t>
      </w:r>
    </w:p>
    <w:p w14:paraId="503D1121" w14:textId="77777777" w:rsidR="00386BFB" w:rsidRPr="00386BFB" w:rsidRDefault="00386BFB" w:rsidP="00386BFB">
      <w:pPr>
        <w:rPr>
          <w:lang w:val="fr-FR"/>
        </w:rPr>
      </w:pPr>
      <w:bookmarkStart w:id="2" w:name="lt_pId105"/>
      <w:r w:rsidRPr="00386BFB">
        <w:rPr>
          <w:lang w:val="fr-FR"/>
        </w:rPr>
        <w:t xml:space="preserve">Pour ce qui est des assignations de fréquence associées aux plans orbitaux et satellites restants, si les modifications apportées aux caractéristiques notifiées du système à satellites conformément au point 11 du </w:t>
      </w:r>
      <w:r w:rsidRPr="00386BFB">
        <w:rPr>
          <w:i/>
          <w:iCs/>
          <w:lang w:val="fr-FR"/>
        </w:rPr>
        <w:t>décide</w:t>
      </w:r>
      <w:r w:rsidRPr="00386BFB">
        <w:rPr>
          <w:lang w:val="fr-FR"/>
        </w:rPr>
        <w:t xml:space="preserve"> de la Résolution </w:t>
      </w:r>
      <w:r w:rsidRPr="00386BFB">
        <w:rPr>
          <w:b/>
          <w:bCs/>
          <w:lang w:val="fr-FR"/>
        </w:rPr>
        <w:t>35 (Rév.CMR-23)</w:t>
      </w:r>
      <w:r w:rsidRPr="00386BFB">
        <w:rPr>
          <w:lang w:val="fr-FR"/>
        </w:rPr>
        <w:t xml:space="preserve"> n'ont pas été soumises du fait que les étapes fixées n'ont pas été menées à bien, le Comité a conclu que dans l'application du point 17 </w:t>
      </w:r>
      <w:r w:rsidRPr="00386BFB">
        <w:rPr>
          <w:i/>
          <w:iCs/>
          <w:lang w:val="fr-FR"/>
        </w:rPr>
        <w:t>b)</w:t>
      </w:r>
      <w:r w:rsidRPr="00386BFB">
        <w:rPr>
          <w:lang w:val="fr-FR"/>
        </w:rPr>
        <w:t xml:space="preserve"> ii) du </w:t>
      </w:r>
      <w:r w:rsidRPr="00386BFB">
        <w:rPr>
          <w:i/>
          <w:iCs/>
          <w:lang w:val="fr-FR"/>
        </w:rPr>
        <w:t>décide</w:t>
      </w:r>
      <w:r w:rsidRPr="00386BFB">
        <w:rPr>
          <w:lang w:val="fr-FR"/>
        </w:rPr>
        <w:t xml:space="preserve">, on insérera un symbole dans la colonne «Observations» indiquant que ces assignations de fréquence ne sont pas conformes à la Résolution </w:t>
      </w:r>
      <w:r w:rsidRPr="00386BFB">
        <w:rPr>
          <w:b/>
          <w:bCs/>
          <w:lang w:val="fr-FR"/>
        </w:rPr>
        <w:t>35 (Rév.CMR-23)</w:t>
      </w:r>
      <w:r w:rsidRPr="00386BFB">
        <w:rPr>
          <w:lang w:val="fr-FR"/>
        </w:rPr>
        <w:t xml:space="preserve"> et ne seront plus prises en considération dans le cadre des examens ultérieurs au titre du numéro </w:t>
      </w:r>
      <w:r w:rsidRPr="00386BFB">
        <w:rPr>
          <w:b/>
          <w:bCs/>
          <w:lang w:val="fr-FR"/>
        </w:rPr>
        <w:t>9.36</w:t>
      </w:r>
      <w:r w:rsidRPr="00386BFB">
        <w:rPr>
          <w:lang w:val="fr-FR"/>
        </w:rPr>
        <w:t xml:space="preserve">, </w:t>
      </w:r>
      <w:r w:rsidRPr="00386BFB">
        <w:rPr>
          <w:b/>
          <w:bCs/>
          <w:lang w:val="fr-FR"/>
        </w:rPr>
        <w:t>11.32</w:t>
      </w:r>
      <w:r w:rsidRPr="00386BFB">
        <w:rPr>
          <w:lang w:val="fr-FR"/>
        </w:rPr>
        <w:t xml:space="preserve"> ou </w:t>
      </w:r>
      <w:r w:rsidRPr="00386BFB">
        <w:rPr>
          <w:b/>
          <w:bCs/>
          <w:lang w:val="fr-FR"/>
        </w:rPr>
        <w:t>11.32A.</w:t>
      </w:r>
      <w:bookmarkEnd w:id="2"/>
      <w:r w:rsidRPr="00386BFB">
        <w:rPr>
          <w:lang w:val="fr-FR"/>
        </w:rPr>
        <w:t xml:space="preserve"> </w:t>
      </w:r>
      <w:bookmarkStart w:id="3" w:name="lt_pId106"/>
      <w:r w:rsidRPr="00386BFB">
        <w:rPr>
          <w:lang w:val="fr-FR"/>
        </w:rPr>
        <w:t>Les renseignements inscrits sous la date de protection ou «date 2D» (c'est-à-dire la date à compter de laquelle une assignation est prise en compte comme indiqué au § 1 </w:t>
      </w:r>
      <w:r w:rsidRPr="00386BFB">
        <w:rPr>
          <w:i/>
          <w:iCs/>
          <w:lang w:val="fr-FR"/>
        </w:rPr>
        <w:t>e)</w:t>
      </w:r>
      <w:r w:rsidRPr="00386BFB">
        <w:rPr>
          <w:lang w:val="fr-FR"/>
        </w:rPr>
        <w:t xml:space="preserve"> de l'Appendice </w:t>
      </w:r>
      <w:r w:rsidRPr="00386BFB">
        <w:rPr>
          <w:b/>
          <w:bCs/>
          <w:lang w:val="fr-FR"/>
        </w:rPr>
        <w:t>5</w:t>
      </w:r>
      <w:r w:rsidRPr="00386BFB">
        <w:rPr>
          <w:lang w:val="fr-FR"/>
        </w:rPr>
        <w:t>) et les renseignements concernant le statut de l'accord de coordination seront également supprimés dans le cas de ces assignations de fréquence.</w:t>
      </w:r>
      <w:bookmarkEnd w:id="3"/>
    </w:p>
    <w:p w14:paraId="36D394B8" w14:textId="77777777" w:rsidR="00386BFB" w:rsidRPr="00386BFB" w:rsidRDefault="00386BFB" w:rsidP="00386BFB">
      <w:pPr>
        <w:rPr>
          <w:lang w:val="fr-FR"/>
        </w:rPr>
      </w:pPr>
      <w:bookmarkStart w:id="4" w:name="lt_pId107"/>
      <w:r w:rsidRPr="00386BFB">
        <w:rPr>
          <w:lang w:val="fr-FR"/>
        </w:rPr>
        <w:t xml:space="preserve">Par la suite, le Comité a noté que ces assignations de fréquence seraient inscrites dans le Fichier de référence pour information uniquement et ne devaient pas causer de brouillages préjudiciables à une station exploitée conformément au Règlement des radiocommunications, ni demander à bénéficier d'une protection contre les brouillages préjudiciables causés par ladite station, comme pour une inscription avec une demande d'application du numéro </w:t>
      </w:r>
      <w:r w:rsidRPr="00386BFB">
        <w:rPr>
          <w:b/>
          <w:bCs/>
          <w:lang w:val="fr-FR"/>
        </w:rPr>
        <w:t>4.4</w:t>
      </w:r>
      <w:r w:rsidRPr="00386BFB">
        <w:rPr>
          <w:lang w:val="fr-FR"/>
        </w:rPr>
        <w:t>.</w:t>
      </w:r>
      <w:bookmarkEnd w:id="4"/>
      <w:r w:rsidRPr="00386BFB">
        <w:rPr>
          <w:lang w:val="fr-FR"/>
        </w:rPr>
        <w:t xml:space="preserve"> </w:t>
      </w:r>
      <w:bookmarkStart w:id="5" w:name="lt_pId108"/>
      <w:r w:rsidRPr="00386BFB">
        <w:rPr>
          <w:lang w:val="fr-FR"/>
        </w:rPr>
        <w:t>Le Comité a chargé le Bureau de publier le statut mis à jour de ces assignations de fréquence dans une BR IFIC.</w:t>
      </w:r>
      <w:bookmarkEnd w:id="5"/>
    </w:p>
    <w:p w14:paraId="6DFD2FDB" w14:textId="77777777" w:rsidR="00386BFB" w:rsidRPr="00386BFB" w:rsidRDefault="00386BFB" w:rsidP="00386BFB">
      <w:pPr>
        <w:rPr>
          <w:lang w:val="fr-FR" w:eastAsia="en-GB"/>
        </w:rPr>
      </w:pPr>
      <w:bookmarkStart w:id="6" w:name="lt_pId109"/>
      <w:r w:rsidRPr="00386BFB">
        <w:rPr>
          <w:lang w:val="fr-FR" w:eastAsia="en-GB"/>
        </w:rPr>
        <w:t xml:space="preserve">Étant donné que le point 17 du </w:t>
      </w:r>
      <w:r w:rsidRPr="00386BFB">
        <w:rPr>
          <w:i/>
          <w:iCs/>
          <w:lang w:val="fr-FR" w:eastAsia="en-GB"/>
        </w:rPr>
        <w:t>décide</w:t>
      </w:r>
      <w:r w:rsidRPr="00386BFB">
        <w:rPr>
          <w:lang w:val="fr-FR" w:eastAsia="en-GB"/>
        </w:rPr>
        <w:t xml:space="preserve"> s'applique uniquement dans des cas où une administration notificatrice ne fournit pas les renseignements requis, et afin d'éviter de conserver des assignations de fréquence non utilisées dans le Fichier de référence, le Comité a également chargé le Bureau d'appliquer le numéro </w:t>
      </w:r>
      <w:r w:rsidRPr="00386BFB">
        <w:rPr>
          <w:b/>
          <w:bCs/>
          <w:lang w:val="fr-FR" w:eastAsia="en-GB"/>
        </w:rPr>
        <w:t>13.6</w:t>
      </w:r>
      <w:r w:rsidRPr="00386BFB">
        <w:rPr>
          <w:lang w:val="fr-FR" w:eastAsia="en-GB"/>
        </w:rPr>
        <w:t xml:space="preserve"> avant d'inscrire et de publier le statut mis à jour de ces assignations de fréquence.</w:t>
      </w:r>
      <w:bookmarkEnd w:id="6"/>
    </w:p>
    <w:p w14:paraId="445AFBC5" w14:textId="3E355720" w:rsidR="00E052A7" w:rsidRPr="00386BFB" w:rsidRDefault="00E052A7" w:rsidP="00386BFB">
      <w:pPr>
        <w:jc w:val="center"/>
        <w:rPr>
          <w:color w:val="000000"/>
        </w:rPr>
      </w:pPr>
      <w:r>
        <w:rPr>
          <w:color w:val="000000"/>
        </w:rPr>
        <w:t>____________________</w:t>
      </w:r>
    </w:p>
    <w:sectPr w:rsidR="00E052A7" w:rsidRPr="00386BFB" w:rsidSect="0089365D">
      <w:headerReference w:type="even" r:id="rId6"/>
      <w:headerReference w:type="default" r:id="rId7"/>
      <w:footerReference w:type="even" r:id="rId8"/>
      <w:footerReference w:type="default" r:id="rId9"/>
      <w:headerReference w:type="first" r:id="rId10"/>
      <w:footerReference w:type="first" r:id="rId11"/>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398C9" w14:textId="77777777" w:rsidR="00F6609C" w:rsidRDefault="00F6609C">
      <w:r>
        <w:separator/>
      </w:r>
    </w:p>
  </w:endnote>
  <w:endnote w:type="continuationSeparator" w:id="0">
    <w:p w14:paraId="744E4A17" w14:textId="77777777" w:rsidR="00F6609C" w:rsidRDefault="00F66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DD79A" w14:textId="77777777" w:rsidR="008D29C6" w:rsidRDefault="008D2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3D1B" w14:textId="77777777" w:rsidR="008D29C6" w:rsidRDefault="008D2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ED08C" w14:textId="77777777" w:rsidR="008D29C6" w:rsidRDefault="008D29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FE915" w14:textId="77777777" w:rsidR="00F6609C" w:rsidRDefault="00F6609C">
      <w:r>
        <w:rPr>
          <w:b/>
        </w:rPr>
        <w:t>_______________</w:t>
      </w:r>
    </w:p>
  </w:footnote>
  <w:footnote w:type="continuationSeparator" w:id="0">
    <w:p w14:paraId="5433DB85" w14:textId="77777777" w:rsidR="00F6609C" w:rsidRDefault="00F66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F7162" w14:textId="77777777" w:rsidR="008D29C6" w:rsidRDefault="008D29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12E3E" w14:textId="77777777" w:rsidR="008D29C6" w:rsidRDefault="008D2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00715" w14:paraId="6EA4E789" w14:textId="77777777" w:rsidTr="00E766BD">
      <w:trPr>
        <w:cantSplit/>
        <w:jc w:val="right"/>
      </w:trPr>
      <w:tc>
        <w:tcPr>
          <w:tcW w:w="1701" w:type="dxa"/>
          <w:tcBorders>
            <w:top w:val="single" w:sz="6" w:space="0" w:color="auto"/>
            <w:left w:val="single" w:sz="6" w:space="0" w:color="auto"/>
            <w:bottom w:val="single" w:sz="6" w:space="0" w:color="auto"/>
            <w:right w:val="single" w:sz="6" w:space="0" w:color="auto"/>
          </w:tcBorders>
        </w:tcPr>
        <w:p w14:paraId="22BD916C" w14:textId="46ABDEC4" w:rsidR="00B00715" w:rsidRDefault="00B00715" w:rsidP="00B00715">
          <w:pPr>
            <w:pStyle w:val="HeaderRegProc"/>
          </w:pPr>
          <w:r>
            <w:t>Part</w:t>
          </w:r>
          <w:r w:rsidR="006A4B59">
            <w:t>ie</w:t>
          </w:r>
          <w:r>
            <w:t xml:space="preserve"> A1</w:t>
          </w:r>
        </w:p>
      </w:tc>
      <w:tc>
        <w:tcPr>
          <w:tcW w:w="1701" w:type="dxa"/>
          <w:tcBorders>
            <w:top w:val="single" w:sz="6" w:space="0" w:color="auto"/>
            <w:left w:val="single" w:sz="6" w:space="0" w:color="auto"/>
            <w:bottom w:val="single" w:sz="6" w:space="0" w:color="auto"/>
            <w:right w:val="single" w:sz="6" w:space="0" w:color="auto"/>
          </w:tcBorders>
        </w:tcPr>
        <w:p w14:paraId="5D8094A7" w14:textId="70A32145" w:rsidR="00B00715" w:rsidRDefault="00B00715" w:rsidP="00B00715">
          <w:pPr>
            <w:pStyle w:val="HeaderRegProc"/>
            <w:rPr>
              <w:lang w:val="fr-FR"/>
            </w:rPr>
          </w:pPr>
          <w:r>
            <w:t>R</w:t>
          </w:r>
          <w:r w:rsidR="008D29C6">
            <w:t>E</w:t>
          </w:r>
          <w:r>
            <w:t>S</w:t>
          </w:r>
          <w:r>
            <w:fldChar w:fldCharType="begin"/>
          </w:r>
          <w:r>
            <w:instrText>styleref href2</w:instrText>
          </w:r>
          <w:r>
            <w:fldChar w:fldCharType="separate"/>
          </w:r>
          <w:r w:rsidR="008D29C6">
            <w:rPr>
              <w:noProof/>
            </w:rPr>
            <w:t>35</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8D3C241" w14:textId="77777777" w:rsidR="00B00715" w:rsidRDefault="00B00715" w:rsidP="00B00715">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ED00D8E" w14:textId="22D809B2" w:rsidR="00B00715" w:rsidRDefault="00B00715" w:rsidP="00B00715">
          <w:pPr>
            <w:pStyle w:val="HeaderRegProc"/>
            <w:rPr>
              <w:lang w:val="fr-CH"/>
            </w:rPr>
          </w:pPr>
          <w:r>
            <w:rPr>
              <w:lang w:val="fr-CH"/>
            </w:rPr>
            <w:t>r</w:t>
          </w:r>
          <w:r w:rsidR="006A4B59">
            <w:rPr>
              <w:lang w:val="fr-CH"/>
            </w:rPr>
            <w:t>é</w:t>
          </w:r>
          <w:r>
            <w:rPr>
              <w:lang w:val="fr-CH"/>
            </w:rPr>
            <w:t xml:space="preserve">v. </w:t>
          </w:r>
          <w:r w:rsidR="004B0335">
            <w:t>-</w:t>
          </w:r>
        </w:p>
      </w:tc>
    </w:tr>
  </w:tbl>
  <w:p w14:paraId="3CE4A68B" w14:textId="77777777" w:rsidR="00E052A7" w:rsidRDefault="00E052A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52A7"/>
    <w:rsid w:val="0002742B"/>
    <w:rsid w:val="000B1472"/>
    <w:rsid w:val="000B6CC5"/>
    <w:rsid w:val="000D5391"/>
    <w:rsid w:val="000E2988"/>
    <w:rsid w:val="00114820"/>
    <w:rsid w:val="001204C7"/>
    <w:rsid w:val="001B1E4D"/>
    <w:rsid w:val="001C7192"/>
    <w:rsid w:val="00204C1C"/>
    <w:rsid w:val="0023244B"/>
    <w:rsid w:val="002415D2"/>
    <w:rsid w:val="0026413C"/>
    <w:rsid w:val="002F6FCF"/>
    <w:rsid w:val="0030590E"/>
    <w:rsid w:val="00386BFB"/>
    <w:rsid w:val="00390648"/>
    <w:rsid w:val="00395F3E"/>
    <w:rsid w:val="003C1437"/>
    <w:rsid w:val="003F79CF"/>
    <w:rsid w:val="00483705"/>
    <w:rsid w:val="004B0335"/>
    <w:rsid w:val="005068FA"/>
    <w:rsid w:val="0054657E"/>
    <w:rsid w:val="005930F7"/>
    <w:rsid w:val="005F1E1A"/>
    <w:rsid w:val="00625FC5"/>
    <w:rsid w:val="006A4B59"/>
    <w:rsid w:val="006B40CA"/>
    <w:rsid w:val="00747EBF"/>
    <w:rsid w:val="007A181A"/>
    <w:rsid w:val="00803152"/>
    <w:rsid w:val="00824378"/>
    <w:rsid w:val="00840E1C"/>
    <w:rsid w:val="0089365D"/>
    <w:rsid w:val="008A1394"/>
    <w:rsid w:val="008D29C6"/>
    <w:rsid w:val="00935DCA"/>
    <w:rsid w:val="00963257"/>
    <w:rsid w:val="009B2AF4"/>
    <w:rsid w:val="00A241A8"/>
    <w:rsid w:val="00A32360"/>
    <w:rsid w:val="00A70933"/>
    <w:rsid w:val="00A829C2"/>
    <w:rsid w:val="00AD5DE6"/>
    <w:rsid w:val="00AE3D1B"/>
    <w:rsid w:val="00B00715"/>
    <w:rsid w:val="00B2732B"/>
    <w:rsid w:val="00B27A25"/>
    <w:rsid w:val="00B472F8"/>
    <w:rsid w:val="00BA22BB"/>
    <w:rsid w:val="00BA5272"/>
    <w:rsid w:val="00BE2E17"/>
    <w:rsid w:val="00C160BD"/>
    <w:rsid w:val="00C20100"/>
    <w:rsid w:val="00C92907"/>
    <w:rsid w:val="00CC1BC0"/>
    <w:rsid w:val="00D2060F"/>
    <w:rsid w:val="00D45A79"/>
    <w:rsid w:val="00DD28B6"/>
    <w:rsid w:val="00E052A7"/>
    <w:rsid w:val="00E36ED1"/>
    <w:rsid w:val="00E567A5"/>
    <w:rsid w:val="00E70951"/>
    <w:rsid w:val="00EA7B06"/>
    <w:rsid w:val="00F04B48"/>
    <w:rsid w:val="00F6609C"/>
    <w:rsid w:val="00F73346"/>
    <w:rsid w:val="00F76650"/>
    <w:rsid w:val="00FD379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6DC919"/>
  <w15:docId w15:val="{8CDC531D-625F-434C-8810-B845F92B1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paragraph" w:customStyle="1" w:styleId="AnnexNo">
    <w:name w:val="Annex_No"/>
    <w:basedOn w:val="Normal"/>
    <w:next w:val="Normal"/>
    <w:rsid w:val="00AD5DE6"/>
    <w:pPr>
      <w:keepNext/>
      <w:keepLines/>
      <w:spacing w:before="480" w:after="80"/>
      <w:jc w:val="center"/>
    </w:pPr>
    <w:rPr>
      <w:caps/>
      <w:sz w:val="28"/>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AD5DE6"/>
    <w:rPr>
      <w:lang w:val="en-GB" w:eastAsia="en-US"/>
    </w:rPr>
  </w:style>
  <w:style w:type="paragraph" w:customStyle="1" w:styleId="Sectiontitle">
    <w:name w:val="Section_title"/>
    <w:basedOn w:val="AnnexTitle"/>
    <w:next w:val="Normalaftertitle"/>
    <w:rsid w:val="00AD5DE6"/>
    <w:pPr>
      <w:tabs>
        <w:tab w:val="left" w:pos="1134"/>
        <w:tab w:val="left" w:pos="1871"/>
        <w:tab w:val="left" w:pos="2268"/>
      </w:tabs>
      <w:spacing w:before="240" w:after="280"/>
    </w:pPr>
    <w:rPr>
      <w:rFonts w:ascii="Times New Roman Bold" w:hAnsi="Times New Roman Bold"/>
      <w:noProof w:val="0"/>
      <w:lang w:val="en-GB"/>
    </w:rPr>
  </w:style>
  <w:style w:type="paragraph" w:customStyle="1" w:styleId="PartNo">
    <w:name w:val="Part_No"/>
    <w:basedOn w:val="AnnexNo"/>
    <w:next w:val="Normal"/>
    <w:rsid w:val="00AD5DE6"/>
  </w:style>
  <w:style w:type="paragraph" w:customStyle="1" w:styleId="Parttitle">
    <w:name w:val="Part_title"/>
    <w:basedOn w:val="AnnexTitle"/>
    <w:next w:val="Normalaftertitle"/>
    <w:rsid w:val="00AD5DE6"/>
    <w:pPr>
      <w:tabs>
        <w:tab w:val="left" w:pos="1134"/>
        <w:tab w:val="left" w:pos="1871"/>
        <w:tab w:val="left" w:pos="2268"/>
      </w:tabs>
      <w:spacing w:before="240" w:after="280"/>
    </w:pPr>
    <w:rPr>
      <w:rFonts w:ascii="Times New Roman Bold" w:hAnsi="Times New Roman Bold"/>
      <w:noProof w:val="0"/>
      <w:lang w:val="en-GB"/>
    </w:rPr>
  </w:style>
  <w:style w:type="paragraph" w:customStyle="1" w:styleId="Normalaftertitle0">
    <w:name w:val="Normal_after_title"/>
    <w:basedOn w:val="Normal"/>
    <w:next w:val="Normal"/>
    <w:rsid w:val="00386BFB"/>
    <w:pPr>
      <w:tabs>
        <w:tab w:val="clear" w:pos="1134"/>
        <w:tab w:val="clear" w:pos="1871"/>
        <w:tab w:val="clear" w:pos="2268"/>
        <w:tab w:val="left" w:pos="794"/>
        <w:tab w:val="left" w:pos="1191"/>
        <w:tab w:val="left" w:pos="1588"/>
        <w:tab w:val="left" w:pos="1985"/>
      </w:tabs>
      <w:spacing w:before="360"/>
      <w:jc w:val="left"/>
    </w:pPr>
    <w:rPr>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48</TotalTime>
  <Pages>1</Pages>
  <Words>384</Words>
  <Characters>2621</Characters>
  <Application>Microsoft Office Word</Application>
  <DocSecurity>0</DocSecurity>
  <Lines>119</Lines>
  <Paragraphs>100</Paragraphs>
  <ScaleCrop>false</ScaleCrop>
  <HeadingPairs>
    <vt:vector size="2" baseType="variant">
      <vt:variant>
        <vt:lpstr>Title</vt:lpstr>
      </vt:variant>
      <vt:variant>
        <vt:i4>1</vt:i4>
      </vt:variant>
    </vt:vector>
  </HeadingPairs>
  <TitlesOfParts>
    <vt:vector size="1" baseType="lpstr">
      <vt:lpstr>Règles de procédures / Edition 2021</vt:lpstr>
    </vt:vector>
  </TitlesOfParts>
  <Manager>CP--107223/DD</Manager>
  <Company>ITU</Company>
  <LinksUpToDate>false</LinksUpToDate>
  <CharactersWithSpaces>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2025</dc:title>
  <dc:subject/>
  <dc:creator/>
  <cp:keywords/>
  <dc:description/>
  <cp:lastModifiedBy>Gachet, Christelle</cp:lastModifiedBy>
  <cp:revision>24</cp:revision>
  <cp:lastPrinted>2024-12-04T09:23:00Z</cp:lastPrinted>
  <dcterms:created xsi:type="dcterms:W3CDTF">2024-11-25T15:41:00Z</dcterms:created>
  <dcterms:modified xsi:type="dcterms:W3CDTF">2025-11-25T14:12:00Z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