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BCB6" w14:textId="6C8AC13E" w:rsidR="00685F37" w:rsidRDefault="00685F37" w:rsidP="00C70342">
      <w:pPr>
        <w:pStyle w:val="Heading1"/>
        <w:spacing w:before="300"/>
        <w:ind w:left="0" w:firstLine="0"/>
        <w:jc w:val="center"/>
        <w:rPr>
          <w:lang w:val="fr-FR"/>
        </w:rPr>
      </w:pPr>
      <w:r w:rsidRPr="00C70342">
        <w:rPr>
          <w:lang w:val="fr-FR"/>
        </w:rPr>
        <w:t>Règles relatives à la</w:t>
      </w:r>
    </w:p>
    <w:p w14:paraId="6BDA996F" w14:textId="7653F8CD" w:rsidR="00685F37" w:rsidRPr="00C70342" w:rsidRDefault="00F72E88" w:rsidP="00F72E88">
      <w:pPr>
        <w:pStyle w:val="Heading2"/>
        <w:ind w:left="0" w:firstLine="0"/>
        <w:jc w:val="center"/>
        <w:rPr>
          <w:lang w:val="fr-FR"/>
        </w:rPr>
      </w:pPr>
      <w:r w:rsidRPr="00F72E88">
        <w:rPr>
          <w:lang w:val="fr-FR"/>
        </w:rPr>
        <w:t xml:space="preserve">RÉSOLUTION </w:t>
      </w:r>
      <w:r w:rsidR="003976B0" w:rsidRPr="003976B0">
        <w:rPr>
          <w:rStyle w:val="href2"/>
          <w:lang w:val="fr-CH"/>
        </w:rPr>
        <w:t>32</w:t>
      </w:r>
      <w:r w:rsidRPr="00F72E88">
        <w:rPr>
          <w:lang w:val="fr-FR"/>
        </w:rPr>
        <w:t xml:space="preserve"> (</w:t>
      </w:r>
      <w:r w:rsidR="00501BDE">
        <w:rPr>
          <w:lang w:val="fr-FR"/>
        </w:rPr>
        <w:t>Rév.</w:t>
      </w:r>
      <w:r w:rsidRPr="00F72E88">
        <w:rPr>
          <w:lang w:val="fr-FR"/>
        </w:rPr>
        <w:t>CMR-</w:t>
      </w:r>
      <w:r w:rsidR="00501BDE">
        <w:rPr>
          <w:lang w:val="fr-FR"/>
        </w:rPr>
        <w:t>23</w:t>
      </w:r>
      <w:r w:rsidRPr="00F72E88">
        <w:rPr>
          <w:lang w:val="fr-FR"/>
        </w:rPr>
        <w:t>)</w:t>
      </w:r>
    </w:p>
    <w:p w14:paraId="3C3D3953" w14:textId="78B6C956" w:rsidR="00685F37" w:rsidRPr="00B01BB9" w:rsidRDefault="00B01BB9" w:rsidP="00B01BB9">
      <w:pPr>
        <w:pStyle w:val="Heading1"/>
        <w:tabs>
          <w:tab w:val="clear" w:pos="1134"/>
          <w:tab w:val="left" w:pos="1418"/>
        </w:tabs>
        <w:ind w:left="851" w:hanging="851"/>
        <w:rPr>
          <w:lang w:val="fr-CH"/>
        </w:rPr>
      </w:pPr>
      <w:r w:rsidRPr="00B01BB9">
        <w:rPr>
          <w:bCs/>
          <w:lang w:val="fr-CH"/>
        </w:rPr>
        <w:t>Procédures réglementaires à suivre pour les assignations de fréquence aux</w:t>
      </w:r>
      <w:r>
        <w:rPr>
          <w:bCs/>
          <w:lang w:val="fr-CH"/>
        </w:rPr>
        <w:t xml:space="preserve"> </w:t>
      </w:r>
      <w:r w:rsidRPr="00B01BB9">
        <w:rPr>
          <w:bCs/>
          <w:lang w:val="fr-CH"/>
        </w:rPr>
        <w:t>réseaux à satellite non géostationnaire ou aux systèmes à satellites</w:t>
      </w:r>
      <w:r>
        <w:rPr>
          <w:bCs/>
          <w:lang w:val="fr-CH"/>
        </w:rPr>
        <w:t xml:space="preserve"> </w:t>
      </w:r>
      <w:r w:rsidRPr="00B01BB9">
        <w:rPr>
          <w:bCs/>
          <w:lang w:val="fr-CH"/>
        </w:rPr>
        <w:t>non</w:t>
      </w:r>
      <w:r>
        <w:rPr>
          <w:bCs/>
          <w:lang w:val="fr-CH"/>
        </w:rPr>
        <w:t xml:space="preserve"> </w:t>
      </w:r>
      <w:r w:rsidRPr="00B01BB9">
        <w:rPr>
          <w:bCs/>
          <w:lang w:val="fr-CH"/>
        </w:rPr>
        <w:t>géostationnaires identifiés en tant que mission de courte durée</w:t>
      </w:r>
      <w:r>
        <w:rPr>
          <w:bCs/>
          <w:lang w:val="fr-CH"/>
        </w:rPr>
        <w:t xml:space="preserve"> </w:t>
      </w:r>
      <w:r w:rsidRPr="00B01BB9">
        <w:rPr>
          <w:bCs/>
          <w:lang w:val="fr-CH"/>
        </w:rPr>
        <w:t>non assujetties à l'application de la Section II de l'Article 9</w:t>
      </w:r>
    </w:p>
    <w:p w14:paraId="2ABDF9B8" w14:textId="05E0918F" w:rsidR="003976B0" w:rsidRPr="003976B0" w:rsidRDefault="003976B0" w:rsidP="003976B0">
      <w:pPr>
        <w:spacing w:before="360"/>
        <w:rPr>
          <w:lang w:val="fr-CH"/>
        </w:rPr>
      </w:pPr>
      <w:r w:rsidRPr="003976B0">
        <w:rPr>
          <w:lang w:val="fr-CH"/>
        </w:rPr>
        <w:t xml:space="preserve">Le § 4 de l'Annexe de la Résolution </w:t>
      </w:r>
      <w:r w:rsidRPr="003976B0">
        <w:rPr>
          <w:b/>
          <w:bCs/>
          <w:lang w:val="fr-CH"/>
        </w:rPr>
        <w:t>32 (</w:t>
      </w:r>
      <w:r w:rsidR="00501BDE">
        <w:rPr>
          <w:b/>
          <w:bCs/>
          <w:lang w:val="fr-CH"/>
        </w:rPr>
        <w:t>Rév.</w:t>
      </w:r>
      <w:r w:rsidRPr="003976B0">
        <w:rPr>
          <w:b/>
          <w:bCs/>
          <w:lang w:val="fr-CH"/>
        </w:rPr>
        <w:t>CMR-</w:t>
      </w:r>
      <w:r w:rsidR="00501BDE">
        <w:rPr>
          <w:b/>
          <w:bCs/>
          <w:lang w:val="fr-CH"/>
        </w:rPr>
        <w:t>23</w:t>
      </w:r>
      <w:r w:rsidRPr="003976B0">
        <w:rPr>
          <w:b/>
          <w:bCs/>
          <w:lang w:val="fr-CH"/>
        </w:rPr>
        <w:t>)</w:t>
      </w:r>
      <w:r w:rsidRPr="003976B0">
        <w:rPr>
          <w:lang w:val="fr-CH"/>
        </w:rPr>
        <w:t xml:space="preserve"> indique que les renseignements de notification relatifs aux réseaux à satellite ou aux systèmes à satellites non OSG identifiés en tant que missions de courte durée ne doivent être communiquées au Bureau des radiocommunications qu'après le lancement d'un satellite dans le cas d'un réseau à satellite, ou du premier satellite dans le cas d'un système nécessitant des lancements multiples, au plus tard deux mois après la date de mise en service. Cette disposition s'applique en lieu et place du numéro </w:t>
      </w:r>
      <w:r w:rsidRPr="003976B0">
        <w:rPr>
          <w:b/>
          <w:bCs/>
          <w:lang w:val="fr-CH"/>
        </w:rPr>
        <w:t>11.25</w:t>
      </w:r>
      <w:r w:rsidRPr="003976B0">
        <w:rPr>
          <w:lang w:val="fr-CH"/>
        </w:rPr>
        <w:t xml:space="preserve"> pour les assignations de fréquence aux réseaux à satellite ou aux systèmes à satellites non OSG associés à des missions de courte durée.</w:t>
      </w:r>
    </w:p>
    <w:p w14:paraId="5521C3C9" w14:textId="77777777" w:rsidR="003976B0" w:rsidRPr="003976B0" w:rsidRDefault="003976B0" w:rsidP="003976B0">
      <w:pPr>
        <w:rPr>
          <w:lang w:val="fr-CH"/>
        </w:rPr>
      </w:pPr>
      <w:r w:rsidRPr="003976B0">
        <w:rPr>
          <w:lang w:val="fr-CH"/>
        </w:rPr>
        <w:t xml:space="preserve">Toutefois, conformément au numéro </w:t>
      </w:r>
      <w:r w:rsidRPr="003976B0">
        <w:rPr>
          <w:b/>
          <w:bCs/>
          <w:lang w:val="fr-CH"/>
        </w:rPr>
        <w:t>9.1</w:t>
      </w:r>
      <w:r w:rsidRPr="003976B0">
        <w:rPr>
          <w:lang w:val="fr-CH"/>
        </w:rPr>
        <w:t>, la date de réception de la notification doit être postérieure d'au moins quatre mois à la publication de la section spéciale API.</w:t>
      </w:r>
    </w:p>
    <w:p w14:paraId="0B60DBDA" w14:textId="77777777" w:rsidR="003976B0" w:rsidRPr="003976B0" w:rsidRDefault="003976B0" w:rsidP="003976B0">
      <w:pPr>
        <w:rPr>
          <w:lang w:val="fr-CH"/>
        </w:rPr>
      </w:pPr>
      <w:r w:rsidRPr="003976B0">
        <w:rPr>
          <w:lang w:val="fr-CH"/>
        </w:rPr>
        <w:t>En conséquence, il se peut que les renseignements de notification relatifs aux réseaux à satellite ou aux systèmes à satellites non OSG identifiés en tant que missions de courte durée soient communiqués au Bureau au plus tard deux mois après la date de mise en service, mais au plus tôt quatre mois après la publication de la section spéciale API.</w:t>
      </w:r>
    </w:p>
    <w:p w14:paraId="2C73B7FF" w14:textId="204DDB84" w:rsidR="00F72E88" w:rsidRPr="00F72E88" w:rsidRDefault="003976B0" w:rsidP="003976B0">
      <w:pPr>
        <w:rPr>
          <w:lang w:val="fr-FR"/>
        </w:rPr>
      </w:pPr>
      <w:r w:rsidRPr="003976B0">
        <w:rPr>
          <w:lang w:val="fr-CH"/>
        </w:rPr>
        <w:t xml:space="preserve">Étant donné que le § 4 de l'Annexe de la Résolution </w:t>
      </w:r>
      <w:r w:rsidRPr="003976B0">
        <w:rPr>
          <w:b/>
          <w:bCs/>
          <w:lang w:val="fr-CH"/>
        </w:rPr>
        <w:t>32 (</w:t>
      </w:r>
      <w:r w:rsidR="00501BDE">
        <w:rPr>
          <w:b/>
          <w:bCs/>
          <w:lang w:val="fr-CH"/>
        </w:rPr>
        <w:t>Rév.</w:t>
      </w:r>
      <w:r w:rsidR="00501BDE" w:rsidRPr="003976B0">
        <w:rPr>
          <w:b/>
          <w:bCs/>
          <w:lang w:val="fr-CH"/>
        </w:rPr>
        <w:t>CMR-</w:t>
      </w:r>
      <w:r w:rsidR="00501BDE">
        <w:rPr>
          <w:b/>
          <w:bCs/>
          <w:lang w:val="fr-CH"/>
        </w:rPr>
        <w:t>23</w:t>
      </w:r>
      <w:r w:rsidRPr="003976B0">
        <w:rPr>
          <w:b/>
          <w:bCs/>
          <w:lang w:val="fr-CH"/>
        </w:rPr>
        <w:t>)</w:t>
      </w:r>
      <w:r w:rsidRPr="003976B0">
        <w:rPr>
          <w:lang w:val="fr-CH"/>
        </w:rPr>
        <w:t xml:space="preserve"> a trait au moment où les renseignements de notification doivent être communiqués au Bureau, alors que le numéro</w:t>
      </w:r>
      <w:r w:rsidR="00501BDE">
        <w:rPr>
          <w:lang w:val="fr-CH"/>
        </w:rPr>
        <w:t> </w:t>
      </w:r>
      <w:r w:rsidRPr="003976B0">
        <w:rPr>
          <w:b/>
          <w:bCs/>
          <w:lang w:val="fr-CH"/>
        </w:rPr>
        <w:t>9.1</w:t>
      </w:r>
      <w:r w:rsidRPr="003976B0">
        <w:rPr>
          <w:lang w:val="fr-CH"/>
        </w:rPr>
        <w:t xml:space="preserve"> concerne la détermination de la date officielle de réception, le Comité a décidé que le Bureau publierait ces fiches de notification avec une date de réception déterminée conformément au numéro </w:t>
      </w:r>
      <w:r w:rsidRPr="003976B0">
        <w:rPr>
          <w:b/>
          <w:bCs/>
          <w:lang w:val="fr-CH"/>
        </w:rPr>
        <w:t>9.1</w:t>
      </w:r>
      <w:r w:rsidRPr="003976B0">
        <w:rPr>
          <w:lang w:val="fr-CH"/>
        </w:rPr>
        <w:t>, assorties d'une note indiquant la date à laquelle les renseignements ont été communiqués au Bureau des radiocommunications, afin que les administrations soient informées de la conformité de ces fiches de notification au § 4 de l'Annexe de la Résolution</w:t>
      </w:r>
      <w:r w:rsidR="00B01BB9">
        <w:rPr>
          <w:lang w:val="fr-CH"/>
        </w:rPr>
        <w:t> </w:t>
      </w:r>
      <w:r w:rsidRPr="003976B0">
        <w:rPr>
          <w:b/>
          <w:bCs/>
          <w:lang w:val="fr-CH"/>
        </w:rPr>
        <w:t>32 (</w:t>
      </w:r>
      <w:r w:rsidR="00501BDE">
        <w:rPr>
          <w:b/>
          <w:bCs/>
          <w:lang w:val="fr-CH"/>
        </w:rPr>
        <w:t>Rév.</w:t>
      </w:r>
      <w:r w:rsidR="00501BDE" w:rsidRPr="003976B0">
        <w:rPr>
          <w:b/>
          <w:bCs/>
          <w:lang w:val="fr-CH"/>
        </w:rPr>
        <w:t>CMR-</w:t>
      </w:r>
      <w:r w:rsidR="00501BDE">
        <w:rPr>
          <w:b/>
          <w:bCs/>
          <w:lang w:val="fr-CH"/>
        </w:rPr>
        <w:t>23</w:t>
      </w:r>
      <w:r w:rsidRPr="003976B0">
        <w:rPr>
          <w:b/>
          <w:bCs/>
          <w:lang w:val="fr-CH"/>
        </w:rPr>
        <w:t>)</w:t>
      </w:r>
      <w:r w:rsidRPr="003976B0">
        <w:rPr>
          <w:lang w:val="fr-CH"/>
        </w:rPr>
        <w:t>.</w:t>
      </w:r>
    </w:p>
    <w:p w14:paraId="6E6675F8" w14:textId="77777777" w:rsidR="00685F37" w:rsidRPr="00C70342" w:rsidRDefault="00685F37" w:rsidP="00C70342">
      <w:pPr>
        <w:rPr>
          <w:lang w:val="fr-FR"/>
        </w:rPr>
      </w:pPr>
    </w:p>
    <w:p w14:paraId="6BC89E1B" w14:textId="77777777" w:rsidR="00685F37" w:rsidRPr="00C70342" w:rsidRDefault="00685F37" w:rsidP="00C70342">
      <w:pPr>
        <w:jc w:val="center"/>
        <w:rPr>
          <w:color w:val="000000"/>
          <w:lang w:val="fr-FR"/>
        </w:rPr>
      </w:pPr>
      <w:r w:rsidRPr="00C70342">
        <w:rPr>
          <w:color w:val="000000"/>
          <w:lang w:val="fr-FR"/>
        </w:rPr>
        <w:t>____________________</w:t>
      </w:r>
    </w:p>
    <w:p w14:paraId="0A666B1F" w14:textId="77777777" w:rsidR="00685F37" w:rsidRPr="00C70342" w:rsidRDefault="00685F37" w:rsidP="00C70342">
      <w:pPr>
        <w:rPr>
          <w:lang w:val="fr-FR"/>
        </w:rPr>
      </w:pPr>
    </w:p>
    <w:p w14:paraId="16283ABD" w14:textId="77777777" w:rsidR="00C70342" w:rsidRPr="00C70342" w:rsidRDefault="00C70342" w:rsidP="00C70342">
      <w:pPr>
        <w:rPr>
          <w:lang w:val="fr-FR"/>
        </w:rPr>
      </w:pPr>
    </w:p>
    <w:p w14:paraId="20621A29" w14:textId="77777777" w:rsidR="00685F37" w:rsidRPr="00C70342" w:rsidRDefault="00685F37" w:rsidP="00C70342">
      <w:pPr>
        <w:rPr>
          <w:rtl/>
          <w:lang w:val="fr-FR"/>
        </w:rPr>
        <w:sectPr w:rsidR="00685F37" w:rsidRPr="00C7034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E9264E4" w14:textId="77777777" w:rsidR="00685F37" w:rsidRPr="00C70342" w:rsidRDefault="00685F37" w:rsidP="00C70342">
      <w:pPr>
        <w:rPr>
          <w:lang w:val="fr-FR"/>
        </w:rPr>
      </w:pPr>
    </w:p>
    <w:sectPr w:rsidR="00685F37" w:rsidRPr="00C70342" w:rsidSect="00C7034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7180B" w14:textId="77777777" w:rsidR="00B53386" w:rsidRDefault="00B53386">
      <w:r>
        <w:separator/>
      </w:r>
    </w:p>
  </w:endnote>
  <w:endnote w:type="continuationSeparator" w:id="0">
    <w:p w14:paraId="525AF0EC" w14:textId="77777777" w:rsidR="00B53386" w:rsidRDefault="00B5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FF282" w14:textId="77777777" w:rsidR="00B53386" w:rsidRDefault="00B53386">
      <w:r>
        <w:rPr>
          <w:b/>
        </w:rPr>
        <w:t>_______________</w:t>
      </w:r>
    </w:p>
  </w:footnote>
  <w:footnote w:type="continuationSeparator" w:id="0">
    <w:p w14:paraId="4BA9853F" w14:textId="77777777" w:rsidR="00B53386" w:rsidRDefault="00B5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737E491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9C576D7" w14:textId="00079461" w:rsidR="00685F37" w:rsidRPr="003976B0" w:rsidRDefault="00685F37">
          <w:pPr>
            <w:pStyle w:val="HeaderRegProc"/>
            <w:rPr>
              <w:lang w:val="en-GB"/>
            </w:rPr>
          </w:pPr>
          <w:proofErr w:type="spellStart"/>
          <w:r w:rsidRPr="003976B0">
            <w:rPr>
              <w:lang w:val="en-GB"/>
            </w:rPr>
            <w:t>Partie</w:t>
          </w:r>
          <w:proofErr w:type="spellEnd"/>
          <w:r w:rsidRPr="003976B0">
            <w:rPr>
              <w:lang w:val="en-GB"/>
            </w:rPr>
            <w:t xml:space="preserve"> </w:t>
          </w:r>
          <w:r w:rsidR="00945D29">
            <w:fldChar w:fldCharType="begin"/>
          </w:r>
          <w:r w:rsidR="00945D29" w:rsidRPr="003976B0">
            <w:rPr>
              <w:lang w:val="en-GB"/>
            </w:rPr>
            <w:instrText>styleref href</w:instrText>
          </w:r>
          <w:r w:rsidR="00945D29">
            <w:fldChar w:fldCharType="separate"/>
          </w:r>
          <w:r w:rsidR="00B01BB9">
            <w:rPr>
              <w:b/>
              <w:bCs w:val="0"/>
              <w:noProof/>
              <w:lang w:val="en-US"/>
            </w:rPr>
            <w:t>Error! No text of specified style in document.</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6CF50A" w14:textId="36F9CD0A" w:rsidR="00685F37" w:rsidRPr="003976B0" w:rsidRDefault="003A0E72">
          <w:pPr>
            <w:pStyle w:val="HeaderRegProc"/>
            <w:rPr>
              <w:lang w:val="en-GB"/>
            </w:rPr>
          </w:pPr>
          <w:r>
            <w:fldChar w:fldCharType="begin"/>
          </w:r>
          <w:r>
            <w:rPr>
              <w:rtl/>
            </w:rPr>
            <w:instrText xml:space="preserve"> </w:instrText>
          </w:r>
          <w:r w:rsidRPr="003976B0">
            <w:rPr>
              <w:lang w:val="en-GB"/>
            </w:rPr>
            <w:instrText>DOCPROPERTY "Header1" \* MERGEFORMAT</w:instrText>
          </w:r>
          <w:r>
            <w:rPr>
              <w:rtl/>
            </w:rPr>
            <w:instrText xml:space="preserve"> </w:instrText>
          </w:r>
          <w:r>
            <w:fldChar w:fldCharType="separate"/>
          </w:r>
          <w:r w:rsidR="00B01BB9">
            <w:rPr>
              <w:lang w:val="en-GB"/>
            </w:rPr>
            <w:t>AP</w:t>
          </w:r>
          <w:r>
            <w:fldChar w:fldCharType="end"/>
          </w:r>
          <w:r w:rsidR="00945D29">
            <w:fldChar w:fldCharType="begin"/>
          </w:r>
          <w:r w:rsidR="00945D29" w:rsidRPr="003976B0">
            <w:rPr>
              <w:lang w:val="en-GB"/>
            </w:rPr>
            <w:instrText>styleref href2</w:instrText>
          </w:r>
          <w:r w:rsidR="00945D29">
            <w:fldChar w:fldCharType="separate"/>
          </w:r>
          <w:r w:rsidR="00B01BB9">
            <w:rPr>
              <w:noProof/>
              <w:lang w:val="en-GB"/>
            </w:rPr>
            <w:t>32</w:t>
          </w:r>
          <w:r w:rsidR="00945D2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015FCA"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BC73" w14:textId="18B8CCA2" w:rsidR="00685F37" w:rsidRDefault="00685F37">
          <w:pPr>
            <w:pStyle w:val="HeaderRegProc"/>
            <w:rPr>
              <w:lang w:val="fr-CH"/>
            </w:rPr>
          </w:pPr>
          <w:proofErr w:type="gramStart"/>
          <w:r>
            <w:rPr>
              <w:lang w:val="fr-CH"/>
            </w:rPr>
            <w:t>rév</w:t>
          </w:r>
          <w:proofErr w:type="gramEnd"/>
          <w:r>
            <w:rPr>
              <w:lang w:val="fr-CH"/>
            </w:rPr>
            <w:t>.</w:t>
          </w:r>
          <w:fldSimple w:instr=" DOCPROPERTY &quot;Header10&quot; \* MERGEFORMAT ">
            <w:r w:rsidR="00B01BB9" w:rsidRPr="00B01BB9">
              <w:rPr>
                <w:lang w:val="fr-CH"/>
              </w:rPr>
              <w:t>-</w:t>
            </w:r>
          </w:fldSimple>
        </w:p>
      </w:tc>
    </w:tr>
  </w:tbl>
  <w:p w14:paraId="4EC7C65D" w14:textId="77777777" w:rsidR="00685F37" w:rsidRDefault="00685F3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5F37" w14:paraId="5050B5A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E1A99AD" w14:textId="77777777" w:rsidR="00685F37" w:rsidRDefault="00685F37" w:rsidP="00F72E88">
          <w:pPr>
            <w:pStyle w:val="HeaderRegProc"/>
          </w:pPr>
          <w:proofErr w:type="spellStart"/>
          <w:r>
            <w:t>Partie</w:t>
          </w:r>
          <w:proofErr w:type="spellEnd"/>
          <w:r>
            <w:t xml:space="preserve"> A</w:t>
          </w:r>
          <w:r w:rsidR="00F72E88">
            <w:t>1</w:t>
          </w:r>
        </w:p>
      </w:tc>
      <w:tc>
        <w:tcPr>
          <w:tcW w:w="1701" w:type="dxa"/>
          <w:tcBorders>
            <w:top w:val="single" w:sz="6" w:space="0" w:color="auto"/>
            <w:left w:val="single" w:sz="6" w:space="0" w:color="auto"/>
            <w:bottom w:val="single" w:sz="6" w:space="0" w:color="auto"/>
            <w:right w:val="single" w:sz="6" w:space="0" w:color="auto"/>
          </w:tcBorders>
        </w:tcPr>
        <w:p w14:paraId="5D867576" w14:textId="07D32EEB" w:rsidR="00685F37" w:rsidRDefault="003976B0" w:rsidP="00F72E88">
          <w:pPr>
            <w:pStyle w:val="HeaderRegProc"/>
            <w:rPr>
              <w:lang w:val="fr-FR"/>
            </w:rPr>
          </w:pPr>
          <w:r w:rsidRPr="003976B0">
            <w:rPr>
              <w:lang w:val="en-GB"/>
            </w:rPr>
            <w:t>RES</w:t>
          </w:r>
          <w:r w:rsidRPr="003976B0">
            <w:rPr>
              <w:lang w:val="en-GB"/>
            </w:rPr>
            <w:fldChar w:fldCharType="begin"/>
          </w:r>
          <w:r w:rsidRPr="003976B0">
            <w:rPr>
              <w:lang w:val="en-GB"/>
            </w:rPr>
            <w:instrText>styleref href2</w:instrText>
          </w:r>
          <w:r w:rsidRPr="003976B0">
            <w:rPr>
              <w:lang w:val="en-GB"/>
            </w:rPr>
            <w:fldChar w:fldCharType="separate"/>
          </w:r>
          <w:r w:rsidR="00501BDE">
            <w:rPr>
              <w:noProof/>
              <w:lang w:val="en-GB"/>
            </w:rPr>
            <w:t>32</w:t>
          </w:r>
          <w:r w:rsidRPr="003976B0">
            <w:fldChar w:fldCharType="end"/>
          </w:r>
        </w:p>
      </w:tc>
      <w:tc>
        <w:tcPr>
          <w:tcW w:w="1701" w:type="dxa"/>
          <w:tcBorders>
            <w:top w:val="single" w:sz="6" w:space="0" w:color="auto"/>
            <w:left w:val="single" w:sz="6" w:space="0" w:color="auto"/>
            <w:bottom w:val="single" w:sz="6" w:space="0" w:color="auto"/>
            <w:right w:val="single" w:sz="6" w:space="0" w:color="auto"/>
          </w:tcBorders>
        </w:tcPr>
        <w:p w14:paraId="0A551433" w14:textId="77777777" w:rsidR="00685F37" w:rsidRDefault="00685F3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803D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F4A451" w14:textId="5939019C" w:rsidR="00685F37" w:rsidRDefault="00685F37" w:rsidP="00375554">
          <w:pPr>
            <w:pStyle w:val="HeaderRegProc"/>
            <w:rPr>
              <w:lang w:val="fr-CH"/>
            </w:rPr>
          </w:pPr>
          <w:proofErr w:type="gramStart"/>
          <w:r>
            <w:rPr>
              <w:lang w:val="fr-CH"/>
            </w:rPr>
            <w:t>rév</w:t>
          </w:r>
          <w:proofErr w:type="gramEnd"/>
          <w:r>
            <w:rPr>
              <w:lang w:val="fr-CH"/>
            </w:rPr>
            <w:t>.</w:t>
          </w:r>
          <w:r w:rsidR="003976B0">
            <w:rPr>
              <w:lang w:val="fr-CH"/>
            </w:rPr>
            <w:t xml:space="preserve"> </w:t>
          </w:r>
          <w:r w:rsidR="00501BDE">
            <w:rPr>
              <w:lang w:val="fr-CH"/>
            </w:rPr>
            <w:t>-</w:t>
          </w:r>
        </w:p>
      </w:tc>
    </w:tr>
  </w:tbl>
  <w:p w14:paraId="4356B099" w14:textId="77777777" w:rsidR="00685F37" w:rsidRDefault="0068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DE5C" w14:textId="77777777" w:rsidR="00685F37" w:rsidRDefault="00685F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5F37"/>
    <w:rsid w:val="0009727A"/>
    <w:rsid w:val="00157A36"/>
    <w:rsid w:val="00375554"/>
    <w:rsid w:val="003976B0"/>
    <w:rsid w:val="003A0E72"/>
    <w:rsid w:val="00456972"/>
    <w:rsid w:val="00484A8D"/>
    <w:rsid w:val="004A5AC3"/>
    <w:rsid w:val="00501BDE"/>
    <w:rsid w:val="00685F37"/>
    <w:rsid w:val="00737239"/>
    <w:rsid w:val="00836C7A"/>
    <w:rsid w:val="009162CF"/>
    <w:rsid w:val="00945D29"/>
    <w:rsid w:val="00963257"/>
    <w:rsid w:val="009803DE"/>
    <w:rsid w:val="00B01BB9"/>
    <w:rsid w:val="00B53386"/>
    <w:rsid w:val="00C5503D"/>
    <w:rsid w:val="00C70342"/>
    <w:rsid w:val="00C72CDF"/>
    <w:rsid w:val="00CE655C"/>
    <w:rsid w:val="00F72E88"/>
    <w:rsid w:val="00F8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9D6DC"/>
  <w15:docId w15:val="{4DE46237-2B0A-4266-9CA5-41AA43EE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04B4-D5AB-4729-ADF4-E169E47C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TotalTime>
  <Pages>2</Pages>
  <Words>338</Words>
  <Characters>1879</Characters>
  <Application>Microsoft Office Word</Application>
  <DocSecurity>0</DocSecurity>
  <Lines>78</Lines>
  <Paragraphs>9</Paragraphs>
  <ScaleCrop>false</ScaleCrop>
  <HeadingPairs>
    <vt:vector size="2" baseType="variant">
      <vt:variant>
        <vt:lpstr>Title</vt:lpstr>
      </vt:variant>
      <vt:variant>
        <vt:i4>1</vt:i4>
      </vt:variant>
    </vt:vector>
  </HeadingPairs>
  <TitlesOfParts>
    <vt:vector size="1" baseType="lpstr">
      <vt:lpstr>26-A1-RES32-f</vt:lpstr>
    </vt:vector>
  </TitlesOfParts>
  <Manager>CP--107223/DD</Manager>
  <Company>ITU</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RES1</dc:subject>
  <dc:creator/>
  <cp:keywords/>
  <dc:description/>
  <cp:lastModifiedBy>Gachet, Christelle</cp:lastModifiedBy>
  <cp:revision>21</cp:revision>
  <cp:lastPrinted>2021-05-13T12:10:00Z</cp:lastPrinted>
  <dcterms:created xsi:type="dcterms:W3CDTF">2012-08-08T15:46:00Z</dcterms:created>
  <dcterms:modified xsi:type="dcterms:W3CDTF">2025-11-20T14:16:00Z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