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BB48C" w14:textId="467D9497" w:rsidR="008C497B" w:rsidRPr="000A1D02" w:rsidRDefault="008C497B" w:rsidP="001E6ED1">
      <w:pPr>
        <w:pStyle w:val="Heading1"/>
        <w:spacing w:before="300"/>
        <w:jc w:val="center"/>
        <w:rPr>
          <w:rFonts w:eastAsiaTheme="minorEastAsia"/>
          <w:lang w:eastAsia="zh-CN"/>
        </w:rPr>
      </w:pPr>
      <w:r>
        <w:rPr>
          <w:rStyle w:val="href"/>
          <w:lang w:eastAsia="zh-CN"/>
        </w:rPr>
        <w:t>B</w:t>
      </w:r>
      <w:r w:rsidR="000A1D02">
        <w:rPr>
          <w:rStyle w:val="href"/>
          <w:rFonts w:eastAsiaTheme="minorEastAsia" w:hint="eastAsia"/>
          <w:lang w:eastAsia="zh-CN"/>
        </w:rPr>
        <w:t>部分</w:t>
      </w:r>
    </w:p>
    <w:p w14:paraId="2C1A15EF" w14:textId="7C67016D" w:rsidR="008C497B" w:rsidRPr="000A1D02" w:rsidRDefault="008C497B">
      <w:pPr>
        <w:pStyle w:val="Heading2"/>
        <w:ind w:left="0" w:firstLine="0"/>
        <w:jc w:val="center"/>
        <w:rPr>
          <w:sz w:val="28"/>
          <w:szCs w:val="28"/>
          <w:lang w:eastAsia="zh-CN"/>
        </w:rPr>
      </w:pPr>
      <w:r w:rsidRPr="000A1D02">
        <w:rPr>
          <w:rStyle w:val="href2"/>
          <w:sz w:val="28"/>
          <w:szCs w:val="28"/>
          <w:lang w:eastAsia="zh-CN"/>
        </w:rPr>
        <w:t>B</w:t>
      </w:r>
      <w:r w:rsidR="002F1B94" w:rsidRPr="000A1D02">
        <w:rPr>
          <w:rStyle w:val="href2"/>
          <w:sz w:val="28"/>
          <w:szCs w:val="28"/>
          <w:lang w:eastAsia="zh-CN"/>
        </w:rPr>
        <w:t>8</w:t>
      </w:r>
      <w:r w:rsidR="000A1D02" w:rsidRPr="000A1D02">
        <w:rPr>
          <w:sz w:val="28"/>
          <w:szCs w:val="28"/>
          <w:lang w:eastAsia="zh-CN"/>
        </w:rPr>
        <w:t>节</w:t>
      </w:r>
    </w:p>
    <w:p w14:paraId="05A5E709" w14:textId="3206FA3A" w:rsidR="009C7EA3" w:rsidRDefault="000A1D02" w:rsidP="009C7EA3">
      <w:pPr>
        <w:pStyle w:val="Heading1"/>
        <w:spacing w:before="400"/>
        <w:ind w:left="0" w:firstLine="0"/>
        <w:jc w:val="center"/>
        <w:rPr>
          <w:color w:val="000000"/>
          <w:lang w:eastAsia="zh-CN"/>
        </w:rPr>
      </w:pPr>
      <w:r w:rsidRPr="00A95B95">
        <w:rPr>
          <w:rFonts w:hint="eastAsia"/>
          <w:lang w:eastAsia="zh-CN"/>
        </w:rPr>
        <w:t>计算航空动中通地球站（</w:t>
      </w:r>
      <w:r w:rsidRPr="00A95B95">
        <w:rPr>
          <w:rFonts w:hint="eastAsia"/>
          <w:lang w:eastAsia="zh-CN"/>
        </w:rPr>
        <w:t>A-ESIM</w:t>
      </w:r>
      <w:r w:rsidRPr="00A95B95">
        <w:rPr>
          <w:rFonts w:hint="eastAsia"/>
          <w:lang w:eastAsia="zh-CN"/>
        </w:rPr>
        <w:t>）产生的功率通量密度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电平及通过第</w:t>
      </w:r>
      <w:r w:rsidRPr="00A95B95">
        <w:rPr>
          <w:rFonts w:hint="eastAsia"/>
          <w:lang w:eastAsia="zh-CN"/>
        </w:rPr>
        <w:t>169</w:t>
      </w:r>
      <w:r w:rsidRPr="00A95B95">
        <w:rPr>
          <w:rFonts w:hint="eastAsia"/>
          <w:lang w:eastAsia="zh-CN"/>
        </w:rPr>
        <w:t>号决议（</w:t>
      </w:r>
      <w:r w:rsidRPr="00A95B95">
        <w:rPr>
          <w:rFonts w:hint="eastAsia"/>
          <w:lang w:eastAsia="zh-CN"/>
        </w:rPr>
        <w:t>WRC-23</w:t>
      </w:r>
      <w:r w:rsidRPr="00A95B95">
        <w:rPr>
          <w:rFonts w:hint="eastAsia"/>
          <w:lang w:eastAsia="zh-CN"/>
        </w:rPr>
        <w:t>，修订版）附件</w:t>
      </w:r>
      <w:r w:rsidRPr="00A95B95">
        <w:rPr>
          <w:rFonts w:hint="eastAsia"/>
          <w:lang w:eastAsia="zh-CN"/>
        </w:rPr>
        <w:t>3</w:t>
      </w:r>
      <w:r w:rsidRPr="00A95B95">
        <w:rPr>
          <w:rFonts w:hint="eastAsia"/>
          <w:lang w:eastAsia="zh-CN"/>
        </w:rPr>
        <w:t>、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第</w:t>
      </w:r>
      <w:r w:rsidRPr="00A95B95">
        <w:rPr>
          <w:rFonts w:hint="eastAsia"/>
          <w:lang w:eastAsia="zh-CN"/>
        </w:rPr>
        <w:t>121</w:t>
      </w:r>
      <w:r w:rsidRPr="00A95B95">
        <w:rPr>
          <w:rFonts w:hint="eastAsia"/>
          <w:lang w:eastAsia="zh-CN"/>
        </w:rPr>
        <w:t>号决议（</w:t>
      </w:r>
      <w:r w:rsidRPr="00A95B95">
        <w:rPr>
          <w:rFonts w:hint="eastAsia"/>
          <w:lang w:eastAsia="zh-CN"/>
        </w:rPr>
        <w:t>WRC-23</w:t>
      </w:r>
      <w:r w:rsidRPr="00A95B95">
        <w:rPr>
          <w:rFonts w:hint="eastAsia"/>
          <w:lang w:eastAsia="zh-CN"/>
        </w:rPr>
        <w:t>）附件</w:t>
      </w:r>
      <w:r w:rsidRPr="00A95B95">
        <w:rPr>
          <w:rFonts w:hint="eastAsia"/>
          <w:lang w:eastAsia="zh-CN"/>
        </w:rPr>
        <w:t>2</w:t>
      </w:r>
      <w:r w:rsidRPr="00A95B95">
        <w:rPr>
          <w:rFonts w:hint="eastAsia"/>
          <w:lang w:eastAsia="zh-CN"/>
        </w:rPr>
        <w:t>和第</w:t>
      </w:r>
      <w:r w:rsidRPr="00A95B95">
        <w:rPr>
          <w:rFonts w:hint="eastAsia"/>
          <w:lang w:eastAsia="zh-CN"/>
        </w:rPr>
        <w:t>123</w:t>
      </w:r>
      <w:r w:rsidRPr="00A95B95">
        <w:rPr>
          <w:rFonts w:hint="eastAsia"/>
          <w:lang w:eastAsia="zh-CN"/>
        </w:rPr>
        <w:t>号决议（</w:t>
      </w:r>
      <w:r w:rsidRPr="00A95B95">
        <w:rPr>
          <w:rFonts w:hint="eastAsia"/>
          <w:lang w:eastAsia="zh-CN"/>
        </w:rPr>
        <w:t>WRC-23</w:t>
      </w:r>
      <w:r w:rsidRPr="00A95B95">
        <w:rPr>
          <w:rFonts w:hint="eastAsia"/>
          <w:lang w:eastAsia="zh-CN"/>
        </w:rPr>
        <w:t>）</w:t>
      </w:r>
      <w:r>
        <w:rPr>
          <w:lang w:eastAsia="zh-CN"/>
        </w:rPr>
        <w:br/>
      </w:r>
      <w:r w:rsidRPr="00A95B95">
        <w:rPr>
          <w:rFonts w:hint="eastAsia"/>
          <w:lang w:eastAsia="zh-CN"/>
        </w:rPr>
        <w:t>附件</w:t>
      </w:r>
      <w:r w:rsidRPr="00A95B95">
        <w:rPr>
          <w:rFonts w:hint="eastAsia"/>
          <w:lang w:eastAsia="zh-CN"/>
        </w:rPr>
        <w:t>2</w:t>
      </w:r>
      <w:r w:rsidRPr="00A95B95">
        <w:rPr>
          <w:rFonts w:hint="eastAsia"/>
          <w:lang w:eastAsia="zh-CN"/>
        </w:rPr>
        <w:t>所含限值进行验证</w:t>
      </w:r>
    </w:p>
    <w:p w14:paraId="09AE04D9" w14:textId="2A2FC877" w:rsidR="000A1D02" w:rsidRPr="000A1D02" w:rsidRDefault="000A1D02" w:rsidP="000A1D02">
      <w:pPr>
        <w:spacing w:before="400" w:line="280" w:lineRule="exact"/>
        <w:ind w:firstLineChars="200" w:firstLine="480"/>
        <w:rPr>
          <w:szCs w:val="22"/>
          <w:lang w:eastAsia="zh-CN"/>
        </w:rPr>
      </w:pPr>
      <w:r w:rsidRPr="000A1D02">
        <w:rPr>
          <w:bCs/>
          <w:caps/>
          <w:color w:val="000000" w:themeColor="text1"/>
          <w:szCs w:val="28"/>
          <w:lang w:eastAsia="zh-CN"/>
        </w:rPr>
        <w:t>与</w:t>
      </w:r>
      <w:r w:rsidRPr="000A1D02">
        <w:rPr>
          <w:lang w:eastAsia="zh-CN"/>
        </w:rPr>
        <w:t>第</w:t>
      </w:r>
      <w:r w:rsidRPr="000A1D02">
        <w:rPr>
          <w:b/>
          <w:bCs/>
          <w:lang w:eastAsia="zh-CN"/>
        </w:rPr>
        <w:t>121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附件</w:t>
      </w:r>
      <w:r w:rsidRPr="000A1D02">
        <w:rPr>
          <w:lang w:eastAsia="zh-CN"/>
        </w:rPr>
        <w:t>2</w:t>
      </w:r>
      <w:r w:rsidRPr="000A1D02">
        <w:rPr>
          <w:lang w:eastAsia="zh-CN"/>
        </w:rPr>
        <w:t>和第</w:t>
      </w:r>
      <w:r w:rsidRPr="000A1D02">
        <w:rPr>
          <w:b/>
          <w:bCs/>
          <w:lang w:eastAsia="zh-CN"/>
        </w:rPr>
        <w:t>123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附件</w:t>
      </w:r>
      <w:r w:rsidRPr="000A1D02">
        <w:rPr>
          <w:lang w:eastAsia="zh-CN"/>
        </w:rPr>
        <w:t>2</w:t>
      </w:r>
      <w:r w:rsidRPr="000A1D02">
        <w:rPr>
          <w:lang w:eastAsia="zh-CN"/>
        </w:rPr>
        <w:t>包含审查</w:t>
      </w:r>
      <w:r w:rsidRPr="000A1D02">
        <w:rPr>
          <w:lang w:eastAsia="zh-CN"/>
        </w:rPr>
        <w:t>A</w:t>
      </w:r>
      <w:r w:rsidR="00276950">
        <w:rPr>
          <w:lang w:eastAsia="zh-CN"/>
        </w:rPr>
        <w:noBreakHyphen/>
      </w:r>
      <w:r w:rsidRPr="000A1D02">
        <w:rPr>
          <w:lang w:eastAsia="zh-CN"/>
        </w:rPr>
        <w:t>ESIM</w:t>
      </w:r>
      <w:r w:rsidRPr="000A1D02">
        <w:rPr>
          <w:lang w:eastAsia="zh-CN"/>
        </w:rPr>
        <w:t>在地球表面产生的功率通量密度电平的方法和程序。</w:t>
      </w:r>
      <w:r w:rsidRPr="000A1D02">
        <w:rPr>
          <w:lang w:eastAsia="zh-CN"/>
        </w:rPr>
        <w:t>ITU-R S.2158-0</w:t>
      </w:r>
      <w:r w:rsidRPr="000A1D02">
        <w:rPr>
          <w:lang w:eastAsia="zh-CN"/>
        </w:rPr>
        <w:t>建议书中包含了第</w:t>
      </w:r>
      <w:r w:rsidRPr="000A1D02">
        <w:rPr>
          <w:b/>
          <w:bCs/>
          <w:lang w:eastAsia="zh-CN"/>
        </w:rPr>
        <w:t>169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，修订版）</w:t>
      </w:r>
      <w:r w:rsidRPr="000A1D02">
        <w:rPr>
          <w:lang w:eastAsia="zh-CN"/>
        </w:rPr>
        <w:t>的相应方法。</w:t>
      </w:r>
    </w:p>
    <w:p w14:paraId="4044AB2D" w14:textId="629F2796" w:rsidR="003A19C7" w:rsidRPr="000A1D02" w:rsidRDefault="000A1D02" w:rsidP="003A19C7">
      <w:pPr>
        <w:keepNext/>
        <w:spacing w:before="240" w:line="280" w:lineRule="exact"/>
        <w:ind w:left="794" w:hanging="794"/>
        <w:rPr>
          <w:b/>
          <w:szCs w:val="22"/>
          <w:lang w:eastAsia="zh-CN"/>
        </w:rPr>
      </w:pPr>
      <w:proofErr w:type="spellStart"/>
      <w:r w:rsidRPr="000A1D02">
        <w:rPr>
          <w:b/>
          <w:szCs w:val="22"/>
          <w:lang w:eastAsia="zh-CN"/>
        </w:rPr>
        <w:t>pfd</w:t>
      </w:r>
      <w:proofErr w:type="spellEnd"/>
      <w:r w:rsidRPr="000A1D02">
        <w:rPr>
          <w:b/>
          <w:szCs w:val="22"/>
          <w:lang w:eastAsia="zh-CN"/>
        </w:rPr>
        <w:t>限值的参考带宽</w:t>
      </w:r>
    </w:p>
    <w:p w14:paraId="2271EBE9" w14:textId="77777777" w:rsidR="000A1D02" w:rsidRP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三种方法包含从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的最大或最小功率谱密度计算发射功率的相同公式。</w:t>
      </w:r>
    </w:p>
    <w:p w14:paraId="07741C38" w14:textId="77777777" w:rsidR="000A1D02" w:rsidRP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根据所考虑的</w:t>
      </w:r>
      <w:proofErr w:type="spellStart"/>
      <w:r w:rsidRPr="000A1D02">
        <w:rPr>
          <w:lang w:eastAsia="zh-CN"/>
        </w:rPr>
        <w:t>pfd</w:t>
      </w:r>
      <w:proofErr w:type="spellEnd"/>
      <w:r w:rsidRPr="000A1D02">
        <w:rPr>
          <w:lang w:eastAsia="zh-CN"/>
        </w:rPr>
        <w:t>限值集（即，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高度在</w:t>
      </w:r>
      <w:r w:rsidRPr="000A1D02">
        <w:rPr>
          <w:lang w:eastAsia="zh-CN"/>
        </w:rPr>
        <w:t>3</w:t>
      </w:r>
      <w:r w:rsidRPr="000A1D02">
        <w:rPr>
          <w:lang w:eastAsia="zh-CN"/>
        </w:rPr>
        <w:t>千米以下或</w:t>
      </w:r>
      <w:r w:rsidRPr="000A1D02">
        <w:rPr>
          <w:lang w:eastAsia="zh-CN"/>
        </w:rPr>
        <w:t>3</w:t>
      </w:r>
      <w:r w:rsidRPr="000A1D02">
        <w:rPr>
          <w:lang w:eastAsia="zh-CN"/>
        </w:rPr>
        <w:t>千米以上），需要考虑两个不同的参考带宽：分别为</w:t>
      </w:r>
      <w:r w:rsidRPr="000A1D02">
        <w:rPr>
          <w:lang w:eastAsia="zh-CN"/>
        </w:rPr>
        <w:t>1 MHz</w:t>
      </w:r>
      <w:r w:rsidRPr="000A1D02">
        <w:rPr>
          <w:lang w:eastAsia="zh-CN"/>
        </w:rPr>
        <w:t>和</w:t>
      </w:r>
      <w:r w:rsidRPr="000A1D02">
        <w:rPr>
          <w:lang w:eastAsia="zh-CN"/>
        </w:rPr>
        <w:t>14 MHz</w:t>
      </w:r>
      <w:r w:rsidRPr="000A1D02">
        <w:rPr>
          <w:lang w:eastAsia="zh-CN"/>
        </w:rPr>
        <w:t>。</w:t>
      </w:r>
    </w:p>
    <w:p w14:paraId="047B47F9" w14:textId="77777777" w:rsid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委员会注意到，</w:t>
      </w:r>
      <w:r w:rsidRPr="000A1D02">
        <w:rPr>
          <w:lang w:eastAsia="zh-CN"/>
        </w:rPr>
        <w:t>ITU-R S.2158-0</w:t>
      </w:r>
      <w:r w:rsidRPr="000A1D02">
        <w:rPr>
          <w:lang w:eastAsia="zh-CN"/>
        </w:rPr>
        <w:t>建议书的注</w:t>
      </w:r>
      <w:r w:rsidRPr="000A1D02">
        <w:rPr>
          <w:lang w:eastAsia="zh-CN"/>
        </w:rPr>
        <w:t>2</w:t>
      </w:r>
      <w:r w:rsidRPr="000A1D02">
        <w:rPr>
          <w:lang w:eastAsia="zh-CN"/>
        </w:rPr>
        <w:t>指出</w:t>
      </w:r>
      <w:proofErr w:type="gramStart"/>
      <w:r w:rsidRPr="000A1D02">
        <w:rPr>
          <w:lang w:eastAsia="zh-CN"/>
        </w:rPr>
        <w:t>：</w:t>
      </w:r>
      <w:r w:rsidRPr="000A1D02">
        <w:rPr>
          <w:rFonts w:ascii="SimSun" w:hAnsi="SimSun"/>
          <w:lang w:eastAsia="zh-CN"/>
        </w:rPr>
        <w:t>“</w:t>
      </w:r>
      <w:proofErr w:type="gramEnd"/>
      <w:r w:rsidRPr="000A1D02">
        <w:rPr>
          <w:lang w:eastAsia="zh-CN"/>
        </w:rPr>
        <w:t>对于发射带宽小于参考带宽的操作，只要通知主管部门确认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在参考带宽内仅操作一个发射，则本方法适用。如果无此确认，则本方法不适用</w:t>
      </w:r>
      <w:proofErr w:type="gramStart"/>
      <w:r w:rsidRPr="000A1D02">
        <w:rPr>
          <w:lang w:eastAsia="zh-CN"/>
        </w:rPr>
        <w:t>。</w:t>
      </w:r>
      <w:r w:rsidRPr="000A1D02">
        <w:rPr>
          <w:rFonts w:ascii="SimSun" w:hAnsi="SimSun"/>
          <w:lang w:eastAsia="zh-CN"/>
        </w:rPr>
        <w:t>”</w:t>
      </w:r>
      <w:r w:rsidRPr="000A1D02">
        <w:rPr>
          <w:lang w:eastAsia="zh-CN"/>
        </w:rPr>
        <w:t>此外</w:t>
      </w:r>
      <w:proofErr w:type="gramEnd"/>
      <w:r w:rsidRPr="000A1D02">
        <w:rPr>
          <w:lang w:eastAsia="zh-CN"/>
        </w:rPr>
        <w:t>，第</w:t>
      </w:r>
      <w:r w:rsidRPr="000A1D02">
        <w:rPr>
          <w:b/>
          <w:bCs/>
          <w:lang w:eastAsia="zh-CN"/>
        </w:rPr>
        <w:t>121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的备注指出</w:t>
      </w:r>
      <w:proofErr w:type="gramStart"/>
      <w:r w:rsidRPr="000A1D02">
        <w:rPr>
          <w:lang w:eastAsia="zh-CN"/>
        </w:rPr>
        <w:t>，</w:t>
      </w:r>
      <w:r w:rsidRPr="000A1D02">
        <w:rPr>
          <w:rFonts w:ascii="SimSun" w:hAnsi="SimSun"/>
          <w:lang w:eastAsia="zh-CN"/>
        </w:rPr>
        <w:t>“</w:t>
      </w:r>
      <w:proofErr w:type="gramEnd"/>
      <w:r w:rsidRPr="000A1D02">
        <w:rPr>
          <w:lang w:eastAsia="zh-CN"/>
        </w:rPr>
        <w:t>该方法假设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在</w:t>
      </w:r>
      <w:r w:rsidRPr="000A1D02">
        <w:rPr>
          <w:lang w:eastAsia="zh-CN"/>
        </w:rPr>
        <w:t>14 MHz</w:t>
      </w:r>
      <w:proofErr w:type="gramStart"/>
      <w:r w:rsidRPr="000A1D02">
        <w:rPr>
          <w:lang w:eastAsia="zh-CN"/>
        </w:rPr>
        <w:t>参考带宽内仅有一个发射</w:t>
      </w:r>
      <w:r w:rsidRPr="000A1D02">
        <w:rPr>
          <w:rFonts w:ascii="SimSun" w:hAnsi="SimSun"/>
          <w:lang w:eastAsia="zh-CN"/>
        </w:rPr>
        <w:t>”</w:t>
      </w:r>
      <w:r w:rsidRPr="000A1D02">
        <w:rPr>
          <w:lang w:eastAsia="zh-CN"/>
        </w:rPr>
        <w:t>。</w:t>
      </w:r>
      <w:proofErr w:type="gramEnd"/>
    </w:p>
    <w:p w14:paraId="5BBFF53B" w14:textId="355CD3CE" w:rsidR="00A53717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因此，委员会理解，世界无线电通信大会（</w:t>
      </w:r>
      <w:r w:rsidRPr="000A1D02">
        <w:rPr>
          <w:lang w:eastAsia="zh-CN"/>
        </w:rPr>
        <w:t>2019</w:t>
      </w:r>
      <w:r w:rsidRPr="000A1D02">
        <w:rPr>
          <w:lang w:eastAsia="zh-CN"/>
        </w:rPr>
        <w:t>年，沙姆沙伊赫）（</w:t>
      </w:r>
      <w:r w:rsidRPr="000A1D02">
        <w:rPr>
          <w:lang w:eastAsia="zh-CN"/>
        </w:rPr>
        <w:t>WRC-19</w:t>
      </w:r>
      <w:r w:rsidRPr="000A1D02">
        <w:rPr>
          <w:lang w:eastAsia="zh-CN"/>
        </w:rPr>
        <w:t>）和世界无线电通信大会（</w:t>
      </w:r>
      <w:r w:rsidRPr="000A1D02">
        <w:rPr>
          <w:lang w:eastAsia="zh-CN"/>
        </w:rPr>
        <w:t>2023</w:t>
      </w:r>
      <w:r w:rsidRPr="000A1D02">
        <w:rPr>
          <w:lang w:eastAsia="zh-CN"/>
        </w:rPr>
        <w:t>年，迪拜）（</w:t>
      </w:r>
      <w:r w:rsidRPr="000A1D02">
        <w:rPr>
          <w:lang w:eastAsia="zh-CN"/>
        </w:rPr>
        <w:t>WRC-23</w:t>
      </w:r>
      <w:r w:rsidRPr="000A1D02">
        <w:rPr>
          <w:lang w:eastAsia="zh-CN"/>
        </w:rPr>
        <w:t>）的意图是，对于第</w:t>
      </w:r>
      <w:r w:rsidRPr="000A1D02">
        <w:rPr>
          <w:b/>
          <w:bCs/>
          <w:lang w:eastAsia="zh-CN"/>
        </w:rPr>
        <w:t>121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、第</w:t>
      </w:r>
      <w:r w:rsidRPr="000A1D02">
        <w:rPr>
          <w:b/>
          <w:bCs/>
          <w:lang w:eastAsia="zh-CN"/>
        </w:rPr>
        <w:t>123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和第</w:t>
      </w:r>
      <w:r w:rsidRPr="000A1D02">
        <w:rPr>
          <w:b/>
          <w:bCs/>
          <w:lang w:eastAsia="zh-CN"/>
        </w:rPr>
        <w:t>169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，修订版）</w:t>
      </w:r>
      <w:r w:rsidRPr="000A1D02">
        <w:rPr>
          <w:lang w:eastAsia="zh-CN"/>
        </w:rPr>
        <w:t>所述的所有三种情况，仅允许在</w:t>
      </w:r>
      <w:r w:rsidRPr="000A1D02">
        <w:rPr>
          <w:lang w:eastAsia="zh-CN"/>
        </w:rPr>
        <w:t>14 MHz</w:t>
      </w:r>
      <w:r w:rsidRPr="000A1D02">
        <w:rPr>
          <w:lang w:eastAsia="zh-CN"/>
        </w:rPr>
        <w:t>参考带宽内操作一个载波发射。</w:t>
      </w:r>
    </w:p>
    <w:p w14:paraId="77A74558" w14:textId="77777777" w:rsidR="00276950" w:rsidRDefault="00276950" w:rsidP="000A1D02">
      <w:pPr>
        <w:ind w:firstLineChars="200" w:firstLine="480"/>
        <w:rPr>
          <w:lang w:eastAsia="zh-CN"/>
        </w:rPr>
      </w:pPr>
    </w:p>
    <w:p w14:paraId="680DACCB" w14:textId="77777777" w:rsidR="00276950" w:rsidRPr="000A1D02" w:rsidRDefault="00276950" w:rsidP="000A1D02">
      <w:pPr>
        <w:ind w:firstLineChars="200" w:firstLine="480"/>
        <w:rPr>
          <w:lang w:eastAsia="zh-CN"/>
        </w:rPr>
      </w:pPr>
    </w:p>
    <w:p w14:paraId="71493DD3" w14:textId="2E4DF090" w:rsidR="000A1D02" w:rsidRDefault="00A53717" w:rsidP="000A1D02">
      <w:pPr>
        <w:rPr>
          <w:lang w:eastAsia="zh-CN"/>
        </w:rPr>
      </w:pPr>
      <w:r>
        <w:rPr>
          <w:lang w:eastAsia="zh-CN"/>
        </w:rPr>
        <w:br w:type="page"/>
      </w:r>
    </w:p>
    <w:p w14:paraId="0CEA5C2B" w14:textId="31236C0F" w:rsidR="000A1D02" w:rsidRPr="00884457" w:rsidRDefault="000A1D02" w:rsidP="000A1D02">
      <w:pPr>
        <w:ind w:firstLineChars="200" w:firstLine="480"/>
        <w:rPr>
          <w:lang w:eastAsia="zh-CN"/>
        </w:rPr>
      </w:pPr>
      <w:r w:rsidRPr="00884457">
        <w:rPr>
          <w:lang w:eastAsia="zh-CN"/>
        </w:rPr>
        <w:lastRenderedPageBreak/>
        <w:t>因此，无线电规则委员会做出结论，当一个主管部门提交一个发射带宽小于</w:t>
      </w:r>
      <w:r w:rsidRPr="00884457">
        <w:rPr>
          <w:lang w:eastAsia="zh-CN"/>
        </w:rPr>
        <w:t>14 MHz</w:t>
      </w:r>
      <w:r w:rsidRPr="00884457">
        <w:rPr>
          <w:lang w:eastAsia="zh-CN"/>
        </w:rPr>
        <w:t>参考带宽的</w:t>
      </w:r>
      <w:r w:rsidRPr="00884457">
        <w:rPr>
          <w:lang w:eastAsia="zh-CN"/>
        </w:rPr>
        <w:t>A-ESIM</w:t>
      </w:r>
      <w:r w:rsidRPr="00884457">
        <w:rPr>
          <w:lang w:eastAsia="zh-CN"/>
        </w:rPr>
        <w:t>的频率指配时，它也承诺在任何</w:t>
      </w:r>
      <w:r w:rsidRPr="00884457">
        <w:rPr>
          <w:lang w:eastAsia="zh-CN"/>
        </w:rPr>
        <w:t>14 MHz</w:t>
      </w:r>
      <w:r w:rsidRPr="00884457">
        <w:rPr>
          <w:lang w:eastAsia="zh-CN"/>
        </w:rPr>
        <w:t>带宽</w:t>
      </w:r>
      <w:proofErr w:type="gramStart"/>
      <w:r w:rsidRPr="00884457">
        <w:rPr>
          <w:lang w:eastAsia="zh-CN"/>
        </w:rPr>
        <w:t>仅操作</w:t>
      </w:r>
      <w:proofErr w:type="gramEnd"/>
      <w:r w:rsidRPr="00884457">
        <w:rPr>
          <w:lang w:eastAsia="zh-CN"/>
        </w:rPr>
        <w:t>一个给定发射带宽的发射。</w:t>
      </w:r>
    </w:p>
    <w:p w14:paraId="09C3A980" w14:textId="15DEA5DB" w:rsidR="000A1D02" w:rsidRDefault="000A1D02" w:rsidP="00681D7E">
      <w:pPr>
        <w:ind w:firstLineChars="200" w:firstLine="480"/>
        <w:rPr>
          <w:lang w:eastAsia="zh-CN"/>
        </w:rPr>
      </w:pPr>
      <w:r w:rsidRPr="00884457">
        <w:rPr>
          <w:lang w:eastAsia="zh-CN"/>
        </w:rPr>
        <w:t>当一个主管部门希望同时操作若干发射且发射带宽小于</w:t>
      </w:r>
      <w:r w:rsidRPr="00884457">
        <w:rPr>
          <w:lang w:eastAsia="zh-CN"/>
        </w:rPr>
        <w:t>14 MHz</w:t>
      </w:r>
      <w:r w:rsidRPr="00884457">
        <w:rPr>
          <w:lang w:eastAsia="zh-CN"/>
        </w:rPr>
        <w:t>参考带宽时，应适当修改载波的发射特性，以表明在单一发射内将操作多路载波（见《无线电规则》附录</w:t>
      </w:r>
      <w:r w:rsidRPr="00884457">
        <w:rPr>
          <w:b/>
          <w:bCs/>
          <w:lang w:eastAsia="zh-CN"/>
        </w:rPr>
        <w:t>1</w:t>
      </w:r>
      <w:r w:rsidRPr="00884457">
        <w:rPr>
          <w:lang w:eastAsia="zh-CN"/>
        </w:rPr>
        <w:t>）。</w:t>
      </w:r>
    </w:p>
    <w:p w14:paraId="4FC6A68D" w14:textId="4CFA49ED" w:rsidR="003A19C7" w:rsidRDefault="000A1D02" w:rsidP="003A19C7">
      <w:pPr>
        <w:keepNext/>
        <w:spacing w:before="240" w:line="280" w:lineRule="exact"/>
        <w:ind w:left="794" w:hanging="794"/>
        <w:rPr>
          <w:b/>
          <w:szCs w:val="22"/>
          <w:lang w:eastAsia="zh-CN"/>
        </w:rPr>
      </w:pPr>
      <w:r w:rsidRPr="000A1D02">
        <w:rPr>
          <w:rFonts w:hint="eastAsia"/>
          <w:b/>
          <w:szCs w:val="22"/>
          <w:lang w:eastAsia="zh-CN"/>
        </w:rPr>
        <w:t>符合</w:t>
      </w:r>
      <w:proofErr w:type="spellStart"/>
      <w:r w:rsidRPr="000A1D02">
        <w:rPr>
          <w:rFonts w:hint="eastAsia"/>
          <w:b/>
          <w:szCs w:val="22"/>
          <w:lang w:eastAsia="zh-CN"/>
        </w:rPr>
        <w:t>pfd</w:t>
      </w:r>
      <w:proofErr w:type="spellEnd"/>
      <w:r w:rsidRPr="000A1D02">
        <w:rPr>
          <w:rFonts w:hint="eastAsia"/>
          <w:b/>
          <w:szCs w:val="22"/>
          <w:lang w:eastAsia="zh-CN"/>
        </w:rPr>
        <w:t>限值的条件</w:t>
      </w:r>
    </w:p>
    <w:p w14:paraId="3D76ED23" w14:textId="77777777" w:rsidR="000A1D02" w:rsidRP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第</w:t>
      </w:r>
      <w:r w:rsidRPr="000A1D02">
        <w:rPr>
          <w:b/>
          <w:bCs/>
          <w:lang w:eastAsia="zh-CN"/>
        </w:rPr>
        <w:t>121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附件</w:t>
      </w:r>
      <w:r w:rsidRPr="000A1D02">
        <w:rPr>
          <w:lang w:eastAsia="zh-CN"/>
        </w:rPr>
        <w:t>2</w:t>
      </w:r>
      <w:r w:rsidRPr="000A1D02">
        <w:rPr>
          <w:lang w:eastAsia="zh-CN"/>
        </w:rPr>
        <w:t>、第</w:t>
      </w:r>
      <w:r w:rsidRPr="000A1D02">
        <w:rPr>
          <w:b/>
          <w:bCs/>
          <w:lang w:eastAsia="zh-CN"/>
        </w:rPr>
        <w:t>123</w:t>
      </w:r>
      <w:r w:rsidRPr="000A1D02">
        <w:rPr>
          <w:lang w:eastAsia="zh-CN"/>
        </w:rPr>
        <w:t>号决议</w:t>
      </w:r>
      <w:r w:rsidRPr="000A1D02">
        <w:rPr>
          <w:b/>
          <w:bCs/>
          <w:lang w:eastAsia="zh-CN"/>
        </w:rPr>
        <w:t>（</w:t>
      </w:r>
      <w:r w:rsidRPr="000A1D02">
        <w:rPr>
          <w:b/>
          <w:bCs/>
          <w:lang w:eastAsia="zh-CN"/>
        </w:rPr>
        <w:t>WRC-23</w:t>
      </w:r>
      <w:r w:rsidRPr="000A1D02">
        <w:rPr>
          <w:b/>
          <w:bCs/>
          <w:lang w:eastAsia="zh-CN"/>
        </w:rPr>
        <w:t>）</w:t>
      </w:r>
      <w:r w:rsidRPr="000A1D02">
        <w:rPr>
          <w:lang w:eastAsia="zh-CN"/>
        </w:rPr>
        <w:t>附件</w:t>
      </w:r>
      <w:r w:rsidRPr="000A1D02">
        <w:rPr>
          <w:lang w:eastAsia="zh-CN"/>
        </w:rPr>
        <w:t>2</w:t>
      </w:r>
      <w:r w:rsidRPr="000A1D02">
        <w:rPr>
          <w:lang w:eastAsia="zh-CN"/>
        </w:rPr>
        <w:t>或</w:t>
      </w:r>
      <w:r w:rsidRPr="000A1D02">
        <w:rPr>
          <w:lang w:eastAsia="zh-CN"/>
        </w:rPr>
        <w:t>ITU-R S.2158-0</w:t>
      </w:r>
      <w:r w:rsidRPr="000A1D02">
        <w:rPr>
          <w:lang w:eastAsia="zh-CN"/>
        </w:rPr>
        <w:t>建议书中包含的方法确定了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发射机的最大允许功率</w:t>
      </w:r>
      <w:proofErr w:type="spellStart"/>
      <w:r w:rsidRPr="000A1D02">
        <w:rPr>
          <w:i/>
          <w:iCs/>
          <w:lang w:eastAsia="zh-CN"/>
        </w:rPr>
        <w:t>P</w:t>
      </w:r>
      <w:r w:rsidRPr="000A1D02">
        <w:rPr>
          <w:i/>
          <w:iCs/>
          <w:vertAlign w:val="subscript"/>
          <w:lang w:eastAsia="zh-CN"/>
        </w:rPr>
        <w:t>j</w:t>
      </w:r>
      <w:proofErr w:type="spellEnd"/>
      <w:r w:rsidRPr="000A1D02">
        <w:rPr>
          <w:lang w:eastAsia="zh-CN"/>
        </w:rPr>
        <w:t>。</w:t>
      </w:r>
    </w:p>
    <w:p w14:paraId="167437A0" w14:textId="77777777" w:rsidR="000A1D02" w:rsidRP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然后该方法将计算出的</w:t>
      </w:r>
      <w:proofErr w:type="spellStart"/>
      <w:r w:rsidRPr="000A1D02">
        <w:rPr>
          <w:i/>
          <w:iCs/>
          <w:lang w:eastAsia="zh-CN"/>
        </w:rPr>
        <w:t>P</w:t>
      </w:r>
      <w:r w:rsidRPr="000A1D02">
        <w:rPr>
          <w:i/>
          <w:iCs/>
          <w:vertAlign w:val="subscript"/>
          <w:lang w:eastAsia="zh-CN"/>
        </w:rPr>
        <w:t>j</w:t>
      </w:r>
      <w:proofErr w:type="spellEnd"/>
      <w:r w:rsidRPr="000A1D02">
        <w:rPr>
          <w:lang w:eastAsia="zh-CN"/>
        </w:rPr>
        <w:t>与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发射的通知功率电平范围进行比较。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发射的最小和最大功率值</w:t>
      </w:r>
      <w:proofErr w:type="spellStart"/>
      <w:r w:rsidRPr="000A1D02">
        <w:rPr>
          <w:i/>
          <w:iCs/>
          <w:lang w:eastAsia="zh-CN"/>
        </w:rPr>
        <w:t>P</w:t>
      </w:r>
      <w:r w:rsidRPr="000A1D02">
        <w:rPr>
          <w:vertAlign w:val="subscript"/>
          <w:lang w:eastAsia="zh-CN"/>
        </w:rPr>
        <w:t>min</w:t>
      </w:r>
      <w:r w:rsidRPr="000A1D02">
        <w:rPr>
          <w:i/>
          <w:iCs/>
          <w:vertAlign w:val="subscript"/>
          <w:lang w:eastAsia="zh-CN"/>
        </w:rPr>
        <w:t>_</w:t>
      </w:r>
      <w:proofErr w:type="gramStart"/>
      <w:r w:rsidRPr="000A1D02">
        <w:rPr>
          <w:i/>
          <w:iCs/>
          <w:vertAlign w:val="subscript"/>
          <w:lang w:eastAsia="zh-CN"/>
        </w:rPr>
        <w:t>emission,j</w:t>
      </w:r>
      <w:proofErr w:type="spellEnd"/>
      <w:proofErr w:type="gramEnd"/>
      <w:r w:rsidRPr="000A1D02">
        <w:rPr>
          <w:lang w:eastAsia="zh-CN"/>
        </w:rPr>
        <w:t>和</w:t>
      </w:r>
      <w:proofErr w:type="spellStart"/>
      <w:r w:rsidRPr="000A1D02">
        <w:rPr>
          <w:i/>
          <w:iCs/>
          <w:lang w:eastAsia="zh-CN"/>
        </w:rPr>
        <w:t>P</w:t>
      </w:r>
      <w:r w:rsidRPr="000A1D02">
        <w:rPr>
          <w:vertAlign w:val="subscript"/>
          <w:lang w:eastAsia="zh-CN"/>
        </w:rPr>
        <w:t>max</w:t>
      </w:r>
      <w:r w:rsidRPr="000A1D02">
        <w:rPr>
          <w:i/>
          <w:iCs/>
          <w:vertAlign w:val="subscript"/>
          <w:lang w:eastAsia="zh-CN"/>
        </w:rPr>
        <w:t>_</w:t>
      </w:r>
      <w:proofErr w:type="gramStart"/>
      <w:r w:rsidRPr="000A1D02">
        <w:rPr>
          <w:i/>
          <w:iCs/>
          <w:vertAlign w:val="subscript"/>
          <w:lang w:eastAsia="zh-CN"/>
        </w:rPr>
        <w:t>emission,j</w:t>
      </w:r>
      <w:proofErr w:type="spellEnd"/>
      <w:proofErr w:type="gramEnd"/>
      <w:r w:rsidRPr="000A1D02">
        <w:rPr>
          <w:lang w:eastAsia="zh-CN"/>
        </w:rPr>
        <w:t>根据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发射的最小和最大功率谱密度计算得出。</w:t>
      </w:r>
    </w:p>
    <w:p w14:paraId="3C1EDD58" w14:textId="0386BBC9" w:rsidR="003A19C7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如果满足以下条件，则允许在某一高度</w:t>
      </w:r>
      <w:r w:rsidRPr="000A1D02">
        <w:rPr>
          <w:i/>
          <w:iCs/>
          <w:lang w:eastAsia="zh-CN"/>
        </w:rPr>
        <w:t>j</w:t>
      </w:r>
      <w:r w:rsidRPr="000A1D02">
        <w:rPr>
          <w:lang w:eastAsia="zh-CN"/>
        </w:rPr>
        <w:t>上进行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发射：</w:t>
      </w:r>
    </w:p>
    <w:p w14:paraId="071E4AF2" w14:textId="77777777" w:rsidR="003A19C7" w:rsidRDefault="003A19C7" w:rsidP="003A19C7">
      <w:pPr>
        <w:spacing w:before="160" w:line="276" w:lineRule="auto"/>
        <w:jc w:val="center"/>
        <w:rPr>
          <w:szCs w:val="24"/>
        </w:rPr>
      </w:pPr>
      <w:r>
        <w:rPr>
          <w:position w:val="-16"/>
          <w:szCs w:val="22"/>
        </w:rPr>
        <w:object w:dxaOrig="3660" w:dyaOrig="400" w14:anchorId="1D1AA6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4pt;height:19.7pt" o:ole="">
            <v:imagedata r:id="rId6" o:title=""/>
          </v:shape>
          <o:OLEObject Type="Embed" ProgID="Equation.DSMT4" ShapeID="_x0000_i1025" DrawAspect="Content" ObjectID="_1826085161" r:id="rId7"/>
        </w:object>
      </w:r>
    </w:p>
    <w:p w14:paraId="302DCE74" w14:textId="435A097C" w:rsidR="003A19C7" w:rsidRPr="000A1D02" w:rsidRDefault="000A1D02" w:rsidP="000A1D02">
      <w:pPr>
        <w:ind w:firstLineChars="200" w:firstLine="480"/>
        <w:rPr>
          <w:lang w:eastAsia="zh-CN"/>
        </w:rPr>
      </w:pPr>
      <w:r w:rsidRPr="000A1D02">
        <w:rPr>
          <w:lang w:eastAsia="zh-CN"/>
        </w:rPr>
        <w:t>考虑到该条件在允许功率高到足以允许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以其最大通知功率谱密度操作的情况下将阻止使用高度</w:t>
      </w:r>
      <w:r w:rsidRPr="000A1D02">
        <w:rPr>
          <w:i/>
          <w:iCs/>
          <w:lang w:eastAsia="zh-CN"/>
        </w:rPr>
        <w:t>j</w:t>
      </w:r>
      <w:r w:rsidRPr="000A1D02">
        <w:rPr>
          <w:lang w:eastAsia="zh-CN"/>
        </w:rPr>
        <w:t>，无线电规则委员会做出结论，无线电通信局还应检查以下条件：</w:t>
      </w:r>
    </w:p>
    <w:p w14:paraId="6855F5E1" w14:textId="77777777" w:rsidR="003A19C7" w:rsidRDefault="003A19C7" w:rsidP="003A19C7">
      <w:pPr>
        <w:tabs>
          <w:tab w:val="center" w:pos="4820"/>
          <w:tab w:val="right" w:pos="9639"/>
        </w:tabs>
        <w:spacing w:before="160" w:line="276" w:lineRule="auto"/>
        <w:jc w:val="center"/>
        <w:rPr>
          <w:szCs w:val="24"/>
        </w:rPr>
      </w:pPr>
      <w:r>
        <w:rPr>
          <w:position w:val="-16"/>
          <w:szCs w:val="22"/>
        </w:rPr>
        <w:object w:dxaOrig="2079" w:dyaOrig="400" w14:anchorId="22773646">
          <v:shape id="_x0000_i1026" type="#_x0000_t75" style="width:104.6pt;height:19.7pt" o:ole="">
            <v:imagedata r:id="rId8" o:title=""/>
          </v:shape>
          <o:OLEObject Type="Embed" ProgID="Equation.DSMT4" ShapeID="_x0000_i1026" DrawAspect="Content" ObjectID="_1826085162" r:id="rId9"/>
        </w:object>
      </w:r>
    </w:p>
    <w:p w14:paraId="44C6AC5A" w14:textId="479D5D0B" w:rsidR="003A19C7" w:rsidRPr="000A1D02" w:rsidRDefault="000A1D02" w:rsidP="000A1D02">
      <w:pPr>
        <w:ind w:firstLineChars="200" w:firstLine="480"/>
        <w:rPr>
          <w:szCs w:val="22"/>
          <w:lang w:eastAsia="zh-CN"/>
        </w:rPr>
      </w:pPr>
      <w:r w:rsidRPr="000A1D02">
        <w:rPr>
          <w:lang w:eastAsia="zh-CN"/>
        </w:rPr>
        <w:t>只要满足这一条件，即可认为可以使用</w:t>
      </w:r>
      <w:r w:rsidRPr="000A1D02">
        <w:rPr>
          <w:lang w:eastAsia="zh-CN"/>
        </w:rPr>
        <w:t>A-ESIM</w:t>
      </w:r>
      <w:r w:rsidRPr="000A1D02">
        <w:rPr>
          <w:lang w:eastAsia="zh-CN"/>
        </w:rPr>
        <w:t>的整个功率电平范围。</w:t>
      </w:r>
    </w:p>
    <w:p w14:paraId="1ACC1345" w14:textId="77777777" w:rsidR="00D20D95" w:rsidRDefault="00D20D95" w:rsidP="002D62BE">
      <w:pPr>
        <w:jc w:val="center"/>
        <w:rPr>
          <w:lang w:eastAsia="zh-CN"/>
        </w:rPr>
      </w:pPr>
    </w:p>
    <w:p w14:paraId="3226E2D6" w14:textId="4D9CFE14" w:rsidR="002D62BE" w:rsidRDefault="002D62BE" w:rsidP="002D62BE">
      <w:pPr>
        <w:jc w:val="center"/>
      </w:pPr>
      <w:r>
        <w:t>______________</w:t>
      </w:r>
    </w:p>
    <w:p w14:paraId="18D8F447" w14:textId="77777777" w:rsidR="002D62BE" w:rsidRDefault="002D62BE" w:rsidP="002D62BE">
      <w:pPr>
        <w:pStyle w:val="TableText"/>
        <w:rPr>
          <w:lang w:val="en-US"/>
        </w:rPr>
      </w:pPr>
    </w:p>
    <w:p w14:paraId="561FF4AD" w14:textId="77777777" w:rsidR="002D62BE" w:rsidRDefault="002D62BE" w:rsidP="002D62BE">
      <w:pPr>
        <w:pStyle w:val="TableText"/>
        <w:rPr>
          <w:lang w:val="en-US"/>
        </w:rPr>
      </w:pPr>
    </w:p>
    <w:p w14:paraId="22FA631F" w14:textId="77777777" w:rsidR="002D62BE" w:rsidRDefault="002D62BE" w:rsidP="002D62BE">
      <w:pPr>
        <w:pStyle w:val="TableText"/>
        <w:rPr>
          <w:lang w:val="en-US"/>
        </w:rPr>
      </w:pPr>
    </w:p>
    <w:p w14:paraId="48D19464" w14:textId="77777777" w:rsidR="002D62BE" w:rsidRDefault="002D62BE" w:rsidP="002D62BE">
      <w:pPr>
        <w:pStyle w:val="TableText"/>
        <w:rPr>
          <w:lang w:val="en-US"/>
        </w:rPr>
      </w:pPr>
    </w:p>
    <w:p w14:paraId="043D9AB4" w14:textId="77777777" w:rsidR="002D62BE" w:rsidRDefault="002D62BE" w:rsidP="002D62BE">
      <w:pPr>
        <w:pStyle w:val="TableText"/>
        <w:rPr>
          <w:lang w:val="en-US"/>
        </w:rPr>
      </w:pPr>
    </w:p>
    <w:p w14:paraId="4A64AB9B" w14:textId="77777777" w:rsidR="008C497B" w:rsidRDefault="008C497B" w:rsidP="001E6ED1"/>
    <w:p w14:paraId="58B1B892" w14:textId="77777777" w:rsidR="00CB06A1" w:rsidRDefault="00CB06A1" w:rsidP="00A53717">
      <w:pPr>
        <w:sectPr w:rsidR="00CB06A1" w:rsidSect="003F4E3E">
          <w:headerReference w:type="even" r:id="rId10"/>
          <w:head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6FE90867" w14:textId="77777777" w:rsidR="008C497B" w:rsidRDefault="008C497B" w:rsidP="00A53717"/>
    <w:sectPr w:rsidR="008C497B" w:rsidSect="003F4E3E"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227EF" w14:textId="77777777" w:rsidR="00B611BD" w:rsidRDefault="00B611BD">
      <w:r>
        <w:separator/>
      </w:r>
    </w:p>
  </w:endnote>
  <w:endnote w:type="continuationSeparator" w:id="0">
    <w:p w14:paraId="1D881605" w14:textId="77777777" w:rsidR="00B611BD" w:rsidRDefault="00B6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41397" w14:textId="77777777" w:rsidR="00B611BD" w:rsidRDefault="00B611BD">
      <w:r>
        <w:rPr>
          <w:b/>
        </w:rPr>
        <w:t>_______________</w:t>
      </w:r>
    </w:p>
  </w:footnote>
  <w:footnote w:type="continuationSeparator" w:id="0">
    <w:p w14:paraId="116758E2" w14:textId="77777777" w:rsidR="00B611BD" w:rsidRDefault="00B61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156F" w14:paraId="219CF64E" w14:textId="77777777" w:rsidTr="0068156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831AC6" w14:textId="541F0F63" w:rsidR="0068156F" w:rsidRDefault="0068156F" w:rsidP="0068156F">
          <w:pPr>
            <w:pStyle w:val="HeaderRegProc"/>
            <w:rPr>
              <w:lang w:eastAsia="zh-CN"/>
            </w:rPr>
          </w:pPr>
          <w:r>
            <w:t>B</w:t>
          </w:r>
          <w:r w:rsidR="000A1D02">
            <w:rPr>
              <w:rFonts w:hint="eastAsia"/>
              <w:lang w:eastAsia="zh-CN"/>
            </w:rPr>
            <w:t xml:space="preserve"> </w:t>
          </w:r>
          <w:r w:rsidR="000A1D02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A7185C" w14:textId="274429A0" w:rsidR="0068156F" w:rsidRDefault="0068156F" w:rsidP="0068156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F2773A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5E7A22" w14:textId="07298B37" w:rsidR="0068156F" w:rsidRDefault="000A1D02" w:rsidP="0068156F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68156F">
            <w:rPr>
              <w:lang w:val="fr-FR"/>
            </w:rPr>
            <w:t xml:space="preserve"> </w:t>
          </w:r>
          <w:r w:rsidR="0068156F">
            <w:rPr>
              <w:rStyle w:val="PageNumber"/>
            </w:rPr>
            <w:fldChar w:fldCharType="begin"/>
          </w:r>
          <w:r w:rsidR="0068156F">
            <w:rPr>
              <w:rStyle w:val="PageNumber"/>
            </w:rPr>
            <w:instrText xml:space="preserve"> PAGE </w:instrText>
          </w:r>
          <w:r w:rsidR="0068156F">
            <w:rPr>
              <w:rStyle w:val="PageNumber"/>
            </w:rPr>
            <w:fldChar w:fldCharType="separate"/>
          </w:r>
          <w:r w:rsidR="0068156F">
            <w:rPr>
              <w:rStyle w:val="PageNumber"/>
              <w:noProof/>
            </w:rPr>
            <w:t>5</w:t>
          </w:r>
          <w:r w:rsidR="0068156F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08035CF" w14:textId="5CF0715A" w:rsidR="0068156F" w:rsidRDefault="000A1D02" w:rsidP="0068156F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rFonts w:hint="eastAsia"/>
              <w:lang w:val="fr-CH" w:eastAsia="zh-CN"/>
            </w:rPr>
            <w:t xml:space="preserve"> </w:t>
          </w:r>
          <w:r w:rsidR="00276950">
            <w:t>-</w:t>
          </w:r>
        </w:p>
      </w:tc>
    </w:tr>
  </w:tbl>
  <w:p w14:paraId="1854335D" w14:textId="77777777" w:rsidR="0068156F" w:rsidRDefault="006815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156F" w14:paraId="510436C8" w14:textId="77777777" w:rsidTr="000008A2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809263" w14:textId="16BC84BE" w:rsidR="0068156F" w:rsidRDefault="0068156F" w:rsidP="0068156F">
          <w:pPr>
            <w:pStyle w:val="HeaderRegProc"/>
            <w:rPr>
              <w:lang w:eastAsia="zh-CN"/>
            </w:rPr>
          </w:pPr>
          <w:r>
            <w:t>B</w:t>
          </w:r>
          <w:r w:rsidR="000A1D02">
            <w:rPr>
              <w:rFonts w:hint="eastAsia"/>
              <w:lang w:eastAsia="zh-CN"/>
            </w:rPr>
            <w:t xml:space="preserve"> </w:t>
          </w:r>
          <w:r w:rsidR="000A1D02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D7CC379" w14:textId="6997454D" w:rsidR="0068156F" w:rsidRDefault="0068156F" w:rsidP="0068156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F2773A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63B4D3" w14:textId="1AD465EE" w:rsidR="0068156F" w:rsidRDefault="000A1D02" w:rsidP="0068156F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68156F">
            <w:rPr>
              <w:lang w:val="fr-FR"/>
            </w:rPr>
            <w:t xml:space="preserve"> </w:t>
          </w:r>
          <w:r w:rsidR="0068156F">
            <w:rPr>
              <w:rStyle w:val="PageNumber"/>
            </w:rPr>
            <w:fldChar w:fldCharType="begin"/>
          </w:r>
          <w:r w:rsidR="0068156F">
            <w:rPr>
              <w:rStyle w:val="PageNumber"/>
            </w:rPr>
            <w:instrText xml:space="preserve"> PAGE </w:instrText>
          </w:r>
          <w:r w:rsidR="0068156F">
            <w:rPr>
              <w:rStyle w:val="PageNumber"/>
            </w:rPr>
            <w:fldChar w:fldCharType="separate"/>
          </w:r>
          <w:r w:rsidR="0068156F">
            <w:rPr>
              <w:rStyle w:val="PageNumber"/>
              <w:noProof/>
            </w:rPr>
            <w:t>5</w:t>
          </w:r>
          <w:r w:rsidR="0068156F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1CE183" w14:textId="0EE4C8FE" w:rsidR="0068156F" w:rsidRDefault="000A1D02" w:rsidP="0068156F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rFonts w:hint="eastAsia"/>
              <w:lang w:val="fr-CH" w:eastAsia="zh-CN"/>
            </w:rPr>
            <w:t xml:space="preserve"> </w:t>
          </w:r>
          <w:r w:rsidR="00276950">
            <w:t>-</w:t>
          </w:r>
        </w:p>
      </w:tc>
    </w:tr>
  </w:tbl>
  <w:p w14:paraId="5A135DAD" w14:textId="77777777" w:rsidR="003F4E3E" w:rsidRDefault="003F4E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4B2E" w14:textId="77777777" w:rsidR="00CB06A1" w:rsidRDefault="00CB06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7B"/>
    <w:rsid w:val="000349FB"/>
    <w:rsid w:val="0008403B"/>
    <w:rsid w:val="00091804"/>
    <w:rsid w:val="000A1D02"/>
    <w:rsid w:val="000B3933"/>
    <w:rsid w:val="000B423B"/>
    <w:rsid w:val="000B4FD4"/>
    <w:rsid w:val="00177017"/>
    <w:rsid w:val="001879DD"/>
    <w:rsid w:val="001E6ED1"/>
    <w:rsid w:val="00254F75"/>
    <w:rsid w:val="00276950"/>
    <w:rsid w:val="00291B32"/>
    <w:rsid w:val="002D62BE"/>
    <w:rsid w:val="002F1B94"/>
    <w:rsid w:val="002F6FCF"/>
    <w:rsid w:val="003061FA"/>
    <w:rsid w:val="00331CD4"/>
    <w:rsid w:val="003632A2"/>
    <w:rsid w:val="003A19C7"/>
    <w:rsid w:val="003F2D4A"/>
    <w:rsid w:val="003F4E3E"/>
    <w:rsid w:val="00433573"/>
    <w:rsid w:val="00482885"/>
    <w:rsid w:val="004B034C"/>
    <w:rsid w:val="004E6CE6"/>
    <w:rsid w:val="00533BF1"/>
    <w:rsid w:val="00627E24"/>
    <w:rsid w:val="00650922"/>
    <w:rsid w:val="00653CBA"/>
    <w:rsid w:val="0068156F"/>
    <w:rsid w:val="00681D7E"/>
    <w:rsid w:val="00721254"/>
    <w:rsid w:val="00767537"/>
    <w:rsid w:val="007A5970"/>
    <w:rsid w:val="007F0B48"/>
    <w:rsid w:val="00826A17"/>
    <w:rsid w:val="00845C9A"/>
    <w:rsid w:val="00884457"/>
    <w:rsid w:val="0089302D"/>
    <w:rsid w:val="00894163"/>
    <w:rsid w:val="008A0321"/>
    <w:rsid w:val="008A2011"/>
    <w:rsid w:val="008C497B"/>
    <w:rsid w:val="008D2F31"/>
    <w:rsid w:val="00901C6C"/>
    <w:rsid w:val="00924A26"/>
    <w:rsid w:val="009C7EA3"/>
    <w:rsid w:val="009D5C48"/>
    <w:rsid w:val="00A53717"/>
    <w:rsid w:val="00A70933"/>
    <w:rsid w:val="00A842D5"/>
    <w:rsid w:val="00AF1C6C"/>
    <w:rsid w:val="00B104FC"/>
    <w:rsid w:val="00B1708E"/>
    <w:rsid w:val="00B34D59"/>
    <w:rsid w:val="00B517A2"/>
    <w:rsid w:val="00B5538D"/>
    <w:rsid w:val="00B611BD"/>
    <w:rsid w:val="00BE0D6B"/>
    <w:rsid w:val="00C04707"/>
    <w:rsid w:val="00C67B98"/>
    <w:rsid w:val="00C8511F"/>
    <w:rsid w:val="00CA0E7E"/>
    <w:rsid w:val="00CB06A1"/>
    <w:rsid w:val="00CF02DE"/>
    <w:rsid w:val="00D20D95"/>
    <w:rsid w:val="00D32D08"/>
    <w:rsid w:val="00D37662"/>
    <w:rsid w:val="00DA1FCB"/>
    <w:rsid w:val="00E70951"/>
    <w:rsid w:val="00EA5EFB"/>
    <w:rsid w:val="00F2773A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62BD1EC"/>
  <w15:docId w15:val="{FA87E9DD-E4E4-4C80-9F76-5BF4C72D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rPr>
      <w:b/>
      <w:color w:val="FFCC00"/>
    </w:rPr>
  </w:style>
  <w:style w:type="character" w:customStyle="1" w:styleId="Appref">
    <w:name w:val="App_ref"/>
    <w:rPr>
      <w:color w:val="3366FF"/>
    </w:rPr>
  </w:style>
  <w:style w:type="character" w:customStyle="1" w:styleId="Artdef">
    <w:name w:val="Art_def"/>
    <w:rPr>
      <w:b/>
      <w:color w:val="FFCC00"/>
    </w:rPr>
  </w:style>
  <w:style w:type="character" w:customStyle="1" w:styleId="Artref">
    <w:name w:val="Art_ref"/>
    <w:rPr>
      <w:color w:val="3366FF"/>
    </w:rPr>
  </w:style>
  <w:style w:type="character" w:customStyle="1" w:styleId="Recdef">
    <w:name w:val="Rec_def"/>
    <w:rPr>
      <w:b/>
      <w:color w:val="FFCC00"/>
    </w:rPr>
  </w:style>
  <w:style w:type="character" w:customStyle="1" w:styleId="Recref">
    <w:name w:val="Rec_ref"/>
    <w:rPr>
      <w:color w:val="3366FF"/>
    </w:rPr>
  </w:style>
  <w:style w:type="character" w:customStyle="1" w:styleId="Resdef">
    <w:name w:val="Res_def"/>
    <w:rPr>
      <w:b/>
      <w:color w:val="FFCC00"/>
    </w:rPr>
  </w:style>
  <w:style w:type="character" w:customStyle="1" w:styleId="Resref">
    <w:name w:val="Res_ref"/>
    <w:rPr>
      <w:color w:val="3366FF"/>
    </w:rPr>
  </w:style>
  <w:style w:type="character" w:customStyle="1" w:styleId="Tableref0">
    <w:name w:val="Table_ref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rPr>
      <w:rFonts w:ascii="Times New Roman" w:hAnsi="Times New Roman"/>
      <w:b/>
    </w:rPr>
  </w:style>
  <w:style w:type="character" w:customStyle="1" w:styleId="Appdef0">
    <w:name w:val="App#_def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customStyle="1" w:styleId="Heading1Char">
    <w:name w:val="Heading 1 Char"/>
    <w:aliases w:val="h1 Char"/>
    <w:link w:val="Heading1"/>
    <w:rsid w:val="002D62BE"/>
    <w:rPr>
      <w:b/>
      <w:sz w:val="28"/>
      <w:lang w:val="en-GB" w:eastAsia="en-US"/>
    </w:rPr>
  </w:style>
  <w:style w:type="character" w:customStyle="1" w:styleId="TabletextChar">
    <w:name w:val="Table_text Char"/>
    <w:link w:val="Tabletext0"/>
    <w:rsid w:val="002D62BE"/>
    <w:rPr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ucasi\Application%20Data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23</TotalTime>
  <Pages>3</Pages>
  <Words>890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2021</dc:title>
  <dc:subject>SECB6 du RR</dc:subject>
  <dc:creator>Composition des Publications</dc:creator>
  <cp:keywords/>
  <dc:description/>
  <cp:lastModifiedBy>Liu, Sanping</cp:lastModifiedBy>
  <cp:revision>18</cp:revision>
  <cp:lastPrinted>2025-12-01T08:04:00Z</cp:lastPrinted>
  <dcterms:created xsi:type="dcterms:W3CDTF">2024-11-28T09:32:00Z</dcterms:created>
  <dcterms:modified xsi:type="dcterms:W3CDTF">2025-12-01T08:05:00Z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