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9689" w14:textId="77777777" w:rsidR="0081713C" w:rsidRDefault="0081713C" w:rsidP="0081713C">
      <w:pPr>
        <w:pStyle w:val="Heading1"/>
        <w:spacing w:before="300"/>
        <w:ind w:left="0" w:firstLine="0"/>
        <w:jc w:val="center"/>
        <w:rPr>
          <w:lang w:eastAsia="zh-CN"/>
        </w:rPr>
      </w:pPr>
      <w:r w:rsidRPr="005D72AC">
        <w:rPr>
          <w:rFonts w:ascii="SimSun" w:hAnsi="SimSun" w:cs="SimSun" w:hint="eastAsia"/>
          <w:lang w:eastAsia="zh-CN"/>
        </w:rPr>
        <w:t>有关</w:t>
      </w:r>
    </w:p>
    <w:p w14:paraId="6D9103CC" w14:textId="341460D3" w:rsidR="0081713C" w:rsidRPr="0081713C" w:rsidRDefault="0081713C" w:rsidP="0081713C">
      <w:pPr>
        <w:pStyle w:val="Heading2"/>
        <w:ind w:left="0" w:firstLine="0"/>
        <w:jc w:val="center"/>
        <w:rPr>
          <w:sz w:val="28"/>
          <w:szCs w:val="28"/>
          <w:lang w:eastAsia="zh-CN"/>
        </w:rPr>
      </w:pPr>
      <w:r w:rsidRPr="0081713C">
        <w:rPr>
          <w:sz w:val="28"/>
          <w:szCs w:val="28"/>
          <w:lang w:eastAsia="zh-CN"/>
        </w:rPr>
        <w:t>第</w:t>
      </w:r>
      <w:r w:rsidRPr="0081713C">
        <w:rPr>
          <w:sz w:val="28"/>
          <w:szCs w:val="28"/>
          <w:lang w:eastAsia="zh-CN"/>
        </w:rPr>
        <w:t>559</w:t>
      </w:r>
      <w:r w:rsidRPr="0081713C">
        <w:rPr>
          <w:sz w:val="28"/>
          <w:szCs w:val="28"/>
          <w:lang w:eastAsia="zh-CN"/>
        </w:rPr>
        <w:t>号决议（</w:t>
      </w:r>
      <w:r w:rsidRPr="0081713C">
        <w:rPr>
          <w:sz w:val="28"/>
          <w:szCs w:val="28"/>
          <w:lang w:eastAsia="zh-CN"/>
        </w:rPr>
        <w:t>WRC-19</w:t>
      </w:r>
      <w:r w:rsidRPr="0081713C">
        <w:rPr>
          <w:sz w:val="28"/>
          <w:szCs w:val="28"/>
          <w:lang w:eastAsia="zh-CN"/>
        </w:rPr>
        <w:t>）的程序规则</w:t>
      </w:r>
    </w:p>
    <w:p w14:paraId="6F4B96E0" w14:textId="6325338E" w:rsidR="0081713C" w:rsidRPr="0081713C" w:rsidRDefault="0081713C" w:rsidP="0081713C">
      <w:pPr>
        <w:pStyle w:val="Heading1"/>
        <w:spacing w:before="300"/>
        <w:ind w:left="0" w:firstLine="0"/>
        <w:jc w:val="center"/>
        <w:rPr>
          <w:szCs w:val="28"/>
          <w:lang w:eastAsia="zh-CN"/>
        </w:rPr>
      </w:pPr>
      <w:r w:rsidRPr="0081713C">
        <w:rPr>
          <w:rFonts w:hint="eastAsia"/>
          <w:szCs w:val="28"/>
          <w:lang w:eastAsia="zh-CN"/>
        </w:rPr>
        <w:t>在</w:t>
      </w:r>
      <w:r w:rsidRPr="0081713C">
        <w:rPr>
          <w:rFonts w:hint="eastAsia"/>
          <w:szCs w:val="28"/>
          <w:lang w:eastAsia="zh-CN"/>
        </w:rPr>
        <w:t>WRC-19</w:t>
      </w:r>
      <w:r w:rsidRPr="0081713C">
        <w:rPr>
          <w:rFonts w:hint="eastAsia"/>
          <w:szCs w:val="28"/>
          <w:lang w:eastAsia="zh-CN"/>
        </w:rPr>
        <w:t>部分删除附录</w:t>
      </w:r>
      <w:r w:rsidRPr="0081713C">
        <w:rPr>
          <w:rFonts w:hint="eastAsia"/>
          <w:szCs w:val="28"/>
          <w:lang w:eastAsia="zh-CN"/>
        </w:rPr>
        <w:t>30</w:t>
      </w:r>
      <w:r w:rsidRPr="0081713C">
        <w:rPr>
          <w:rFonts w:hint="eastAsia"/>
          <w:szCs w:val="28"/>
          <w:lang w:eastAsia="zh-CN"/>
        </w:rPr>
        <w:t>（</w:t>
      </w:r>
      <w:r w:rsidRPr="0081713C">
        <w:rPr>
          <w:rFonts w:hint="eastAsia"/>
          <w:szCs w:val="28"/>
          <w:lang w:eastAsia="zh-CN"/>
        </w:rPr>
        <w:t>WRC-15</w:t>
      </w:r>
      <w:r w:rsidRPr="0081713C">
        <w:rPr>
          <w:rFonts w:hint="eastAsia"/>
          <w:szCs w:val="28"/>
          <w:lang w:eastAsia="zh-CN"/>
        </w:rPr>
        <w:t>，修订版）</w:t>
      </w:r>
      <w:r w:rsidRPr="0081713C">
        <w:rPr>
          <w:szCs w:val="28"/>
          <w:lang w:eastAsia="zh-CN"/>
        </w:rPr>
        <w:br/>
      </w:r>
      <w:r w:rsidRPr="0081713C">
        <w:rPr>
          <w:rFonts w:hint="eastAsia"/>
          <w:szCs w:val="28"/>
          <w:lang w:eastAsia="zh-CN"/>
        </w:rPr>
        <w:t>附件</w:t>
      </w:r>
      <w:r w:rsidRPr="0081713C">
        <w:rPr>
          <w:rFonts w:hint="eastAsia"/>
          <w:szCs w:val="28"/>
          <w:lang w:eastAsia="zh-CN"/>
        </w:rPr>
        <w:t>7</w:t>
      </w:r>
      <w:r w:rsidRPr="0081713C">
        <w:rPr>
          <w:rFonts w:hint="eastAsia"/>
          <w:szCs w:val="28"/>
          <w:lang w:eastAsia="zh-CN"/>
        </w:rPr>
        <w:t>后的额外临时规则措施</w:t>
      </w:r>
    </w:p>
    <w:p w14:paraId="36608E6F" w14:textId="77777777" w:rsidR="0081713C" w:rsidRDefault="0081713C" w:rsidP="00EF187A">
      <w:pPr>
        <w:spacing w:before="120" w:line="276" w:lineRule="auto"/>
        <w:rPr>
          <w:b/>
          <w:bCs/>
          <w:lang w:eastAsia="zh-CN"/>
        </w:rPr>
      </w:pPr>
    </w:p>
    <w:p w14:paraId="35E15B43" w14:textId="4744D307" w:rsidR="00EF187A" w:rsidRPr="00077648" w:rsidRDefault="0081713C" w:rsidP="00EF187A">
      <w:pPr>
        <w:spacing w:before="120" w:line="276" w:lineRule="auto"/>
        <w:rPr>
          <w:lang w:eastAsia="zh-CN"/>
        </w:rPr>
      </w:pPr>
      <w:r w:rsidRPr="00036CC6">
        <w:rPr>
          <w:rFonts w:hint="eastAsia"/>
          <w:b/>
          <w:bCs/>
          <w:lang w:eastAsia="zh-CN"/>
        </w:rPr>
        <w:t>注：</w:t>
      </w:r>
      <w:r w:rsidRPr="00487E5B">
        <w:rPr>
          <w:rFonts w:hint="eastAsia"/>
          <w:lang w:eastAsia="zh-CN"/>
        </w:rPr>
        <w:t>WRC-23</w:t>
      </w:r>
      <w:r w:rsidRPr="00487E5B">
        <w:rPr>
          <w:rFonts w:hint="eastAsia"/>
          <w:lang w:eastAsia="zh-CN"/>
        </w:rPr>
        <w:t>就与执行第</w:t>
      </w:r>
      <w:r w:rsidRPr="00487E5B">
        <w:rPr>
          <w:rFonts w:hint="eastAsia"/>
          <w:b/>
          <w:bCs/>
          <w:lang w:eastAsia="zh-CN"/>
        </w:rPr>
        <w:t>559</w:t>
      </w:r>
      <w:r w:rsidRPr="00487E5B">
        <w:rPr>
          <w:rFonts w:hint="eastAsia"/>
          <w:lang w:eastAsia="zh-CN"/>
        </w:rPr>
        <w:t>号决议</w:t>
      </w:r>
      <w:r w:rsidRPr="00487E5B">
        <w:rPr>
          <w:rFonts w:hint="eastAsia"/>
          <w:b/>
          <w:bCs/>
          <w:lang w:eastAsia="zh-CN"/>
        </w:rPr>
        <w:t>（</w:t>
      </w:r>
      <w:r w:rsidRPr="00487E5B">
        <w:rPr>
          <w:rFonts w:hint="eastAsia"/>
          <w:b/>
          <w:bCs/>
          <w:lang w:eastAsia="zh-CN"/>
        </w:rPr>
        <w:t>WRC-19</w:t>
      </w:r>
      <w:r w:rsidRPr="00487E5B">
        <w:rPr>
          <w:rFonts w:hint="eastAsia"/>
          <w:b/>
          <w:bCs/>
          <w:lang w:eastAsia="zh-CN"/>
        </w:rPr>
        <w:t>）</w:t>
      </w:r>
      <w:r w:rsidRPr="00487E5B">
        <w:rPr>
          <w:rFonts w:hint="eastAsia"/>
          <w:lang w:eastAsia="zh-CN"/>
        </w:rPr>
        <w:t>有关的问题做出了以下决定，见第</w:t>
      </w:r>
      <w:r w:rsidRPr="00487E5B">
        <w:rPr>
          <w:rFonts w:hint="eastAsia"/>
          <w:lang w:eastAsia="zh-CN"/>
        </w:rPr>
        <w:t>13</w:t>
      </w:r>
      <w:r w:rsidRPr="00487E5B">
        <w:rPr>
          <w:rFonts w:hint="eastAsia"/>
          <w:lang w:eastAsia="zh-CN"/>
        </w:rPr>
        <w:t>次全体会议记录</w:t>
      </w:r>
      <w:r>
        <w:rPr>
          <w:rFonts w:hint="eastAsia"/>
          <w:lang w:eastAsia="zh-CN"/>
        </w:rPr>
        <w:t>，即</w:t>
      </w:r>
      <w:hyperlink r:id="rId8" w:history="1">
        <w:r w:rsidRPr="00AC6E5A">
          <w:rPr>
            <w:rStyle w:val="Hyperlink"/>
            <w:lang w:eastAsia="zh-CN"/>
          </w:rPr>
          <w:t>CMR23/528</w:t>
        </w:r>
      </w:hyperlink>
      <w:r w:rsidRPr="00487E5B">
        <w:rPr>
          <w:rFonts w:hint="eastAsia"/>
          <w:lang w:eastAsia="zh-CN"/>
        </w:rPr>
        <w:t>号文件第</w:t>
      </w:r>
      <w:r w:rsidRPr="00487E5B">
        <w:rPr>
          <w:rFonts w:hint="eastAsia"/>
          <w:lang w:eastAsia="zh-CN"/>
        </w:rPr>
        <w:t>13</w:t>
      </w:r>
      <w:r>
        <w:rPr>
          <w:lang w:eastAsia="zh-CN"/>
        </w:rPr>
        <w:t>.</w:t>
      </w:r>
      <w:r w:rsidRPr="00487E5B">
        <w:rPr>
          <w:rFonts w:hint="eastAsia"/>
          <w:lang w:eastAsia="zh-CN"/>
        </w:rPr>
        <w:t>2</w:t>
      </w:r>
      <w:r w:rsidRPr="00487E5B">
        <w:rPr>
          <w:rFonts w:hint="eastAsia"/>
          <w:lang w:eastAsia="zh-CN"/>
        </w:rPr>
        <w:t>项：</w:t>
      </w:r>
    </w:p>
    <w:p w14:paraId="6440FBC5" w14:textId="77777777" w:rsidR="0081713C" w:rsidRPr="00AC3758" w:rsidRDefault="0081713C" w:rsidP="0081713C">
      <w:pPr>
        <w:spacing w:before="120" w:line="276" w:lineRule="auto"/>
        <w:ind w:firstLineChars="200" w:firstLine="480"/>
        <w:rPr>
          <w:rFonts w:eastAsia="STKaiti"/>
          <w:lang w:eastAsia="zh-CN"/>
        </w:rPr>
      </w:pPr>
      <w:r w:rsidRPr="00C331FA">
        <w:rPr>
          <w:rFonts w:ascii="SimSun" w:eastAsia="SimSun" w:hAnsi="SimSun"/>
          <w:lang w:eastAsia="zh-CN"/>
        </w:rPr>
        <w:t>“</w:t>
      </w:r>
      <w:r w:rsidRPr="00AC3758">
        <w:rPr>
          <w:rFonts w:eastAsia="STKaiti"/>
          <w:lang w:eastAsia="zh-CN"/>
        </w:rPr>
        <w:t>在审议报告的第</w:t>
      </w:r>
      <w:r w:rsidRPr="00AC3758">
        <w:rPr>
          <w:rFonts w:eastAsia="STKaiti"/>
          <w:lang w:eastAsia="zh-CN"/>
        </w:rPr>
        <w:t>4.2</w:t>
      </w:r>
      <w:proofErr w:type="gramStart"/>
      <w:r w:rsidRPr="00AC3758">
        <w:rPr>
          <w:rFonts w:eastAsia="STKaiti"/>
          <w:lang w:eastAsia="zh-CN"/>
        </w:rPr>
        <w:t>节</w:t>
      </w:r>
      <w:r w:rsidRPr="00C331FA">
        <w:rPr>
          <w:rFonts w:ascii="SimSun" w:eastAsia="SimSun" w:hAnsi="SimSun"/>
          <w:lang w:eastAsia="zh-CN"/>
        </w:rPr>
        <w:t>“</w:t>
      </w:r>
      <w:proofErr w:type="gramEnd"/>
      <w:r w:rsidRPr="00AC3758">
        <w:rPr>
          <w:rFonts w:eastAsia="STKaiti"/>
          <w:lang w:eastAsia="zh-CN"/>
        </w:rPr>
        <w:t>与落实第</w:t>
      </w:r>
      <w:r w:rsidRPr="00AC3758">
        <w:rPr>
          <w:rFonts w:eastAsia="STKaiti"/>
          <w:b/>
          <w:bCs/>
          <w:lang w:eastAsia="zh-CN"/>
        </w:rPr>
        <w:t>559</w:t>
      </w:r>
      <w:r w:rsidRPr="00AC3758">
        <w:rPr>
          <w:rFonts w:eastAsia="STKaiti"/>
          <w:lang w:eastAsia="zh-CN"/>
        </w:rPr>
        <w:t>号决议</w:t>
      </w:r>
      <w:r w:rsidRPr="00AC3758">
        <w:rPr>
          <w:rFonts w:eastAsia="STKaiti"/>
          <w:b/>
          <w:bCs/>
          <w:lang w:eastAsia="zh-CN"/>
        </w:rPr>
        <w:t>（</w:t>
      </w:r>
      <w:r w:rsidRPr="00AC3758">
        <w:rPr>
          <w:rFonts w:eastAsia="STKaiti"/>
          <w:b/>
          <w:bCs/>
          <w:lang w:eastAsia="zh-CN"/>
        </w:rPr>
        <w:t>WRC-19</w:t>
      </w:r>
      <w:r w:rsidRPr="00AC3758">
        <w:rPr>
          <w:rFonts w:eastAsia="STKaiti"/>
          <w:b/>
          <w:bCs/>
          <w:lang w:eastAsia="zh-CN"/>
        </w:rPr>
        <w:t>）</w:t>
      </w:r>
      <w:proofErr w:type="gramStart"/>
      <w:r w:rsidRPr="00AC3758">
        <w:rPr>
          <w:rFonts w:eastAsia="STKaiti"/>
          <w:lang w:eastAsia="zh-CN"/>
        </w:rPr>
        <w:t>相关的问题时</w:t>
      </w:r>
      <w:r w:rsidRPr="00C331FA">
        <w:rPr>
          <w:rFonts w:ascii="SimSun" w:eastAsia="SimSun" w:hAnsi="SimSun"/>
          <w:lang w:eastAsia="zh-CN"/>
        </w:rPr>
        <w:t>”</w:t>
      </w:r>
      <w:r w:rsidRPr="00AC3758">
        <w:rPr>
          <w:rFonts w:eastAsia="STKaiti"/>
          <w:lang w:eastAsia="zh-CN"/>
        </w:rPr>
        <w:t>，</w:t>
      </w:r>
      <w:proofErr w:type="gramEnd"/>
      <w:r w:rsidRPr="00AC3758">
        <w:rPr>
          <w:rFonts w:eastAsia="STKaiti"/>
          <w:lang w:eastAsia="zh-CN"/>
        </w:rPr>
        <w:t>WRC-23</w:t>
      </w:r>
      <w:r w:rsidRPr="00AC3758">
        <w:rPr>
          <w:rFonts w:eastAsia="STKaiti"/>
          <w:lang w:eastAsia="zh-CN"/>
        </w:rPr>
        <w:t>还审议了</w:t>
      </w:r>
      <w:r w:rsidRPr="00AC3758">
        <w:rPr>
          <w:rFonts w:eastAsia="STKaiti"/>
          <w:lang w:eastAsia="zh-CN"/>
        </w:rPr>
        <w:t>87(Add.</w:t>
      </w:r>
      <w:proofErr w:type="gramStart"/>
      <w:r w:rsidRPr="00AC3758">
        <w:rPr>
          <w:rFonts w:eastAsia="STKaiti"/>
          <w:lang w:eastAsia="zh-CN"/>
        </w:rPr>
        <w:t>26)(</w:t>
      </w:r>
      <w:proofErr w:type="gramEnd"/>
      <w:r w:rsidRPr="00AC3758">
        <w:rPr>
          <w:rFonts w:eastAsia="STKaiti"/>
          <w:lang w:eastAsia="zh-CN"/>
        </w:rPr>
        <w:t>Add.</w:t>
      </w:r>
      <w:proofErr w:type="gramStart"/>
      <w:r w:rsidRPr="00AC3758">
        <w:rPr>
          <w:rFonts w:eastAsia="STKaiti"/>
          <w:lang w:eastAsia="zh-CN"/>
        </w:rPr>
        <w:t>2)</w:t>
      </w:r>
      <w:r w:rsidRPr="00AC3758">
        <w:rPr>
          <w:rFonts w:eastAsia="STKaiti"/>
          <w:lang w:eastAsia="zh-CN"/>
        </w:rPr>
        <w:t>号文件</w:t>
      </w:r>
      <w:proofErr w:type="gramEnd"/>
      <w:r w:rsidRPr="00AC3758">
        <w:rPr>
          <w:rFonts w:eastAsia="STKaiti"/>
          <w:lang w:eastAsia="zh-CN"/>
        </w:rPr>
        <w:t>。除了认可无线电规则委员会为执行第</w:t>
      </w:r>
      <w:r w:rsidRPr="00AC3758">
        <w:rPr>
          <w:rFonts w:eastAsia="STKaiti"/>
          <w:b/>
          <w:bCs/>
          <w:lang w:eastAsia="zh-CN"/>
        </w:rPr>
        <w:t>559</w:t>
      </w:r>
      <w:r w:rsidRPr="00AC3758">
        <w:rPr>
          <w:rFonts w:eastAsia="STKaiti"/>
          <w:lang w:eastAsia="zh-CN"/>
        </w:rPr>
        <w:t>号决议</w:t>
      </w:r>
      <w:r w:rsidRPr="00AC3758">
        <w:rPr>
          <w:rFonts w:eastAsia="STKaiti"/>
          <w:b/>
          <w:bCs/>
          <w:lang w:eastAsia="zh-CN"/>
        </w:rPr>
        <w:t>（</w:t>
      </w:r>
      <w:r w:rsidRPr="00AC3758">
        <w:rPr>
          <w:rFonts w:eastAsia="STKaiti"/>
          <w:b/>
          <w:bCs/>
          <w:lang w:eastAsia="zh-CN"/>
        </w:rPr>
        <w:t>WRC-19</w:t>
      </w:r>
      <w:r w:rsidRPr="00AC3758">
        <w:rPr>
          <w:rFonts w:eastAsia="STKaiti"/>
          <w:b/>
          <w:bCs/>
          <w:lang w:eastAsia="zh-CN"/>
        </w:rPr>
        <w:t>）</w:t>
      </w:r>
      <w:r w:rsidRPr="00AC3758">
        <w:rPr>
          <w:rFonts w:eastAsia="STKaiti"/>
          <w:lang w:eastAsia="zh-CN"/>
        </w:rPr>
        <w:t>而提出的所有附加措施外，该文件还包含将由本届</w:t>
      </w:r>
      <w:r w:rsidRPr="00AC3758">
        <w:rPr>
          <w:rFonts w:eastAsia="STKaiti"/>
          <w:lang w:eastAsia="zh-CN"/>
        </w:rPr>
        <w:t>WRC</w:t>
      </w:r>
      <w:r w:rsidRPr="00AC3758">
        <w:rPr>
          <w:rFonts w:eastAsia="STKaiti"/>
          <w:lang w:eastAsia="zh-CN"/>
        </w:rPr>
        <w:t>批准的附加拟议措施，以帮助解决以下剩余的协调案例：</w:t>
      </w:r>
    </w:p>
    <w:p w14:paraId="2C079A8C" w14:textId="77777777" w:rsidR="0081713C" w:rsidRPr="004B5075" w:rsidRDefault="0081713C" w:rsidP="0081713C">
      <w:pPr>
        <w:rPr>
          <w:rFonts w:eastAsia="STKaiti"/>
          <w:lang w:eastAsia="zh-CN"/>
        </w:rPr>
      </w:pPr>
      <w:r w:rsidRPr="004B5075">
        <w:rPr>
          <w:rFonts w:eastAsia="STKaiti"/>
          <w:lang w:eastAsia="zh-CN"/>
        </w:rPr>
        <w:t>1</w:t>
      </w:r>
      <w:r w:rsidRPr="004B5075">
        <w:rPr>
          <w:rFonts w:eastAsia="STKaiti"/>
          <w:lang w:eastAsia="zh-CN"/>
        </w:rPr>
        <w:tab/>
      </w:r>
      <w:r w:rsidRPr="004B5075">
        <w:rPr>
          <w:rFonts w:eastAsia="STKaiti"/>
          <w:lang w:eastAsia="zh-CN"/>
        </w:rPr>
        <w:t>关于根据《无线电规则》附录</w:t>
      </w:r>
      <w:r w:rsidRPr="004B5075">
        <w:rPr>
          <w:rFonts w:eastAsia="STKaiti"/>
          <w:b/>
          <w:bCs/>
          <w:lang w:eastAsia="zh-CN"/>
        </w:rPr>
        <w:t>30</w:t>
      </w:r>
      <w:r w:rsidRPr="004B5075">
        <w:rPr>
          <w:rFonts w:eastAsia="STKaiti"/>
          <w:lang w:eastAsia="zh-CN"/>
        </w:rPr>
        <w:t>第</w:t>
      </w:r>
      <w:r w:rsidRPr="004B5075">
        <w:rPr>
          <w:rFonts w:eastAsia="STKaiti"/>
          <w:lang w:eastAsia="zh-CN"/>
        </w:rPr>
        <w:t>4.1.1 </w:t>
      </w:r>
      <w:proofErr w:type="gramStart"/>
      <w:r w:rsidRPr="004B5075">
        <w:rPr>
          <w:rFonts w:eastAsia="STKaiti"/>
          <w:i/>
          <w:iCs/>
          <w:lang w:eastAsia="zh-CN"/>
        </w:rPr>
        <w:t>b</w:t>
      </w:r>
      <w:r w:rsidRPr="00C331FA">
        <w:rPr>
          <w:rFonts w:eastAsia="STKaiti"/>
          <w:i/>
          <w:iCs/>
          <w:lang w:eastAsia="zh-CN"/>
        </w:rPr>
        <w:t>)</w:t>
      </w:r>
      <w:r w:rsidRPr="004B5075">
        <w:rPr>
          <w:rFonts w:eastAsia="STKaiti"/>
          <w:lang w:eastAsia="zh-CN"/>
        </w:rPr>
        <w:t>段进行协调的剩余案例</w:t>
      </w:r>
      <w:proofErr w:type="gramEnd"/>
      <w:r w:rsidRPr="004B5075">
        <w:rPr>
          <w:rFonts w:eastAsia="STKaiti"/>
          <w:lang w:eastAsia="zh-CN"/>
        </w:rPr>
        <w:t>，</w:t>
      </w:r>
      <w:r w:rsidRPr="004B5075">
        <w:rPr>
          <w:rFonts w:eastAsia="STKaiti"/>
          <w:lang w:eastAsia="zh-CN"/>
        </w:rPr>
        <w:t>WRC</w:t>
      </w:r>
      <w:r w:rsidRPr="004B5075">
        <w:rPr>
          <w:rFonts w:eastAsia="STKaiti"/>
          <w:lang w:eastAsia="zh-CN"/>
        </w:rPr>
        <w:noBreakHyphen/>
        <w:t>23</w:t>
      </w:r>
      <w:r w:rsidRPr="004B5075">
        <w:rPr>
          <w:rFonts w:eastAsia="STKaiti"/>
          <w:lang w:eastAsia="zh-CN"/>
        </w:rPr>
        <w:t>批准了以下措施：</w:t>
      </w:r>
    </w:p>
    <w:p w14:paraId="3AC0A881" w14:textId="77777777" w:rsidR="0081713C" w:rsidRPr="00C331FA" w:rsidRDefault="0081713C" w:rsidP="0081713C">
      <w:pPr>
        <w:pStyle w:val="enumlev1"/>
        <w:rPr>
          <w:rFonts w:eastAsia="STKaiti"/>
          <w:lang w:eastAsia="zh-CN"/>
        </w:rPr>
      </w:pPr>
      <w:r w:rsidRPr="00C331FA">
        <w:rPr>
          <w:rFonts w:eastAsia="STKaiti"/>
          <w:i/>
          <w:iCs/>
          <w:lang w:eastAsia="zh-CN"/>
        </w:rPr>
        <w:t>a)</w:t>
      </w:r>
      <w:r w:rsidRPr="00C331FA">
        <w:rPr>
          <w:rFonts w:eastAsia="STKaiti"/>
          <w:lang w:eastAsia="zh-CN"/>
        </w:rPr>
        <w:tab/>
      </w:r>
      <w:r w:rsidRPr="00C331FA">
        <w:rPr>
          <w:rFonts w:eastAsia="STKaiti"/>
          <w:lang w:eastAsia="zh-CN"/>
        </w:rPr>
        <w:t>一项附加使用（即列表中的指配和</w:t>
      </w:r>
      <w:r w:rsidRPr="00C331FA">
        <w:rPr>
          <w:rFonts w:eastAsia="STKaiti"/>
          <w:lang w:eastAsia="zh-CN"/>
        </w:rPr>
        <w:t>/</w:t>
      </w:r>
      <w:r w:rsidRPr="00C331FA">
        <w:rPr>
          <w:rFonts w:eastAsia="STKaiti"/>
          <w:lang w:eastAsia="zh-CN"/>
        </w:rPr>
        <w:t>或待处理的第</w:t>
      </w:r>
      <w:r w:rsidRPr="00C331FA">
        <w:rPr>
          <w:rFonts w:eastAsia="STKaiti"/>
          <w:b/>
          <w:bCs/>
          <w:lang w:eastAsia="zh-CN"/>
        </w:rPr>
        <w:t>4</w:t>
      </w:r>
      <w:r w:rsidRPr="00C331FA">
        <w:rPr>
          <w:rFonts w:eastAsia="STKaiti"/>
          <w:lang w:eastAsia="zh-CN"/>
        </w:rPr>
        <w:t>条网络）的通知主管部门接受对其位于相关第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w:t>
      </w:r>
      <w:r w:rsidRPr="00C331FA">
        <w:rPr>
          <w:rFonts w:eastAsia="STKaiti"/>
          <w:lang w:eastAsia="zh-CN"/>
        </w:rPr>
        <w:t>−3 dB</w:t>
      </w:r>
      <w:r w:rsidRPr="00C331FA">
        <w:rPr>
          <w:rFonts w:eastAsia="STKaiti"/>
          <w:lang w:eastAsia="zh-CN"/>
        </w:rPr>
        <w:t>天线增益等值线内的测试点可能产生的干扰，</w:t>
      </w:r>
      <w:proofErr w:type="gramStart"/>
      <w:r w:rsidRPr="00C331FA">
        <w:rPr>
          <w:rFonts w:eastAsia="STKaiti"/>
          <w:lang w:eastAsia="zh-CN"/>
        </w:rPr>
        <w:t>因为该椭圆是已经无线电通信局验证的最小椭圆；</w:t>
      </w:r>
      <w:proofErr w:type="gramEnd"/>
    </w:p>
    <w:p w14:paraId="0C0D26D2" w14:textId="77777777" w:rsidR="0081713C" w:rsidRPr="00C331FA" w:rsidRDefault="0081713C" w:rsidP="0081713C">
      <w:pPr>
        <w:pStyle w:val="enumlev1"/>
        <w:rPr>
          <w:rFonts w:eastAsia="STKaiti"/>
          <w:lang w:eastAsia="zh-CN"/>
        </w:rPr>
      </w:pPr>
      <w:r w:rsidRPr="00C331FA">
        <w:rPr>
          <w:rFonts w:eastAsia="STKaiti"/>
          <w:i/>
          <w:iCs/>
          <w:lang w:eastAsia="zh-CN"/>
        </w:rPr>
        <w:t>b)</w:t>
      </w:r>
      <w:r w:rsidRPr="00C331FA">
        <w:rPr>
          <w:rFonts w:eastAsia="STKaiti"/>
          <w:lang w:eastAsia="zh-CN"/>
        </w:rPr>
        <w:tab/>
      </w:r>
      <w:r w:rsidRPr="00C331FA">
        <w:rPr>
          <w:rFonts w:eastAsia="STKaiti"/>
          <w:lang w:eastAsia="zh-CN"/>
        </w:rPr>
        <w:t>一项附加使用（即列表中的指配和</w:t>
      </w:r>
      <w:r w:rsidRPr="00C331FA">
        <w:rPr>
          <w:rFonts w:eastAsia="STKaiti"/>
          <w:lang w:eastAsia="zh-CN"/>
        </w:rPr>
        <w:t>/</w:t>
      </w:r>
      <w:r w:rsidRPr="00C331FA">
        <w:rPr>
          <w:rFonts w:eastAsia="STKaiti"/>
          <w:lang w:eastAsia="zh-CN"/>
        </w:rPr>
        <w:t>或待处理的第</w:t>
      </w:r>
      <w:r w:rsidRPr="00C331FA">
        <w:rPr>
          <w:rFonts w:eastAsia="STKaiti"/>
          <w:b/>
          <w:bCs/>
          <w:lang w:eastAsia="zh-CN"/>
        </w:rPr>
        <w:t>4</w:t>
      </w:r>
      <w:r w:rsidRPr="00C331FA">
        <w:rPr>
          <w:rFonts w:eastAsia="STKaiti"/>
          <w:lang w:eastAsia="zh-CN"/>
        </w:rPr>
        <w:t>条网络）的通知主管部门接受对其位于相关第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协调资料的</w:t>
      </w:r>
      <w:r w:rsidRPr="00C331FA">
        <w:rPr>
          <w:rFonts w:eastAsia="STKaiti"/>
          <w:lang w:eastAsia="zh-CN"/>
        </w:rPr>
        <w:t>–20 </w:t>
      </w:r>
      <w:proofErr w:type="gramStart"/>
      <w:r w:rsidRPr="00C331FA">
        <w:rPr>
          <w:rFonts w:eastAsia="STKaiti"/>
          <w:lang w:eastAsia="zh-CN"/>
        </w:rPr>
        <w:t>dB</w:t>
      </w:r>
      <w:r w:rsidRPr="00C331FA">
        <w:rPr>
          <w:rFonts w:eastAsia="STKaiti"/>
          <w:lang w:eastAsia="zh-CN"/>
        </w:rPr>
        <w:t>天线增益等值线以外的测试点可能产生的干扰；</w:t>
      </w:r>
      <w:proofErr w:type="gramEnd"/>
    </w:p>
    <w:p w14:paraId="6F97047A" w14:textId="77777777" w:rsidR="0081713C" w:rsidRPr="00C331FA" w:rsidRDefault="0081713C" w:rsidP="0081713C">
      <w:pPr>
        <w:pStyle w:val="enumlev1"/>
        <w:rPr>
          <w:rFonts w:eastAsia="STKaiti"/>
          <w:lang w:eastAsia="zh-CN"/>
        </w:rPr>
      </w:pPr>
      <w:r w:rsidRPr="00C331FA">
        <w:rPr>
          <w:rFonts w:eastAsia="STKaiti"/>
          <w:i/>
          <w:iCs/>
          <w:lang w:eastAsia="zh-CN"/>
        </w:rPr>
        <w:t>c)</w:t>
      </w:r>
      <w:r w:rsidRPr="00C331FA">
        <w:rPr>
          <w:rFonts w:eastAsia="STKaiti"/>
          <w:lang w:eastAsia="zh-CN"/>
        </w:rPr>
        <w:tab/>
      </w:r>
      <w:r w:rsidRPr="00C331FA">
        <w:rPr>
          <w:rFonts w:eastAsia="STKaiti"/>
          <w:lang w:eastAsia="zh-CN"/>
        </w:rPr>
        <w:t>如果无线电通信局在审查第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w:t>
      </w:r>
      <w:r w:rsidRPr="00C331FA">
        <w:rPr>
          <w:rFonts w:eastAsia="STKaiti"/>
          <w:b/>
          <w:lang w:eastAsia="zh-CN"/>
        </w:rPr>
        <w:noBreakHyphen/>
        <w:t>19</w:t>
      </w:r>
      <w:r w:rsidRPr="00C331FA">
        <w:rPr>
          <w:rFonts w:eastAsia="STKaiti"/>
          <w:b/>
          <w:lang w:eastAsia="zh-CN"/>
        </w:rPr>
        <w:t>）</w:t>
      </w:r>
      <w:r w:rsidRPr="00C331FA">
        <w:rPr>
          <w:rFonts w:eastAsia="STKaiti"/>
          <w:lang w:eastAsia="zh-CN"/>
        </w:rPr>
        <w:t>A</w:t>
      </w:r>
      <w:r w:rsidRPr="00C331FA">
        <w:rPr>
          <w:rFonts w:eastAsia="STKaiti"/>
          <w:lang w:eastAsia="zh-CN"/>
        </w:rPr>
        <w:t>部分协调资料时，某个附加使用网络的某个测试点的等效保护余量（</w:t>
      </w:r>
      <w:r w:rsidRPr="00C331FA">
        <w:rPr>
          <w:rFonts w:eastAsia="STKaiti"/>
          <w:lang w:eastAsia="zh-CN"/>
        </w:rPr>
        <w:t>EPM</w:t>
      </w:r>
      <w:r w:rsidRPr="00C331FA">
        <w:rPr>
          <w:rFonts w:eastAsia="STKaiti"/>
          <w:lang w:eastAsia="zh-CN"/>
        </w:rPr>
        <w:t>）小于</w:t>
      </w:r>
      <w:r w:rsidRPr="00C331FA">
        <w:rPr>
          <w:rFonts w:eastAsia="STKaiti"/>
          <w:lang w:eastAsia="zh-CN"/>
        </w:rPr>
        <w:t>−10 dB</w:t>
      </w:r>
      <w:r w:rsidRPr="00C331FA">
        <w:rPr>
          <w:rFonts w:eastAsia="STKaiti"/>
          <w:lang w:eastAsia="zh-CN"/>
        </w:rPr>
        <w:t>，则无线电通信局在复审相关第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w:t>
      </w:r>
      <w:r w:rsidRPr="00C331FA">
        <w:rPr>
          <w:rFonts w:eastAsia="STKaiti"/>
          <w:b/>
          <w:lang w:eastAsia="zh-CN"/>
        </w:rPr>
        <w:noBreakHyphen/>
        <w:t>19</w:t>
      </w:r>
      <w:r w:rsidRPr="00C331FA">
        <w:rPr>
          <w:rFonts w:eastAsia="STKaiti"/>
          <w:b/>
          <w:lang w:eastAsia="zh-CN"/>
        </w:rPr>
        <w:t>）</w:t>
      </w:r>
      <w:proofErr w:type="gramStart"/>
      <w:r w:rsidRPr="00C331FA">
        <w:rPr>
          <w:rFonts w:eastAsia="STKaiti"/>
          <w:lang w:eastAsia="zh-CN"/>
        </w:rPr>
        <w:t>资料的审查结论时不应考虑该测试点；</w:t>
      </w:r>
      <w:proofErr w:type="gramEnd"/>
    </w:p>
    <w:p w14:paraId="0F93B362" w14:textId="77777777" w:rsidR="0081713C" w:rsidRPr="00C331FA" w:rsidRDefault="0081713C" w:rsidP="0081713C">
      <w:pPr>
        <w:pStyle w:val="enumlev1"/>
        <w:rPr>
          <w:rFonts w:eastAsia="STKaiti"/>
          <w:lang w:eastAsia="zh-CN"/>
        </w:rPr>
      </w:pPr>
      <w:r w:rsidRPr="00C331FA">
        <w:rPr>
          <w:rFonts w:eastAsia="STKaiti"/>
          <w:i/>
          <w:iCs/>
          <w:lang w:eastAsia="zh-CN"/>
        </w:rPr>
        <w:t>d)</w:t>
      </w:r>
      <w:r w:rsidRPr="00C331FA">
        <w:rPr>
          <w:rFonts w:eastAsia="STKaiti"/>
          <w:lang w:eastAsia="zh-CN"/>
        </w:rPr>
        <w:tab/>
      </w:r>
      <w:r w:rsidRPr="00C331FA">
        <w:rPr>
          <w:rFonts w:eastAsia="STKaiti"/>
          <w:bCs/>
          <w:lang w:eastAsia="zh-CN"/>
        </w:rPr>
        <w:t>如果第</w:t>
      </w:r>
      <w:r w:rsidRPr="00C331FA">
        <w:rPr>
          <w:rFonts w:eastAsia="STKaiti"/>
          <w:b/>
          <w:lang w:eastAsia="zh-CN"/>
        </w:rPr>
        <w:t>559</w:t>
      </w:r>
      <w:r w:rsidRPr="00C331FA">
        <w:rPr>
          <w:rFonts w:eastAsia="STKaiti"/>
          <w:bCs/>
          <w:lang w:eastAsia="zh-CN"/>
        </w:rPr>
        <w:t>号决议</w:t>
      </w:r>
      <w:r w:rsidRPr="00C331FA">
        <w:rPr>
          <w:rFonts w:eastAsia="STKaiti"/>
          <w:b/>
          <w:lang w:eastAsia="zh-CN"/>
        </w:rPr>
        <w:t>（</w:t>
      </w:r>
      <w:r w:rsidRPr="00C331FA">
        <w:rPr>
          <w:rFonts w:eastAsia="STKaiti"/>
          <w:b/>
          <w:lang w:eastAsia="zh-CN"/>
        </w:rPr>
        <w:t>WRC</w:t>
      </w:r>
      <w:r w:rsidRPr="00C331FA">
        <w:rPr>
          <w:rFonts w:eastAsia="STKaiti"/>
          <w:b/>
          <w:lang w:eastAsia="zh-CN"/>
        </w:rPr>
        <w:noBreakHyphen/>
        <w:t>19</w:t>
      </w:r>
      <w:r w:rsidRPr="00C331FA">
        <w:rPr>
          <w:rFonts w:eastAsia="STKaiti"/>
          <w:b/>
          <w:lang w:eastAsia="zh-CN"/>
        </w:rPr>
        <w:t>）</w:t>
      </w:r>
      <w:r w:rsidRPr="00C331FA">
        <w:rPr>
          <w:rFonts w:eastAsia="STKaiti"/>
          <w:lang w:eastAsia="zh-CN"/>
        </w:rPr>
        <w:t>协调</w:t>
      </w:r>
      <w:r w:rsidRPr="00C331FA">
        <w:rPr>
          <w:rFonts w:eastAsia="STKaiti"/>
          <w:bCs/>
          <w:lang w:eastAsia="zh-CN"/>
        </w:rPr>
        <w:t>资料与一个附加使用网络之间的标称轨道间隔等于或大于</w:t>
      </w:r>
      <w:r w:rsidRPr="00C331FA">
        <w:rPr>
          <w:rFonts w:eastAsia="STKaiti"/>
          <w:lang w:eastAsia="zh-CN"/>
        </w:rPr>
        <w:t>6</w:t>
      </w:r>
      <w:r w:rsidRPr="00C331FA">
        <w:rPr>
          <w:rFonts w:eastAsia="STKaiti"/>
          <w:bCs/>
          <w:lang w:eastAsia="zh-CN"/>
        </w:rPr>
        <w:t>度，则视为协调已完成。</w:t>
      </w:r>
    </w:p>
    <w:p w14:paraId="30558235" w14:textId="77777777" w:rsidR="0081713C" w:rsidRPr="004B5075" w:rsidRDefault="0081713C" w:rsidP="0081713C">
      <w:pPr>
        <w:rPr>
          <w:rFonts w:eastAsia="STKaiti"/>
          <w:lang w:eastAsia="zh-CN"/>
        </w:rPr>
      </w:pPr>
      <w:r w:rsidRPr="004B5075">
        <w:rPr>
          <w:rFonts w:eastAsia="STKaiti"/>
          <w:lang w:eastAsia="zh-CN"/>
        </w:rPr>
        <w:t>2</w:t>
      </w:r>
      <w:r w:rsidRPr="004B5075">
        <w:rPr>
          <w:rFonts w:eastAsia="STKaiti"/>
          <w:lang w:eastAsia="zh-CN"/>
        </w:rPr>
        <w:tab/>
      </w:r>
      <w:r w:rsidRPr="004B5075">
        <w:rPr>
          <w:rFonts w:eastAsia="STKaiti"/>
          <w:lang w:eastAsia="zh-CN"/>
        </w:rPr>
        <w:t>关于根据《无线电规则》附录</w:t>
      </w:r>
      <w:r w:rsidRPr="004B5075">
        <w:rPr>
          <w:rFonts w:eastAsia="STKaiti"/>
          <w:b/>
          <w:lang w:eastAsia="zh-CN"/>
        </w:rPr>
        <w:t>30</w:t>
      </w:r>
      <w:r w:rsidRPr="004B5075">
        <w:rPr>
          <w:rFonts w:eastAsia="STKaiti"/>
          <w:lang w:eastAsia="zh-CN"/>
        </w:rPr>
        <w:t>第</w:t>
      </w:r>
      <w:r w:rsidRPr="004B5075">
        <w:rPr>
          <w:rFonts w:eastAsia="STKaiti"/>
          <w:lang w:eastAsia="zh-CN"/>
        </w:rPr>
        <w:t>4.1.1 </w:t>
      </w:r>
      <w:proofErr w:type="gramStart"/>
      <w:r w:rsidRPr="004B5075">
        <w:rPr>
          <w:rFonts w:eastAsia="STKaiti"/>
          <w:i/>
          <w:iCs/>
          <w:lang w:eastAsia="zh-CN"/>
        </w:rPr>
        <w:t>e</w:t>
      </w:r>
      <w:r w:rsidRPr="00C331FA">
        <w:rPr>
          <w:rFonts w:eastAsia="STKaiti"/>
          <w:i/>
          <w:iCs/>
          <w:lang w:eastAsia="zh-CN"/>
        </w:rPr>
        <w:t>)</w:t>
      </w:r>
      <w:r w:rsidRPr="004B5075">
        <w:rPr>
          <w:rFonts w:eastAsia="STKaiti"/>
          <w:lang w:eastAsia="zh-CN"/>
        </w:rPr>
        <w:t>段进行协调的剩余案例</w:t>
      </w:r>
      <w:proofErr w:type="gramEnd"/>
      <w:r w:rsidRPr="004B5075">
        <w:rPr>
          <w:rFonts w:eastAsia="STKaiti"/>
          <w:lang w:eastAsia="zh-CN"/>
        </w:rPr>
        <w:t>，</w:t>
      </w:r>
      <w:r w:rsidRPr="004B5075">
        <w:rPr>
          <w:rFonts w:eastAsia="STKaiti"/>
          <w:lang w:eastAsia="zh-CN"/>
        </w:rPr>
        <w:t>WRC</w:t>
      </w:r>
      <w:r w:rsidRPr="004B5075">
        <w:rPr>
          <w:rFonts w:eastAsia="STKaiti"/>
          <w:lang w:eastAsia="zh-CN"/>
        </w:rPr>
        <w:noBreakHyphen/>
        <w:t>23</w:t>
      </w:r>
      <w:r w:rsidRPr="004B5075">
        <w:rPr>
          <w:rFonts w:eastAsia="STKaiti"/>
          <w:lang w:eastAsia="zh-CN"/>
        </w:rPr>
        <w:t>批准了以下措施：</w:t>
      </w:r>
    </w:p>
    <w:p w14:paraId="2D96844D" w14:textId="40D8E522" w:rsidR="00EF187A" w:rsidRPr="0081713C" w:rsidRDefault="0081713C" w:rsidP="00AE06CC">
      <w:pPr>
        <w:pStyle w:val="enumlev1"/>
        <w:rPr>
          <w:rFonts w:eastAsia="STKaiti"/>
          <w:lang w:eastAsia="zh-CN"/>
        </w:rPr>
      </w:pPr>
      <w:r w:rsidRPr="00C331FA">
        <w:rPr>
          <w:rFonts w:eastAsia="STKaiti"/>
          <w:i/>
          <w:iCs/>
          <w:lang w:eastAsia="zh-CN"/>
        </w:rPr>
        <w:t>a)</w:t>
      </w:r>
      <w:r w:rsidRPr="00C331FA">
        <w:rPr>
          <w:rFonts w:eastAsia="STKaiti"/>
          <w:lang w:eastAsia="zh-CN"/>
        </w:rPr>
        <w:tab/>
      </w:r>
      <w:r w:rsidRPr="00C331FA">
        <w:rPr>
          <w:rFonts w:eastAsia="STKaiti"/>
          <w:lang w:eastAsia="zh-CN"/>
        </w:rPr>
        <w:t>如果第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协调资料与相关非规划频段卫星网络之间的标称轨道间隔等于或大于</w:t>
      </w:r>
      <w:r w:rsidRPr="00C331FA">
        <w:rPr>
          <w:rFonts w:eastAsia="STKaiti"/>
          <w:lang w:eastAsia="zh-CN"/>
        </w:rPr>
        <w:t>6</w:t>
      </w:r>
      <w:r w:rsidRPr="00C331FA">
        <w:rPr>
          <w:rFonts w:eastAsia="STKaiti"/>
          <w:lang w:eastAsia="zh-CN"/>
        </w:rPr>
        <w:t>度，</w:t>
      </w:r>
      <w:proofErr w:type="gramStart"/>
      <w:r w:rsidRPr="00C331FA">
        <w:rPr>
          <w:rFonts w:eastAsia="STKaiti"/>
          <w:lang w:eastAsia="zh-CN"/>
        </w:rPr>
        <w:t>则视为协调已完成；</w:t>
      </w:r>
      <w:proofErr w:type="gramEnd"/>
    </w:p>
    <w:p w14:paraId="2DF2DFFA" w14:textId="77777777" w:rsidR="00AE06CC" w:rsidRDefault="00AE06CC" w:rsidP="00AE06CC">
      <w:pPr>
        <w:pStyle w:val="enumlev1"/>
        <w:rPr>
          <w:i/>
          <w:iCs/>
          <w:lang w:eastAsia="zh-CN"/>
        </w:rPr>
      </w:pPr>
      <w:r>
        <w:rPr>
          <w:i/>
          <w:iCs/>
          <w:lang w:eastAsia="zh-CN"/>
        </w:rPr>
        <w:br w:type="page"/>
      </w:r>
    </w:p>
    <w:p w14:paraId="55866C94" w14:textId="77777777" w:rsidR="0081713C" w:rsidRPr="00C331FA" w:rsidRDefault="0081713C" w:rsidP="0081713C">
      <w:pPr>
        <w:pStyle w:val="enumlev1"/>
        <w:keepNext/>
        <w:keepLines/>
        <w:rPr>
          <w:rFonts w:eastAsia="STKaiti"/>
          <w:lang w:eastAsia="zh-CN"/>
        </w:rPr>
      </w:pPr>
      <w:r w:rsidRPr="00C331FA">
        <w:rPr>
          <w:rFonts w:eastAsia="STKaiti"/>
          <w:i/>
          <w:iCs/>
          <w:lang w:eastAsia="zh-CN"/>
        </w:rPr>
        <w:lastRenderedPageBreak/>
        <w:t>b)</w:t>
      </w:r>
      <w:r w:rsidRPr="00C331FA">
        <w:rPr>
          <w:rFonts w:eastAsia="STKaiti"/>
          <w:lang w:eastAsia="zh-CN"/>
        </w:rPr>
        <w:tab/>
      </w:r>
      <w:r w:rsidRPr="00C331FA">
        <w:rPr>
          <w:rFonts w:eastAsia="STKaiti"/>
          <w:lang w:eastAsia="zh-CN"/>
        </w:rPr>
        <w:t>待审议的非规划频段卫星网络的业务区须在陆地上，并位于该非规划频段卫星网络的</w:t>
      </w:r>
      <w:r w:rsidRPr="00C331FA">
        <w:rPr>
          <w:rFonts w:eastAsia="STKaiti"/>
          <w:lang w:eastAsia="zh-CN"/>
        </w:rPr>
        <w:t>−3 dB</w:t>
      </w:r>
      <w:r w:rsidRPr="00C331FA">
        <w:rPr>
          <w:rFonts w:eastAsia="STKaiti"/>
          <w:lang w:eastAsia="zh-CN"/>
        </w:rPr>
        <w:t>天线增益等值线内，而不是提交的业务区内，因为该提交业务区可能包括相对天线增益等值线非常低的区域。需要注意的是，非规划频段卫星网络只保护在陆地上且位于其</w:t>
      </w:r>
      <w:r w:rsidRPr="00C331FA">
        <w:rPr>
          <w:rFonts w:eastAsia="STKaiti"/>
          <w:lang w:eastAsia="zh-CN"/>
        </w:rPr>
        <w:t>−3 dB</w:t>
      </w:r>
      <w:r w:rsidRPr="00C331FA">
        <w:rPr>
          <w:rFonts w:eastAsia="STKaiti"/>
          <w:lang w:eastAsia="zh-CN"/>
        </w:rPr>
        <w:t>天线增益等值线内的业务区内的第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proofErr w:type="gramStart"/>
      <w:r w:rsidRPr="00C331FA">
        <w:rPr>
          <w:rFonts w:eastAsia="STKaiti"/>
          <w:lang w:eastAsia="zh-CN"/>
        </w:rPr>
        <w:t>协调资料；</w:t>
      </w:r>
      <w:proofErr w:type="gramEnd"/>
    </w:p>
    <w:p w14:paraId="21004854" w14:textId="77777777" w:rsidR="0081713C" w:rsidRPr="00C331FA" w:rsidRDefault="0081713C" w:rsidP="0081713C">
      <w:pPr>
        <w:pStyle w:val="enumlev1"/>
        <w:rPr>
          <w:rFonts w:eastAsia="STKaiti"/>
          <w:lang w:eastAsia="zh-CN"/>
        </w:rPr>
      </w:pPr>
      <w:bookmarkStart w:id="0" w:name="lt_pId047"/>
      <w:r w:rsidRPr="00C331FA">
        <w:rPr>
          <w:rFonts w:eastAsia="STKaiti"/>
          <w:i/>
          <w:iCs/>
          <w:lang w:eastAsia="zh-CN"/>
        </w:rPr>
        <w:t>c)</w:t>
      </w:r>
      <w:bookmarkEnd w:id="0"/>
      <w:r w:rsidRPr="00C331FA">
        <w:rPr>
          <w:rFonts w:eastAsia="STKaiti"/>
          <w:lang w:eastAsia="zh-CN"/>
        </w:rPr>
        <w:tab/>
      </w:r>
      <w:r w:rsidRPr="00C331FA">
        <w:rPr>
          <w:rFonts w:eastAsia="STKaiti"/>
          <w:lang w:eastAsia="zh-CN"/>
        </w:rPr>
        <w:t>如果一个主管部门同意不保护位于其国家领土内功率通量密度（</w:t>
      </w:r>
      <w:proofErr w:type="spellStart"/>
      <w:r w:rsidRPr="00C331FA">
        <w:rPr>
          <w:rFonts w:eastAsia="STKaiti"/>
          <w:lang w:eastAsia="zh-CN"/>
        </w:rPr>
        <w:t>pfd</w:t>
      </w:r>
      <w:proofErr w:type="spellEnd"/>
      <w:r w:rsidRPr="00C331FA">
        <w:rPr>
          <w:rFonts w:eastAsia="STKaiti"/>
          <w:lang w:eastAsia="zh-CN"/>
        </w:rPr>
        <w:t>）超过限值的区域，则无线电通信局在复审第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proofErr w:type="gramStart"/>
      <w:r w:rsidRPr="00C331FA">
        <w:rPr>
          <w:rFonts w:eastAsia="STKaiti"/>
          <w:lang w:eastAsia="zh-CN"/>
        </w:rPr>
        <w:t>协调资料的剩余协调要求时不得考虑该部分业务区；</w:t>
      </w:r>
      <w:proofErr w:type="gramEnd"/>
    </w:p>
    <w:p w14:paraId="22E37AD6" w14:textId="77777777" w:rsidR="0081713C" w:rsidRPr="00C331FA" w:rsidRDefault="0081713C" w:rsidP="0081713C">
      <w:pPr>
        <w:pStyle w:val="enumlev1"/>
        <w:rPr>
          <w:rFonts w:eastAsia="STKaiti"/>
          <w:lang w:eastAsia="zh-CN"/>
        </w:rPr>
      </w:pPr>
      <w:r w:rsidRPr="00C331FA">
        <w:rPr>
          <w:rFonts w:eastAsia="STKaiti"/>
          <w:i/>
          <w:iCs/>
          <w:lang w:eastAsia="zh-CN"/>
        </w:rPr>
        <w:t>d)</w:t>
      </w:r>
      <w:r w:rsidRPr="00C331FA">
        <w:rPr>
          <w:rFonts w:eastAsia="STKaiti"/>
          <w:lang w:eastAsia="zh-CN"/>
        </w:rPr>
        <w:tab/>
      </w:r>
      <w:r w:rsidRPr="00C331FA">
        <w:rPr>
          <w:rFonts w:eastAsia="STKaiti"/>
          <w:lang w:eastAsia="zh-CN"/>
        </w:rPr>
        <w:t>非规划频段卫星网络的通知主管部门接受对其位于相关第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协调资料的</w:t>
      </w:r>
      <w:r w:rsidRPr="00C331FA">
        <w:rPr>
          <w:rFonts w:eastAsia="STKaiti"/>
          <w:lang w:eastAsia="zh-CN"/>
        </w:rPr>
        <w:t>−20 dB</w:t>
      </w:r>
      <w:r w:rsidRPr="00C331FA">
        <w:rPr>
          <w:rFonts w:eastAsia="STKaiti"/>
          <w:lang w:eastAsia="zh-CN"/>
        </w:rPr>
        <w:t>天线增益等值线以外的业务区可能产生的干扰。</w:t>
      </w:r>
    </w:p>
    <w:p w14:paraId="0BEC1FB0" w14:textId="77777777" w:rsidR="0081713C" w:rsidRPr="004B5075" w:rsidRDefault="0081713C" w:rsidP="0081713C">
      <w:pPr>
        <w:rPr>
          <w:rFonts w:eastAsia="STKaiti"/>
          <w:lang w:eastAsia="zh-CN"/>
        </w:rPr>
      </w:pPr>
      <w:r w:rsidRPr="004B5075">
        <w:rPr>
          <w:rFonts w:eastAsia="STKaiti"/>
          <w:lang w:eastAsia="zh-CN"/>
        </w:rPr>
        <w:t>3</w:t>
      </w:r>
      <w:r w:rsidRPr="004B5075">
        <w:rPr>
          <w:rFonts w:eastAsia="STKaiti"/>
          <w:lang w:eastAsia="zh-CN"/>
        </w:rPr>
        <w:tab/>
      </w:r>
      <w:r w:rsidRPr="004B5075">
        <w:rPr>
          <w:rFonts w:eastAsia="STKaiti"/>
          <w:lang w:eastAsia="zh-CN"/>
        </w:rPr>
        <w:t>关于根据《无线电规则》附录</w:t>
      </w:r>
      <w:r w:rsidRPr="004B5075">
        <w:rPr>
          <w:rFonts w:eastAsia="STKaiti"/>
          <w:b/>
          <w:lang w:eastAsia="zh-CN"/>
        </w:rPr>
        <w:t>30A</w:t>
      </w:r>
      <w:r w:rsidRPr="00C331FA">
        <w:rPr>
          <w:rFonts w:eastAsia="STKaiti"/>
          <w:lang w:eastAsia="zh-CN"/>
        </w:rPr>
        <w:t>第</w:t>
      </w:r>
      <w:r w:rsidRPr="00C331FA">
        <w:rPr>
          <w:rFonts w:eastAsia="STKaiti"/>
          <w:lang w:eastAsia="zh-CN"/>
        </w:rPr>
        <w:t>4.1.1</w:t>
      </w:r>
      <w:r>
        <w:rPr>
          <w:rFonts w:eastAsia="STKaiti"/>
          <w:lang w:eastAsia="zh-CN"/>
        </w:rPr>
        <w:t xml:space="preserve"> </w:t>
      </w:r>
      <w:proofErr w:type="gramStart"/>
      <w:r w:rsidRPr="00C331FA">
        <w:rPr>
          <w:rFonts w:eastAsia="STKaiti"/>
          <w:i/>
          <w:iCs/>
          <w:lang w:eastAsia="zh-CN"/>
        </w:rPr>
        <w:t>b)</w:t>
      </w:r>
      <w:r w:rsidRPr="004B5075">
        <w:rPr>
          <w:rFonts w:eastAsia="STKaiti"/>
          <w:lang w:eastAsia="zh-CN"/>
        </w:rPr>
        <w:t>款进行协调的剩余案例</w:t>
      </w:r>
      <w:proofErr w:type="gramEnd"/>
      <w:r w:rsidRPr="004B5075">
        <w:rPr>
          <w:rFonts w:eastAsia="STKaiti"/>
          <w:lang w:eastAsia="zh-CN"/>
        </w:rPr>
        <w:t>，</w:t>
      </w:r>
      <w:r w:rsidRPr="004B5075">
        <w:rPr>
          <w:rFonts w:eastAsia="STKaiti"/>
          <w:lang w:eastAsia="zh-CN"/>
        </w:rPr>
        <w:t>WRC</w:t>
      </w:r>
      <w:r w:rsidRPr="004B5075">
        <w:rPr>
          <w:rFonts w:eastAsia="STKaiti"/>
          <w:lang w:eastAsia="zh-CN"/>
        </w:rPr>
        <w:noBreakHyphen/>
        <w:t>23</w:t>
      </w:r>
      <w:r w:rsidRPr="004B5075">
        <w:rPr>
          <w:rFonts w:eastAsia="STKaiti"/>
          <w:lang w:eastAsia="zh-CN"/>
        </w:rPr>
        <w:t>批准剩余协调案例可被视为已经完成，原因是：</w:t>
      </w:r>
    </w:p>
    <w:p w14:paraId="7C886266" w14:textId="77777777" w:rsidR="0081713C" w:rsidRPr="00C331FA" w:rsidRDefault="0081713C" w:rsidP="0081713C">
      <w:pPr>
        <w:pStyle w:val="enumlev1"/>
        <w:rPr>
          <w:rFonts w:eastAsia="STKaiti"/>
          <w:lang w:eastAsia="zh-CN"/>
        </w:rPr>
      </w:pPr>
      <w:r w:rsidRPr="00C331FA">
        <w:rPr>
          <w:rFonts w:eastAsia="STKaiti"/>
          <w:i/>
          <w:iCs/>
          <w:lang w:eastAsia="zh-CN"/>
        </w:rPr>
        <w:t>a)</w:t>
      </w:r>
      <w:r w:rsidRPr="00C331FA">
        <w:rPr>
          <w:rFonts w:eastAsia="STKaiti"/>
          <w:lang w:eastAsia="zh-CN"/>
        </w:rPr>
        <w:tab/>
      </w:r>
      <w:r w:rsidRPr="00C331FA">
        <w:rPr>
          <w:rFonts w:eastAsia="STKaiti"/>
          <w:lang w:eastAsia="zh-CN"/>
        </w:rPr>
        <w:t>第</w:t>
      </w:r>
      <w:r w:rsidRPr="00C331FA">
        <w:rPr>
          <w:rFonts w:eastAsia="STKaiti"/>
          <w:lang w:eastAsia="zh-CN"/>
        </w:rPr>
        <w:t>4</w:t>
      </w:r>
      <w:r w:rsidRPr="00C331FA">
        <w:rPr>
          <w:rFonts w:eastAsia="STKaiti"/>
          <w:lang w:eastAsia="zh-CN"/>
        </w:rPr>
        <w:t>条卫星网络在第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proofErr w:type="gramStart"/>
      <w:r w:rsidRPr="00C331FA">
        <w:rPr>
          <w:rFonts w:eastAsia="STKaiti"/>
          <w:lang w:eastAsia="zh-CN"/>
        </w:rPr>
        <w:t>相关主管部门的国家领土上具有非常大的覆盖范围和非常高的接收灵敏度；</w:t>
      </w:r>
      <w:proofErr w:type="gramEnd"/>
    </w:p>
    <w:p w14:paraId="1733DD7E" w14:textId="77777777" w:rsidR="0081713C" w:rsidRPr="00C331FA" w:rsidRDefault="0081713C" w:rsidP="0081713C">
      <w:pPr>
        <w:pStyle w:val="enumlev1"/>
        <w:rPr>
          <w:rFonts w:eastAsia="STKaiti"/>
          <w:lang w:eastAsia="zh-CN"/>
        </w:rPr>
      </w:pPr>
      <w:r w:rsidRPr="00C331FA">
        <w:rPr>
          <w:rFonts w:eastAsia="STKaiti"/>
          <w:i/>
          <w:iCs/>
          <w:lang w:eastAsia="zh-CN"/>
        </w:rPr>
        <w:t>b)</w:t>
      </w:r>
      <w:r w:rsidRPr="00C331FA">
        <w:rPr>
          <w:rFonts w:eastAsia="STKaiti"/>
          <w:lang w:eastAsia="zh-CN"/>
        </w:rPr>
        <w:tab/>
      </w:r>
      <w:r w:rsidRPr="00C331FA">
        <w:rPr>
          <w:rFonts w:eastAsia="STKaiti"/>
          <w:lang w:eastAsia="zh-CN"/>
        </w:rPr>
        <w:t>这些第</w:t>
      </w:r>
      <w:r w:rsidRPr="00C331FA">
        <w:rPr>
          <w:rFonts w:eastAsia="STKaiti"/>
          <w:lang w:eastAsia="zh-CN"/>
        </w:rPr>
        <w:t>4</w:t>
      </w:r>
      <w:r w:rsidRPr="00C331FA">
        <w:rPr>
          <w:rFonts w:eastAsia="STKaiti"/>
          <w:lang w:eastAsia="zh-CN"/>
        </w:rPr>
        <w:t>条卫星网络的覆盖区域远远超出了通知主管部门的国家领土，而相关第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协调资料中的馈线链路地球站仅位于其国家领土内，</w:t>
      </w:r>
      <w:proofErr w:type="gramStart"/>
      <w:r w:rsidRPr="00C331FA">
        <w:rPr>
          <w:rFonts w:eastAsia="STKaiti"/>
          <w:lang w:eastAsia="zh-CN"/>
        </w:rPr>
        <w:t>且不能再进一步缩小；</w:t>
      </w:r>
      <w:proofErr w:type="gramEnd"/>
    </w:p>
    <w:p w14:paraId="3BC4D6C2" w14:textId="77777777" w:rsidR="0081713C" w:rsidRPr="00C331FA" w:rsidRDefault="0081713C" w:rsidP="0081713C">
      <w:pPr>
        <w:pStyle w:val="enumlev1"/>
        <w:rPr>
          <w:rFonts w:eastAsia="STKaiti"/>
          <w:lang w:eastAsia="zh-CN"/>
        </w:rPr>
      </w:pPr>
      <w:bookmarkStart w:id="1" w:name="lt_pId057"/>
      <w:r w:rsidRPr="00C331FA">
        <w:rPr>
          <w:rFonts w:eastAsia="STKaiti"/>
          <w:i/>
          <w:iCs/>
          <w:lang w:eastAsia="zh-CN"/>
        </w:rPr>
        <w:t>c)</w:t>
      </w:r>
      <w:bookmarkEnd w:id="1"/>
      <w:r w:rsidRPr="00C331FA">
        <w:rPr>
          <w:rFonts w:eastAsia="STKaiti"/>
          <w:lang w:eastAsia="zh-CN"/>
        </w:rPr>
        <w:tab/>
      </w:r>
      <w:r w:rsidRPr="00C331FA">
        <w:rPr>
          <w:rFonts w:eastAsia="STKaiti"/>
          <w:lang w:eastAsia="zh-CN"/>
        </w:rPr>
        <w:t>第</w:t>
      </w:r>
      <w:r w:rsidRPr="00C331FA">
        <w:rPr>
          <w:rFonts w:eastAsia="STKaiti"/>
          <w:b/>
          <w:lang w:eastAsia="zh-CN"/>
        </w:rPr>
        <w:t>2</w:t>
      </w:r>
      <w:r w:rsidRPr="00C331FA">
        <w:rPr>
          <w:rFonts w:eastAsia="STKaiti"/>
          <w:lang w:eastAsia="zh-CN"/>
        </w:rPr>
        <w:t>号决议</w:t>
      </w:r>
      <w:r w:rsidRPr="00C331FA">
        <w:rPr>
          <w:rFonts w:eastAsia="STKaiti"/>
          <w:b/>
          <w:lang w:eastAsia="zh-CN"/>
        </w:rPr>
        <w:t>（</w:t>
      </w:r>
      <w:r w:rsidRPr="00C331FA">
        <w:rPr>
          <w:rFonts w:eastAsia="STKaiti"/>
          <w:b/>
          <w:lang w:eastAsia="zh-CN"/>
        </w:rPr>
        <w:t>WRC</w:t>
      </w:r>
      <w:r w:rsidRPr="00C331FA">
        <w:rPr>
          <w:rFonts w:eastAsia="STKaiti"/>
          <w:b/>
          <w:lang w:eastAsia="zh-CN"/>
        </w:rPr>
        <w:noBreakHyphen/>
        <w:t>03</w:t>
      </w:r>
      <w:r w:rsidRPr="00C331FA">
        <w:rPr>
          <w:rFonts w:eastAsia="STKaiti"/>
          <w:b/>
          <w:lang w:eastAsia="zh-CN"/>
        </w:rPr>
        <w:t>，修订版）</w:t>
      </w:r>
      <w:r w:rsidRPr="00C331FA">
        <w:rPr>
          <w:rFonts w:eastAsia="STKaiti"/>
          <w:lang w:eastAsia="zh-CN"/>
        </w:rPr>
        <w:t>和</w:t>
      </w:r>
      <w:r w:rsidRPr="00C331FA">
        <w:rPr>
          <w:rFonts w:eastAsia="STKaiti"/>
          <w:lang w:eastAsia="zh-CN"/>
        </w:rPr>
        <w:t>WRC</w:t>
      </w:r>
      <w:r w:rsidRPr="00C331FA">
        <w:rPr>
          <w:rFonts w:eastAsia="STKaiti"/>
          <w:lang w:eastAsia="zh-CN"/>
        </w:rPr>
        <w:noBreakHyphen/>
        <w:t>23</w:t>
      </w:r>
      <w:r w:rsidRPr="00C331FA">
        <w:rPr>
          <w:rFonts w:eastAsia="STKaiti"/>
          <w:lang w:eastAsia="zh-CN"/>
        </w:rPr>
        <w:t>议项</w:t>
      </w:r>
      <w:r w:rsidRPr="00C331FA">
        <w:rPr>
          <w:rFonts w:eastAsia="STKaiti"/>
          <w:lang w:eastAsia="zh-CN"/>
        </w:rPr>
        <w:t>7</w:t>
      </w:r>
      <w:r w:rsidRPr="00C331FA">
        <w:rPr>
          <w:rFonts w:eastAsia="STKaiti"/>
          <w:lang w:eastAsia="zh-CN"/>
        </w:rPr>
        <w:t>议题</w:t>
      </w:r>
      <w:r w:rsidRPr="00C331FA">
        <w:rPr>
          <w:rFonts w:eastAsia="STKaiti"/>
          <w:lang w:eastAsia="zh-CN"/>
        </w:rPr>
        <w:t>F</w:t>
      </w:r>
      <w:r w:rsidRPr="00C331FA">
        <w:rPr>
          <w:rFonts w:eastAsia="STKaiti"/>
          <w:lang w:eastAsia="zh-CN"/>
        </w:rPr>
        <w:t>的目标。</w:t>
      </w:r>
    </w:p>
    <w:p w14:paraId="096F9BDC" w14:textId="77777777" w:rsidR="0081713C" w:rsidRPr="004B5075" w:rsidRDefault="0081713C" w:rsidP="0081713C">
      <w:pPr>
        <w:rPr>
          <w:rFonts w:eastAsia="STKaiti"/>
          <w:lang w:eastAsia="zh-CN"/>
        </w:rPr>
      </w:pPr>
      <w:r w:rsidRPr="004B5075">
        <w:rPr>
          <w:rFonts w:eastAsia="STKaiti"/>
          <w:lang w:eastAsia="zh-CN"/>
        </w:rPr>
        <w:t>4</w:t>
      </w:r>
      <w:r w:rsidRPr="004B5075">
        <w:rPr>
          <w:rFonts w:eastAsia="STKaiti"/>
          <w:lang w:eastAsia="zh-CN"/>
        </w:rPr>
        <w:tab/>
      </w:r>
      <w:r w:rsidRPr="004B5075">
        <w:rPr>
          <w:rFonts w:eastAsia="STKaiti"/>
          <w:lang w:eastAsia="zh-CN"/>
        </w:rPr>
        <w:t>关于根据附录</w:t>
      </w:r>
      <w:r w:rsidRPr="004B5075">
        <w:rPr>
          <w:rFonts w:eastAsia="STKaiti"/>
          <w:b/>
          <w:lang w:eastAsia="zh-CN"/>
        </w:rPr>
        <w:t>30</w:t>
      </w:r>
      <w:r w:rsidRPr="004B5075">
        <w:rPr>
          <w:rFonts w:eastAsia="STKaiti"/>
          <w:lang w:eastAsia="zh-CN"/>
        </w:rPr>
        <w:t>和</w:t>
      </w:r>
      <w:r w:rsidRPr="004B5075">
        <w:rPr>
          <w:rFonts w:eastAsia="STKaiti"/>
          <w:b/>
          <w:lang w:eastAsia="zh-CN"/>
        </w:rPr>
        <w:t>30A</w:t>
      </w:r>
      <w:r w:rsidRPr="00C331FA">
        <w:rPr>
          <w:rFonts w:eastAsia="STKaiti"/>
          <w:lang w:eastAsia="zh-CN"/>
        </w:rPr>
        <w:t>第</w:t>
      </w:r>
      <w:r w:rsidRPr="00C331FA">
        <w:rPr>
          <w:rFonts w:eastAsia="STKaiti"/>
          <w:lang w:eastAsia="zh-CN"/>
        </w:rPr>
        <w:t>4.1.1 </w:t>
      </w:r>
      <w:proofErr w:type="gramStart"/>
      <w:r w:rsidRPr="00C331FA">
        <w:rPr>
          <w:rFonts w:eastAsia="STKaiti"/>
          <w:i/>
          <w:iCs/>
          <w:lang w:eastAsia="zh-CN"/>
        </w:rPr>
        <w:t>a)</w:t>
      </w:r>
      <w:r w:rsidRPr="004B5075">
        <w:rPr>
          <w:rFonts w:eastAsia="STKaiti"/>
          <w:lang w:eastAsia="zh-CN"/>
        </w:rPr>
        <w:t>段进行协调的剩余案例</w:t>
      </w:r>
      <w:proofErr w:type="gramEnd"/>
      <w:r w:rsidRPr="004B5075">
        <w:rPr>
          <w:rFonts w:eastAsia="STKaiti"/>
          <w:lang w:eastAsia="zh-CN"/>
        </w:rPr>
        <w:t>，</w:t>
      </w:r>
      <w:r w:rsidRPr="004B5075">
        <w:rPr>
          <w:rFonts w:eastAsia="STKaiti"/>
          <w:lang w:eastAsia="zh-CN"/>
        </w:rPr>
        <w:t>WRC</w:t>
      </w:r>
      <w:r w:rsidRPr="004B5075">
        <w:rPr>
          <w:rFonts w:eastAsia="STKaiti"/>
          <w:lang w:eastAsia="zh-CN"/>
        </w:rPr>
        <w:noBreakHyphen/>
        <w:t>23</w:t>
      </w:r>
      <w:r w:rsidRPr="004B5075">
        <w:rPr>
          <w:rFonts w:eastAsia="STKaiti"/>
          <w:lang w:eastAsia="zh-CN"/>
        </w:rPr>
        <w:t>批准了以下措施：</w:t>
      </w:r>
    </w:p>
    <w:p w14:paraId="0EB94C1B" w14:textId="19BAF00F" w:rsidR="00EF187A" w:rsidRPr="00AC6E5A" w:rsidRDefault="0081713C" w:rsidP="0081713C">
      <w:pPr>
        <w:pStyle w:val="enumlev1"/>
        <w:rPr>
          <w:i/>
          <w:iCs/>
          <w:lang w:eastAsia="zh-CN"/>
        </w:rPr>
      </w:pPr>
      <w:r w:rsidRPr="00C331FA">
        <w:rPr>
          <w:rFonts w:eastAsia="STKaiti"/>
          <w:i/>
          <w:iCs/>
          <w:lang w:eastAsia="zh-CN"/>
        </w:rPr>
        <w:t>a)</w:t>
      </w:r>
      <w:r w:rsidRPr="00C331FA">
        <w:rPr>
          <w:rFonts w:eastAsia="STKaiti"/>
          <w:lang w:eastAsia="zh-CN"/>
        </w:rPr>
        <w:tab/>
      </w:r>
      <w:r w:rsidRPr="00C331FA">
        <w:rPr>
          <w:rFonts w:eastAsia="STKaiti"/>
          <w:lang w:eastAsia="zh-CN"/>
        </w:rPr>
        <w:t>对于多波束规划指配，如果下行链路单入</w:t>
      </w:r>
      <w:r w:rsidRPr="00C331FA">
        <w:rPr>
          <w:rFonts w:eastAsia="STKaiti"/>
          <w:i/>
          <w:iCs/>
          <w:lang w:eastAsia="zh-CN"/>
        </w:rPr>
        <w:t>C/I</w:t>
      </w:r>
      <w:r w:rsidRPr="00C331FA">
        <w:rPr>
          <w:rFonts w:eastAsia="STKaiti"/>
          <w:lang w:eastAsia="zh-CN"/>
        </w:rPr>
        <w:t>值大于</w:t>
      </w:r>
      <w:r w:rsidRPr="00C331FA">
        <w:rPr>
          <w:rFonts w:eastAsia="STKaiti"/>
          <w:lang w:eastAsia="zh-CN"/>
        </w:rPr>
        <w:t>21 dB</w:t>
      </w:r>
      <w:r w:rsidRPr="00C331FA">
        <w:rPr>
          <w:rFonts w:eastAsia="STKaiti"/>
          <w:lang w:eastAsia="zh-CN"/>
        </w:rPr>
        <w:t>（一个测试点除外，该测试点的单入</w:t>
      </w:r>
      <w:r w:rsidRPr="00C331FA">
        <w:rPr>
          <w:rFonts w:eastAsia="STKaiti"/>
          <w:i/>
          <w:iCs/>
          <w:lang w:eastAsia="zh-CN"/>
        </w:rPr>
        <w:t>C/I</w:t>
      </w:r>
      <w:r w:rsidRPr="00C331FA">
        <w:rPr>
          <w:rFonts w:eastAsia="STKaiti"/>
          <w:lang w:eastAsia="zh-CN"/>
        </w:rPr>
        <w:t>值大于</w:t>
      </w:r>
      <w:r w:rsidRPr="00C331FA">
        <w:rPr>
          <w:rFonts w:eastAsia="STKaiti"/>
          <w:lang w:eastAsia="zh-CN"/>
        </w:rPr>
        <w:t>18 dB</w:t>
      </w:r>
      <w:r w:rsidRPr="00C331FA">
        <w:rPr>
          <w:rFonts w:eastAsia="STKaiti"/>
          <w:lang w:eastAsia="zh-CN"/>
        </w:rPr>
        <w:t>），则第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协调资料和相应的</w:t>
      </w:r>
      <w:r w:rsidRPr="00C331FA">
        <w:rPr>
          <w:rFonts w:eastAsia="STKaiti"/>
          <w:lang w:eastAsia="zh-CN"/>
        </w:rPr>
        <w:t>1</w:t>
      </w:r>
      <w:r w:rsidRPr="00C331FA">
        <w:rPr>
          <w:rFonts w:eastAsia="STKaiti"/>
          <w:lang w:eastAsia="zh-CN"/>
        </w:rPr>
        <w:t>区和</w:t>
      </w:r>
      <w:r w:rsidRPr="00C331FA">
        <w:rPr>
          <w:rFonts w:eastAsia="STKaiti"/>
          <w:lang w:eastAsia="zh-CN"/>
        </w:rPr>
        <w:t>3</w:t>
      </w:r>
      <w:r w:rsidRPr="00C331FA">
        <w:rPr>
          <w:rFonts w:eastAsia="STKaiti"/>
          <w:lang w:eastAsia="zh-CN"/>
        </w:rPr>
        <w:t>区规划频率指配被认为是兼容的。</w:t>
      </w:r>
      <w:r w:rsidRPr="00C331FA">
        <w:rPr>
          <w:rFonts w:eastAsia="STKaiti"/>
          <w:color w:val="000000"/>
          <w:lang w:eastAsia="zh-CN"/>
        </w:rPr>
        <w:t>为了保持按照第</w:t>
      </w:r>
      <w:r w:rsidRPr="00C331FA">
        <w:rPr>
          <w:rFonts w:eastAsia="STKaiti"/>
          <w:lang w:eastAsia="zh-CN"/>
        </w:rPr>
        <w:t>4</w:t>
      </w:r>
      <w:r w:rsidRPr="00C331FA">
        <w:rPr>
          <w:rFonts w:eastAsia="STKaiti"/>
          <w:color w:val="000000"/>
          <w:lang w:eastAsia="zh-CN"/>
        </w:rPr>
        <w:t>条提交的新申报资料对</w:t>
      </w:r>
      <w:r w:rsidRPr="00C331FA">
        <w:rPr>
          <w:rFonts w:eastAsia="STKaiti"/>
          <w:color w:val="000000"/>
          <w:lang w:eastAsia="zh-CN"/>
        </w:rPr>
        <w:t>1</w:t>
      </w:r>
      <w:r w:rsidRPr="00C331FA">
        <w:rPr>
          <w:rFonts w:eastAsia="STKaiti"/>
          <w:color w:val="000000"/>
          <w:lang w:eastAsia="zh-CN"/>
        </w:rPr>
        <w:t>区和</w:t>
      </w:r>
      <w:r w:rsidRPr="00C331FA">
        <w:rPr>
          <w:rFonts w:eastAsia="STKaiti"/>
          <w:color w:val="000000"/>
          <w:lang w:eastAsia="zh-CN"/>
        </w:rPr>
        <w:t>3</w:t>
      </w:r>
      <w:r w:rsidRPr="00C331FA">
        <w:rPr>
          <w:rFonts w:eastAsia="STKaiti"/>
          <w:color w:val="000000"/>
          <w:lang w:eastAsia="zh-CN"/>
        </w:rPr>
        <w:t>区规划频率指配的此类兼容情况具有相同的保护水平，当列表中的</w:t>
      </w:r>
      <w:r w:rsidRPr="00C331FA">
        <w:rPr>
          <w:rFonts w:eastAsia="STKaiti"/>
          <w:lang w:eastAsia="zh-CN"/>
        </w:rPr>
        <w:t>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color w:val="000000"/>
          <w:lang w:eastAsia="zh-CN"/>
        </w:rPr>
        <w:t>的频率指配纳入规划时，</w:t>
      </w:r>
      <w:proofErr w:type="gramStart"/>
      <w:r w:rsidRPr="00C331FA">
        <w:rPr>
          <w:rFonts w:eastAsia="STKaiti"/>
          <w:color w:val="000000"/>
          <w:lang w:eastAsia="zh-CN"/>
        </w:rPr>
        <w:t>不得更新那些</w:t>
      </w:r>
      <w:r w:rsidRPr="00C331FA">
        <w:rPr>
          <w:rFonts w:eastAsia="STKaiti"/>
          <w:lang w:eastAsia="zh-CN"/>
        </w:rPr>
        <w:t>1</w:t>
      </w:r>
      <w:r w:rsidRPr="00C331FA">
        <w:rPr>
          <w:rFonts w:eastAsia="STKaiti"/>
          <w:color w:val="000000"/>
          <w:lang w:eastAsia="zh-CN"/>
        </w:rPr>
        <w:t>区和</w:t>
      </w:r>
      <w:r w:rsidRPr="00C331FA">
        <w:rPr>
          <w:rFonts w:eastAsia="STKaiti"/>
          <w:lang w:eastAsia="zh-CN"/>
        </w:rPr>
        <w:t>3</w:t>
      </w:r>
      <w:r w:rsidRPr="00C331FA">
        <w:rPr>
          <w:rFonts w:eastAsia="STKaiti"/>
          <w:color w:val="000000"/>
          <w:lang w:eastAsia="zh-CN"/>
        </w:rPr>
        <w:t>区规划频率指配的参考形势；</w:t>
      </w:r>
      <w:proofErr w:type="gramEnd"/>
    </w:p>
    <w:p w14:paraId="7B664FE8" w14:textId="77777777" w:rsidR="00AE06CC" w:rsidRDefault="00AE06CC" w:rsidP="00AE06CC">
      <w:pPr>
        <w:pStyle w:val="enumlev1"/>
        <w:rPr>
          <w:i/>
          <w:iCs/>
          <w:lang w:eastAsia="zh-CN"/>
        </w:rPr>
      </w:pPr>
      <w:r>
        <w:rPr>
          <w:i/>
          <w:iCs/>
          <w:lang w:eastAsia="zh-CN"/>
        </w:rPr>
        <w:br w:type="page"/>
      </w:r>
    </w:p>
    <w:p w14:paraId="75A95F54" w14:textId="3878AD25" w:rsidR="00EF187A" w:rsidRPr="00AC6E5A" w:rsidRDefault="0081713C" w:rsidP="00AE06CC">
      <w:pPr>
        <w:pStyle w:val="enumlev1"/>
        <w:rPr>
          <w:i/>
          <w:iCs/>
          <w:lang w:eastAsia="zh-CN"/>
        </w:rPr>
      </w:pPr>
      <w:bookmarkStart w:id="2" w:name="lt_pId322"/>
      <w:r w:rsidRPr="00C331FA">
        <w:rPr>
          <w:rFonts w:eastAsia="STKaiti"/>
          <w:i/>
          <w:iCs/>
          <w:lang w:eastAsia="zh-CN"/>
        </w:rPr>
        <w:lastRenderedPageBreak/>
        <w:t>b)</w:t>
      </w:r>
      <w:bookmarkEnd w:id="2"/>
      <w:r w:rsidRPr="00C331FA">
        <w:rPr>
          <w:rFonts w:eastAsia="STKaiti"/>
          <w:lang w:eastAsia="zh-CN"/>
        </w:rPr>
        <w:tab/>
      </w:r>
      <w:r w:rsidRPr="00C331FA">
        <w:rPr>
          <w:rFonts w:eastAsia="STKaiti"/>
          <w:lang w:eastAsia="zh-CN"/>
        </w:rPr>
        <w:t>对于多波束规划指配，如果馈线链路单入</w:t>
      </w:r>
      <w:r w:rsidRPr="00C331FA">
        <w:rPr>
          <w:rFonts w:eastAsia="STKaiti"/>
          <w:i/>
          <w:iCs/>
          <w:lang w:eastAsia="zh-CN"/>
        </w:rPr>
        <w:t>C</w:t>
      </w:r>
      <w:r w:rsidRPr="00C331FA">
        <w:rPr>
          <w:rFonts w:eastAsia="STKaiti"/>
          <w:lang w:eastAsia="zh-CN"/>
        </w:rPr>
        <w:t>/</w:t>
      </w:r>
      <w:r w:rsidRPr="00C331FA">
        <w:rPr>
          <w:rFonts w:eastAsia="STKaiti"/>
          <w:i/>
          <w:iCs/>
          <w:lang w:eastAsia="zh-CN"/>
        </w:rPr>
        <w:t>I</w:t>
      </w:r>
      <w:r w:rsidRPr="00C331FA">
        <w:rPr>
          <w:rFonts w:eastAsia="STKaiti"/>
          <w:lang w:eastAsia="zh-CN"/>
        </w:rPr>
        <w:t>值大于</w:t>
      </w:r>
      <w:r w:rsidRPr="00C331FA">
        <w:rPr>
          <w:rFonts w:eastAsia="STKaiti"/>
          <w:lang w:eastAsia="zh-CN"/>
        </w:rPr>
        <w:t>27 dB</w:t>
      </w:r>
      <w:r w:rsidRPr="00C331FA">
        <w:rPr>
          <w:rFonts w:eastAsia="STKaiti"/>
          <w:lang w:eastAsia="zh-CN"/>
        </w:rPr>
        <w:t>，则第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协调资料和相应的</w:t>
      </w:r>
      <w:r w:rsidRPr="00C331FA">
        <w:rPr>
          <w:rFonts w:eastAsia="STKaiti"/>
          <w:lang w:eastAsia="zh-CN"/>
        </w:rPr>
        <w:t>1</w:t>
      </w:r>
      <w:r w:rsidRPr="00C331FA">
        <w:rPr>
          <w:rFonts w:eastAsia="STKaiti"/>
          <w:lang w:eastAsia="zh-CN"/>
        </w:rPr>
        <w:t>区和</w:t>
      </w:r>
      <w:r w:rsidRPr="00C331FA">
        <w:rPr>
          <w:rFonts w:eastAsia="STKaiti"/>
          <w:lang w:eastAsia="zh-CN"/>
        </w:rPr>
        <w:t>3</w:t>
      </w:r>
      <w:r w:rsidRPr="00C331FA">
        <w:rPr>
          <w:rFonts w:eastAsia="STKaiti"/>
          <w:lang w:eastAsia="zh-CN"/>
        </w:rPr>
        <w:t>区规划频率指配被视为兼容。为了保持</w:t>
      </w:r>
      <w:r w:rsidRPr="00C331FA">
        <w:rPr>
          <w:rFonts w:eastAsia="STKaiti"/>
          <w:lang w:eastAsia="zh-CN"/>
        </w:rPr>
        <w:t>1</w:t>
      </w:r>
      <w:r w:rsidRPr="00C331FA">
        <w:rPr>
          <w:rFonts w:eastAsia="STKaiti"/>
          <w:lang w:eastAsia="zh-CN"/>
        </w:rPr>
        <w:t>区和</w:t>
      </w:r>
      <w:r w:rsidRPr="00C331FA">
        <w:rPr>
          <w:rFonts w:eastAsia="STKaiti"/>
          <w:lang w:eastAsia="zh-CN"/>
        </w:rPr>
        <w:t>3</w:t>
      </w:r>
      <w:r w:rsidRPr="00C331FA">
        <w:rPr>
          <w:rFonts w:eastAsia="STKaiti"/>
          <w:lang w:eastAsia="zh-CN"/>
        </w:rPr>
        <w:t>区规划频率指配的此类兼容情况相对于按照第</w:t>
      </w:r>
      <w:r w:rsidRPr="00FA2455">
        <w:rPr>
          <w:rFonts w:eastAsia="STKaiti"/>
          <w:lang w:eastAsia="zh-CN"/>
        </w:rPr>
        <w:t>4</w:t>
      </w:r>
      <w:r w:rsidRPr="00C331FA">
        <w:rPr>
          <w:rFonts w:eastAsia="STKaiti"/>
          <w:lang w:eastAsia="zh-CN"/>
        </w:rPr>
        <w:t>条提交的新申报资料具有相同的保护水平，当列表中的第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的指配纳入规划时，不得更新那些</w:t>
      </w:r>
      <w:r w:rsidRPr="00C331FA">
        <w:rPr>
          <w:rFonts w:eastAsia="STKaiti"/>
          <w:lang w:eastAsia="zh-CN"/>
        </w:rPr>
        <w:t>1</w:t>
      </w:r>
      <w:r w:rsidRPr="00C331FA">
        <w:rPr>
          <w:rFonts w:eastAsia="STKaiti"/>
          <w:lang w:eastAsia="zh-CN"/>
        </w:rPr>
        <w:t>区和</w:t>
      </w:r>
      <w:r w:rsidRPr="00C331FA">
        <w:rPr>
          <w:rFonts w:eastAsia="STKaiti"/>
          <w:lang w:eastAsia="zh-CN"/>
        </w:rPr>
        <w:t>3</w:t>
      </w:r>
      <w:r w:rsidRPr="00C331FA">
        <w:rPr>
          <w:rFonts w:eastAsia="STKaiti"/>
          <w:lang w:eastAsia="zh-CN"/>
        </w:rPr>
        <w:t>区规划频率指配的参考形势。</w:t>
      </w:r>
    </w:p>
    <w:p w14:paraId="26C8F2B8" w14:textId="77777777" w:rsidR="0081713C" w:rsidRPr="00C331FA" w:rsidRDefault="0081713C" w:rsidP="0081713C">
      <w:pPr>
        <w:keepNext/>
        <w:keepLines/>
        <w:rPr>
          <w:rFonts w:eastAsia="STKaiti"/>
          <w:lang w:eastAsia="zh-CN"/>
        </w:rPr>
      </w:pPr>
      <w:r w:rsidRPr="00C331FA">
        <w:rPr>
          <w:rFonts w:eastAsia="STKaiti"/>
          <w:lang w:eastAsia="zh-CN"/>
        </w:rPr>
        <w:t>5</w:t>
      </w:r>
      <w:r w:rsidRPr="00C331FA">
        <w:rPr>
          <w:rFonts w:eastAsia="STKaiti"/>
          <w:lang w:eastAsia="zh-CN"/>
        </w:rPr>
        <w:tab/>
      </w:r>
      <w:r w:rsidRPr="00C331FA">
        <w:rPr>
          <w:rFonts w:eastAsia="STKaiti"/>
          <w:lang w:eastAsia="zh-CN"/>
        </w:rPr>
        <w:t>责成无线电通信局：</w:t>
      </w:r>
    </w:p>
    <w:p w14:paraId="06143173" w14:textId="77777777" w:rsidR="0081713C" w:rsidRPr="00C331FA" w:rsidRDefault="0081713C" w:rsidP="0081713C">
      <w:pPr>
        <w:pStyle w:val="enumlev1"/>
        <w:keepNext/>
        <w:keepLines/>
        <w:rPr>
          <w:rFonts w:eastAsia="STKaiti"/>
          <w:lang w:eastAsia="zh-CN"/>
        </w:rPr>
      </w:pPr>
      <w:r w:rsidRPr="00C331FA">
        <w:rPr>
          <w:rFonts w:eastAsia="STKaiti"/>
          <w:i/>
          <w:iCs/>
          <w:lang w:eastAsia="zh-CN"/>
        </w:rPr>
        <w:t>a)</w:t>
      </w:r>
      <w:r w:rsidRPr="00C331FA">
        <w:rPr>
          <w:rFonts w:eastAsia="STKaiti"/>
          <w:lang w:eastAsia="zh-CN"/>
        </w:rPr>
        <w:tab/>
      </w:r>
      <w:r w:rsidRPr="00C331FA">
        <w:rPr>
          <w:rFonts w:eastAsia="STKaiti"/>
          <w:lang w:eastAsia="zh-CN"/>
        </w:rPr>
        <w:t>考虑到上述所有建议，包括</w:t>
      </w:r>
      <w:r w:rsidRPr="00C331FA">
        <w:rPr>
          <w:rFonts w:eastAsia="STKaiti"/>
          <w:lang w:eastAsia="zh-CN"/>
        </w:rPr>
        <w:t>RRB</w:t>
      </w:r>
      <w:r w:rsidRPr="00C331FA">
        <w:rPr>
          <w:rFonts w:eastAsia="STKaiti"/>
          <w:lang w:eastAsia="zh-CN"/>
        </w:rPr>
        <w:t>和无线电通信局的建议，审查所有剩余协调案例的状况。在这方面，对于根据附录</w:t>
      </w:r>
      <w:r w:rsidRPr="00C331FA">
        <w:rPr>
          <w:rFonts w:eastAsia="STKaiti"/>
          <w:b/>
          <w:lang w:eastAsia="zh-CN"/>
        </w:rPr>
        <w:t>30</w:t>
      </w:r>
      <w:r w:rsidRPr="00FA2455">
        <w:rPr>
          <w:rFonts w:eastAsia="STKaiti"/>
          <w:lang w:eastAsia="zh-CN"/>
        </w:rPr>
        <w:t>第</w:t>
      </w:r>
      <w:r w:rsidRPr="00FA2455">
        <w:rPr>
          <w:rFonts w:eastAsia="STKaiti"/>
          <w:lang w:eastAsia="zh-CN"/>
        </w:rPr>
        <w:t>4.1.1</w:t>
      </w:r>
      <w:r>
        <w:rPr>
          <w:rFonts w:eastAsia="STKaiti"/>
          <w:lang w:eastAsia="zh-CN"/>
        </w:rPr>
        <w:t xml:space="preserve"> </w:t>
      </w:r>
      <w:proofErr w:type="gramStart"/>
      <w:r w:rsidRPr="00FA2455">
        <w:rPr>
          <w:rFonts w:eastAsia="STKaiti"/>
          <w:i/>
          <w:iCs/>
          <w:lang w:eastAsia="zh-CN"/>
        </w:rPr>
        <w:t>b)</w:t>
      </w:r>
      <w:r w:rsidRPr="00C331FA">
        <w:rPr>
          <w:rFonts w:eastAsia="STKaiti"/>
          <w:lang w:eastAsia="zh-CN"/>
        </w:rPr>
        <w:t>段进行协调的剩余案例</w:t>
      </w:r>
      <w:proofErr w:type="gramEnd"/>
      <w:r w:rsidRPr="00C331FA">
        <w:rPr>
          <w:rFonts w:eastAsia="STKaiti"/>
          <w:lang w:eastAsia="zh-CN"/>
        </w:rPr>
        <w:t>，如果在考虑到所有上述建议后，只剩下一个测试点可能会受到影响，则对于</w:t>
      </w:r>
      <w:r w:rsidRPr="00C331FA">
        <w:rPr>
          <w:rFonts w:eastAsia="STKaiti"/>
          <w:lang w:eastAsia="zh-CN"/>
        </w:rPr>
        <w:t>2017</w:t>
      </w:r>
      <w:r w:rsidRPr="00C331FA">
        <w:rPr>
          <w:rFonts w:eastAsia="STKaiti"/>
          <w:lang w:eastAsia="zh-CN"/>
        </w:rPr>
        <w:t>年</w:t>
      </w:r>
      <w:r w:rsidRPr="00C331FA">
        <w:rPr>
          <w:rFonts w:eastAsia="STKaiti"/>
          <w:lang w:eastAsia="zh-CN"/>
        </w:rPr>
        <w:t>1</w:t>
      </w:r>
      <w:r w:rsidRPr="00C331FA">
        <w:rPr>
          <w:rFonts w:eastAsia="STKaiti"/>
          <w:lang w:eastAsia="zh-CN"/>
        </w:rPr>
        <w:t>月</w:t>
      </w:r>
      <w:r w:rsidRPr="00C331FA">
        <w:rPr>
          <w:rFonts w:eastAsia="STKaiti"/>
          <w:lang w:eastAsia="zh-CN"/>
        </w:rPr>
        <w:t>1</w:t>
      </w:r>
      <w:r w:rsidRPr="00C331FA">
        <w:rPr>
          <w:rFonts w:eastAsia="STKaiti"/>
          <w:lang w:eastAsia="zh-CN"/>
        </w:rPr>
        <w:t>日或之后登入列表的受影响指配，</w:t>
      </w:r>
      <w:proofErr w:type="gramStart"/>
      <w:r w:rsidRPr="00C331FA">
        <w:rPr>
          <w:rFonts w:eastAsia="STKaiti"/>
          <w:lang w:eastAsia="zh-CN"/>
        </w:rPr>
        <w:t>视为协调已完成；</w:t>
      </w:r>
      <w:proofErr w:type="gramEnd"/>
    </w:p>
    <w:p w14:paraId="1F2281DE" w14:textId="4FB9A985" w:rsidR="008416FB" w:rsidRPr="00614B7E" w:rsidRDefault="0081713C" w:rsidP="0081713C">
      <w:pPr>
        <w:pStyle w:val="enumlev1"/>
        <w:rPr>
          <w:i/>
          <w:iCs/>
        </w:rPr>
      </w:pPr>
      <w:r w:rsidRPr="00C331FA">
        <w:rPr>
          <w:rFonts w:eastAsia="STKaiti"/>
          <w:i/>
          <w:iCs/>
          <w:lang w:eastAsia="zh-CN"/>
        </w:rPr>
        <w:t>b)</w:t>
      </w:r>
      <w:r w:rsidRPr="00C331FA">
        <w:rPr>
          <w:rFonts w:eastAsia="STKaiti"/>
          <w:i/>
          <w:iCs/>
          <w:lang w:eastAsia="zh-CN"/>
        </w:rPr>
        <w:tab/>
      </w:r>
      <w:r w:rsidRPr="00C331FA">
        <w:rPr>
          <w:rFonts w:eastAsia="STKaiti"/>
          <w:lang w:eastAsia="zh-CN"/>
        </w:rPr>
        <w:t>将</w:t>
      </w:r>
      <w:r w:rsidRPr="00C331FA">
        <w:rPr>
          <w:rFonts w:eastAsia="STKaiti"/>
          <w:lang w:eastAsia="zh-CN"/>
        </w:rPr>
        <w:t>WRC</w:t>
      </w:r>
      <w:r w:rsidRPr="00C331FA">
        <w:rPr>
          <w:rFonts w:eastAsia="STKaiti"/>
          <w:lang w:eastAsia="zh-CN"/>
        </w:rPr>
        <w:noBreakHyphen/>
        <w:t>23</w:t>
      </w:r>
      <w:r w:rsidRPr="00C331FA">
        <w:rPr>
          <w:rFonts w:eastAsia="STKaiti"/>
          <w:lang w:eastAsia="zh-CN"/>
        </w:rPr>
        <w:t>批准的所有措施应用于阿富汗、赤道几内亚、马耳他和塞舌尔主管部门提交的第</w:t>
      </w:r>
      <w:r w:rsidRPr="00C331FA">
        <w:rPr>
          <w:rFonts w:eastAsia="STKaiti"/>
          <w:b/>
          <w:lang w:eastAsia="zh-CN"/>
        </w:rPr>
        <w:t>559</w:t>
      </w:r>
      <w:r w:rsidRPr="00C331FA">
        <w:rPr>
          <w:rFonts w:eastAsia="STKaiti"/>
          <w:lang w:eastAsia="zh-CN"/>
        </w:rPr>
        <w:t>号决议申报资料，以及与第</w:t>
      </w:r>
      <w:r w:rsidRPr="00C331FA">
        <w:rPr>
          <w:rFonts w:eastAsia="STKaiti"/>
          <w:b/>
          <w:lang w:eastAsia="zh-CN"/>
        </w:rPr>
        <w:t>559</w:t>
      </w:r>
      <w:r w:rsidRPr="00C331FA">
        <w:rPr>
          <w:rFonts w:eastAsia="STKaiti"/>
          <w:lang w:eastAsia="zh-CN"/>
        </w:rPr>
        <w:t>号决议</w:t>
      </w:r>
      <w:r w:rsidRPr="00C331FA">
        <w:rPr>
          <w:rFonts w:eastAsia="STKaiti"/>
          <w:b/>
          <w:lang w:eastAsia="zh-CN"/>
        </w:rPr>
        <w:t>（</w:t>
      </w:r>
      <w:r w:rsidRPr="00C331FA">
        <w:rPr>
          <w:rFonts w:eastAsia="STKaiti"/>
          <w:b/>
          <w:lang w:eastAsia="zh-CN"/>
        </w:rPr>
        <w:t>WRC-19</w:t>
      </w:r>
      <w:r w:rsidRPr="00C331FA">
        <w:rPr>
          <w:rFonts w:eastAsia="STKaiti"/>
          <w:b/>
          <w:lang w:eastAsia="zh-CN"/>
        </w:rPr>
        <w:t>）</w:t>
      </w:r>
      <w:r w:rsidRPr="00C331FA">
        <w:rPr>
          <w:rFonts w:eastAsia="STKaiti"/>
          <w:lang w:eastAsia="zh-CN"/>
        </w:rPr>
        <w:t>性质相同的附录</w:t>
      </w:r>
      <w:r w:rsidRPr="00C331FA">
        <w:rPr>
          <w:rFonts w:eastAsia="STKaiti"/>
          <w:b/>
          <w:lang w:eastAsia="zh-CN"/>
        </w:rPr>
        <w:t>30</w:t>
      </w:r>
      <w:r w:rsidRPr="00C331FA">
        <w:rPr>
          <w:rFonts w:eastAsia="STKaiti"/>
          <w:lang w:eastAsia="zh-CN"/>
        </w:rPr>
        <w:t>和</w:t>
      </w:r>
      <w:r w:rsidRPr="00C331FA">
        <w:rPr>
          <w:rFonts w:eastAsia="STKaiti"/>
          <w:b/>
          <w:lang w:eastAsia="zh-CN"/>
        </w:rPr>
        <w:t>30A</w:t>
      </w:r>
      <w:r w:rsidRPr="00FA2455">
        <w:rPr>
          <w:rFonts w:eastAsia="STKaiti"/>
          <w:lang w:eastAsia="zh-CN"/>
        </w:rPr>
        <w:t>第</w:t>
      </w:r>
      <w:r w:rsidRPr="00FA2455">
        <w:rPr>
          <w:rFonts w:eastAsia="STKaiti"/>
          <w:lang w:eastAsia="zh-CN"/>
        </w:rPr>
        <w:t>4</w:t>
      </w:r>
      <w:r w:rsidRPr="00FA2455">
        <w:rPr>
          <w:rFonts w:eastAsia="STKaiti"/>
          <w:lang w:eastAsia="zh-CN"/>
        </w:rPr>
        <w:t>条第</w:t>
      </w:r>
      <w:r w:rsidRPr="00FA2455">
        <w:rPr>
          <w:rFonts w:eastAsia="STKaiti"/>
          <w:lang w:eastAsia="zh-CN"/>
        </w:rPr>
        <w:t>4.1.26</w:t>
      </w:r>
      <w:r w:rsidRPr="00FA2455">
        <w:rPr>
          <w:rFonts w:eastAsia="STKaiti"/>
          <w:lang w:eastAsia="zh-CN"/>
        </w:rPr>
        <w:t>或</w:t>
      </w:r>
      <w:r w:rsidRPr="00FA2455">
        <w:rPr>
          <w:rFonts w:eastAsia="STKaiti"/>
          <w:lang w:eastAsia="zh-CN"/>
        </w:rPr>
        <w:t>4.1.27</w:t>
      </w:r>
      <w:r w:rsidRPr="00C331FA">
        <w:rPr>
          <w:rFonts w:eastAsia="STKaiti"/>
          <w:lang w:eastAsia="zh-CN"/>
        </w:rPr>
        <w:t>节未来的应用。</w:t>
      </w:r>
      <w:r w:rsidRPr="00C331FA">
        <w:rPr>
          <w:rFonts w:ascii="SimSun" w:eastAsia="SimSun" w:hAnsi="SimSun"/>
        </w:rPr>
        <w:t>”</w:t>
      </w: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AE06CC"/>
    <w:p w14:paraId="06DC0DF3" w14:textId="77777777" w:rsidR="00AE06CC" w:rsidRDefault="00AE06CC" w:rsidP="00AE06CC"/>
    <w:p w14:paraId="54325ED1" w14:textId="77777777" w:rsidR="00AE06CC" w:rsidRDefault="00AE06CC" w:rsidP="00AE06CC"/>
    <w:p w14:paraId="751C62C9" w14:textId="77777777" w:rsidR="00AE06CC" w:rsidRDefault="00AE06CC" w:rsidP="00AE06CC"/>
    <w:p w14:paraId="66640CCC" w14:textId="77777777" w:rsidR="00AE06CC" w:rsidRDefault="00AE06CC" w:rsidP="00AE06CC"/>
    <w:p w14:paraId="230012E8" w14:textId="77777777" w:rsidR="00AE06CC" w:rsidRDefault="00AE06CC" w:rsidP="00AE06CC"/>
    <w:p w14:paraId="7F5B8AC6" w14:textId="77777777" w:rsidR="00AE06CC" w:rsidRDefault="00AE06CC" w:rsidP="00AE06CC"/>
    <w:p w14:paraId="556F079E" w14:textId="77777777" w:rsidR="00AE06CC" w:rsidRDefault="00AE06CC" w:rsidP="00AE06CC"/>
    <w:p w14:paraId="2968F813" w14:textId="77777777" w:rsidR="00AE06CC" w:rsidRDefault="00AE06CC" w:rsidP="00AE06CC"/>
    <w:p w14:paraId="4C2B0AF5" w14:textId="77777777" w:rsidR="00AE06CC" w:rsidRDefault="00AE06CC" w:rsidP="00AE06CC"/>
    <w:p w14:paraId="21B55134" w14:textId="77777777" w:rsidR="005E5A1F" w:rsidRDefault="005E5A1F" w:rsidP="004C01D1">
      <w:pPr>
        <w:sectPr w:rsidR="005E5A1F" w:rsidSect="004C01D1">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1701" w:right="851" w:bottom="1134" w:left="1985" w:header="720" w:footer="482" w:gutter="0"/>
          <w:cols w:space="720"/>
          <w:vAlign w:val="both"/>
          <w:titlePg/>
        </w:sectPr>
      </w:pPr>
    </w:p>
    <w:p w14:paraId="7EEDD934" w14:textId="77777777" w:rsidR="00770297" w:rsidRPr="004C01D1" w:rsidRDefault="00770297" w:rsidP="004C01D1"/>
    <w:sectPr w:rsidR="00770297" w:rsidRPr="004C01D1" w:rsidSect="004C01D1">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9F08" w14:textId="77777777" w:rsidR="0089733D" w:rsidRDefault="0089733D">
      <w:r>
        <w:separator/>
      </w:r>
    </w:p>
  </w:endnote>
  <w:endnote w:type="continuationSeparator" w:id="0">
    <w:p w14:paraId="57FD43C8" w14:textId="77777777" w:rsidR="0089733D" w:rsidRDefault="0089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2F35" w14:textId="77777777" w:rsidR="007F10B2" w:rsidRDefault="007F1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4739" w14:textId="77777777" w:rsidR="007F10B2" w:rsidRDefault="007F1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7C19" w14:textId="77777777" w:rsidR="007F10B2" w:rsidRDefault="007F1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8F89" w14:textId="77777777" w:rsidR="0089733D" w:rsidRDefault="0089733D">
      <w:r>
        <w:rPr>
          <w:b/>
        </w:rPr>
        <w:t>_______________</w:t>
      </w:r>
    </w:p>
  </w:footnote>
  <w:footnote w:type="continuationSeparator" w:id="0">
    <w:p w14:paraId="74F0CD1A" w14:textId="77777777" w:rsidR="0089733D" w:rsidRDefault="0089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1419" w14:paraId="03DDA45E" w14:textId="77777777" w:rsidTr="000B2FF0">
      <w:trPr>
        <w:cantSplit/>
      </w:trPr>
      <w:tc>
        <w:tcPr>
          <w:tcW w:w="1701" w:type="dxa"/>
          <w:tcBorders>
            <w:top w:val="single" w:sz="6" w:space="0" w:color="auto"/>
            <w:left w:val="single" w:sz="6" w:space="0" w:color="auto"/>
            <w:bottom w:val="single" w:sz="6" w:space="0" w:color="auto"/>
            <w:right w:val="single" w:sz="6" w:space="0" w:color="auto"/>
          </w:tcBorders>
        </w:tcPr>
        <w:p w14:paraId="025D62A7" w14:textId="2F78CCB9" w:rsidR="004C1419" w:rsidRDefault="004C1419" w:rsidP="004C1419">
          <w:pPr>
            <w:pStyle w:val="HeaderRegProc"/>
            <w:rPr>
              <w:lang w:val="en-US"/>
            </w:rPr>
          </w:pPr>
          <w:r w:rsidRPr="004C1419">
            <w:rPr>
              <w:rFonts w:eastAsia="SimSun"/>
            </w:rPr>
            <w:t xml:space="preserve">A1 </w:t>
          </w:r>
          <w:r w:rsidRPr="004C1419">
            <w:rPr>
              <w:rFonts w:eastAsia="SimSun"/>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9E5B69" w14:textId="27DB67FB" w:rsidR="004C1419" w:rsidRDefault="004C1419" w:rsidP="004C1419">
          <w:pPr>
            <w:pStyle w:val="HeaderRegProc"/>
            <w:rPr>
              <w:lang w:val="en-US"/>
            </w:rPr>
          </w:pPr>
          <w:r w:rsidRPr="004C1419">
            <w:rPr>
              <w:rFonts w:eastAsia="SimSun"/>
            </w:rPr>
            <w:t>RES559</w:t>
          </w:r>
        </w:p>
      </w:tc>
      <w:tc>
        <w:tcPr>
          <w:tcW w:w="1701" w:type="dxa"/>
          <w:tcBorders>
            <w:top w:val="single" w:sz="6" w:space="0" w:color="auto"/>
            <w:left w:val="single" w:sz="6" w:space="0" w:color="auto"/>
            <w:bottom w:val="single" w:sz="6" w:space="0" w:color="auto"/>
            <w:right w:val="single" w:sz="6" w:space="0" w:color="auto"/>
          </w:tcBorders>
        </w:tcPr>
        <w:p w14:paraId="7D25B491" w14:textId="164DF508" w:rsidR="004C1419" w:rsidRDefault="004C1419" w:rsidP="004C1419">
          <w:pPr>
            <w:pStyle w:val="HeaderRegProc"/>
            <w:rPr>
              <w:lang w:val="fr-CH"/>
            </w:rPr>
          </w:pPr>
          <w:r w:rsidRPr="004C1419">
            <w:rPr>
              <w:rFonts w:hint="eastAsia"/>
              <w:lang w:val="fr-FR" w:eastAsia="zh-CN"/>
            </w:rPr>
            <w:t>第</w:t>
          </w:r>
          <w:r w:rsidRPr="004C1419">
            <w:rPr>
              <w:lang w:val="fr-FR"/>
            </w:rPr>
            <w:t xml:space="preserve"> </w:t>
          </w:r>
          <w:r w:rsidRPr="004C1419">
            <w:rPr>
              <w:rStyle w:val="PageNumber"/>
            </w:rPr>
            <w:fldChar w:fldCharType="begin"/>
          </w:r>
          <w:r w:rsidRPr="004C1419">
            <w:rPr>
              <w:rStyle w:val="PageNumber"/>
            </w:rPr>
            <w:instrText xml:space="preserve"> PAGE </w:instrText>
          </w:r>
          <w:r w:rsidRPr="004C1419">
            <w:rPr>
              <w:rStyle w:val="PageNumber"/>
            </w:rPr>
            <w:fldChar w:fldCharType="separate"/>
          </w:r>
          <w:r w:rsidRPr="004C1419">
            <w:rPr>
              <w:rStyle w:val="PageNumber"/>
            </w:rPr>
            <w:t>1</w:t>
          </w:r>
          <w:r w:rsidRPr="004C1419">
            <w:rPr>
              <w:rStyle w:val="PageNumber"/>
            </w:rPr>
            <w:fldChar w:fldCharType="end"/>
          </w:r>
          <w:r w:rsidRPr="004C1419">
            <w:rPr>
              <w:rStyle w:val="PageNumber"/>
            </w:rPr>
            <w:t xml:space="preserve"> </w:t>
          </w:r>
          <w:r w:rsidRPr="004C1419">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A8D2553" w14:textId="5C931E90" w:rsidR="004C1419" w:rsidRDefault="004C1419" w:rsidP="004C1419">
          <w:pPr>
            <w:pStyle w:val="HeaderRegProc"/>
            <w:rPr>
              <w:lang w:val="fr-CH"/>
            </w:rPr>
          </w:pPr>
          <w:r w:rsidRPr="004C1419">
            <w:rPr>
              <w:rFonts w:hint="eastAsia"/>
              <w:lang w:val="fr-CH" w:eastAsia="zh-CN"/>
            </w:rPr>
            <w:t>修订</w:t>
          </w:r>
          <w:r w:rsidRPr="004C1419">
            <w:rPr>
              <w:lang w:val="fr-CH"/>
            </w:rPr>
            <w:t xml:space="preserve"> -</w:t>
          </w:r>
        </w:p>
      </w:tc>
    </w:tr>
  </w:tbl>
  <w:p w14:paraId="560457DD" w14:textId="77777777" w:rsidR="00A15F12" w:rsidRDefault="00A15F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1419" w:rsidRPr="00A15F12" w14:paraId="194D4014" w14:textId="77777777" w:rsidTr="000B2FF0">
      <w:trPr>
        <w:cantSplit/>
        <w:jc w:val="right"/>
      </w:trPr>
      <w:tc>
        <w:tcPr>
          <w:tcW w:w="1701" w:type="dxa"/>
          <w:tcBorders>
            <w:top w:val="single" w:sz="6" w:space="0" w:color="auto"/>
            <w:left w:val="single" w:sz="6" w:space="0" w:color="auto"/>
            <w:bottom w:val="single" w:sz="6" w:space="0" w:color="auto"/>
            <w:right w:val="single" w:sz="6" w:space="0" w:color="auto"/>
          </w:tcBorders>
        </w:tcPr>
        <w:p w14:paraId="2EB28414" w14:textId="7FED9F2B" w:rsidR="004C1419" w:rsidRPr="00A15F12" w:rsidRDefault="004C1419" w:rsidP="004C1419">
          <w:pPr>
            <w:tabs>
              <w:tab w:val="clear" w:pos="1134"/>
              <w:tab w:val="clear" w:pos="1871"/>
              <w:tab w:val="clear" w:pos="2268"/>
              <w:tab w:val="center" w:pos="4678"/>
              <w:tab w:val="right" w:pos="9356"/>
            </w:tabs>
            <w:spacing w:before="4"/>
            <w:ind w:left="142"/>
            <w:rPr>
              <w:rFonts w:ascii="Arial" w:eastAsia="Times New Roman" w:hAnsi="Arial" w:cs="Arial"/>
              <w:bCs/>
              <w:sz w:val="20"/>
              <w:lang w:val="es-ES"/>
            </w:rPr>
          </w:pPr>
          <w:r w:rsidRPr="004C1419">
            <w:rPr>
              <w:rFonts w:ascii="Arial" w:eastAsia="SimSun" w:hAnsi="Arial" w:cs="Arial"/>
              <w:sz w:val="20"/>
            </w:rPr>
            <w:t xml:space="preserve">A1 </w:t>
          </w:r>
          <w:r w:rsidRPr="004C1419">
            <w:rPr>
              <w:rFonts w:ascii="Arial" w:eastAsia="SimSun" w:hAnsi="Arial" w:cs="Arial"/>
              <w:sz w:val="2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81D127" w14:textId="51C41955" w:rsidR="004C1419" w:rsidRPr="00A15F12" w:rsidRDefault="004C1419" w:rsidP="004C1419">
          <w:pPr>
            <w:tabs>
              <w:tab w:val="clear" w:pos="1134"/>
              <w:tab w:val="clear" w:pos="1871"/>
              <w:tab w:val="clear" w:pos="2268"/>
              <w:tab w:val="center" w:pos="4678"/>
              <w:tab w:val="right" w:pos="9356"/>
            </w:tabs>
            <w:spacing w:before="4"/>
            <w:ind w:left="142"/>
            <w:rPr>
              <w:rFonts w:ascii="Arial" w:eastAsia="Times New Roman" w:hAnsi="Arial" w:cs="Arial"/>
              <w:bCs/>
              <w:sz w:val="20"/>
              <w:lang w:val="en-US"/>
            </w:rPr>
          </w:pPr>
          <w:r w:rsidRPr="004C1419">
            <w:rPr>
              <w:rFonts w:ascii="Arial" w:eastAsia="SimSun" w:hAnsi="Arial" w:cs="Arial"/>
              <w:bCs/>
              <w:sz w:val="20"/>
              <w:lang w:val="es-ES"/>
            </w:rPr>
            <w:t>RES559</w:t>
          </w:r>
        </w:p>
      </w:tc>
      <w:tc>
        <w:tcPr>
          <w:tcW w:w="1701" w:type="dxa"/>
          <w:tcBorders>
            <w:top w:val="single" w:sz="6" w:space="0" w:color="auto"/>
            <w:left w:val="single" w:sz="6" w:space="0" w:color="auto"/>
            <w:bottom w:val="single" w:sz="6" w:space="0" w:color="auto"/>
            <w:right w:val="single" w:sz="6" w:space="0" w:color="auto"/>
          </w:tcBorders>
        </w:tcPr>
        <w:p w14:paraId="3C418F7F" w14:textId="5FF3A5B6" w:rsidR="004C1419" w:rsidRPr="00A15F12" w:rsidRDefault="004C1419" w:rsidP="004C1419">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sidRPr="004C1419">
            <w:rPr>
              <w:rFonts w:hint="eastAsia"/>
              <w:sz w:val="20"/>
              <w:lang w:val="fr-FR" w:eastAsia="zh-CN"/>
            </w:rPr>
            <w:t>第</w:t>
          </w:r>
          <w:r w:rsidRPr="004C1419">
            <w:rPr>
              <w:sz w:val="20"/>
              <w:lang w:val="fr-FR"/>
            </w:rPr>
            <w:t xml:space="preserve"> </w:t>
          </w:r>
          <w:r w:rsidRPr="004C1419">
            <w:rPr>
              <w:rStyle w:val="PageNumber"/>
              <w:sz w:val="20"/>
            </w:rPr>
            <w:fldChar w:fldCharType="begin"/>
          </w:r>
          <w:r w:rsidRPr="004C1419">
            <w:rPr>
              <w:rStyle w:val="PageNumber"/>
              <w:sz w:val="20"/>
            </w:rPr>
            <w:instrText xml:space="preserve"> PAGE </w:instrText>
          </w:r>
          <w:r w:rsidRPr="004C1419">
            <w:rPr>
              <w:rStyle w:val="PageNumber"/>
              <w:sz w:val="20"/>
            </w:rPr>
            <w:fldChar w:fldCharType="separate"/>
          </w:r>
          <w:r w:rsidRPr="004C1419">
            <w:rPr>
              <w:rStyle w:val="PageNumber"/>
              <w:sz w:val="20"/>
            </w:rPr>
            <w:t>1</w:t>
          </w:r>
          <w:r w:rsidRPr="004C1419">
            <w:rPr>
              <w:rStyle w:val="PageNumber"/>
              <w:sz w:val="20"/>
            </w:rPr>
            <w:fldChar w:fldCharType="end"/>
          </w:r>
          <w:r w:rsidRPr="004C1419">
            <w:rPr>
              <w:rStyle w:val="PageNumber"/>
              <w:sz w:val="20"/>
            </w:rPr>
            <w:t xml:space="preserve"> </w:t>
          </w:r>
          <w:r w:rsidRPr="004C1419">
            <w:rPr>
              <w:rStyle w:val="PageNumber"/>
              <w:rFonts w:hint="eastAsia"/>
              <w:sz w:val="2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2ADC2B" w14:textId="442DE29E" w:rsidR="004C1419" w:rsidRPr="00A15F12" w:rsidRDefault="004C1419" w:rsidP="004C1419">
          <w:pPr>
            <w:tabs>
              <w:tab w:val="clear" w:pos="1134"/>
              <w:tab w:val="clear" w:pos="1871"/>
              <w:tab w:val="clear" w:pos="2268"/>
              <w:tab w:val="center" w:pos="4678"/>
              <w:tab w:val="right" w:pos="9356"/>
            </w:tabs>
            <w:spacing w:before="4"/>
            <w:ind w:left="142"/>
            <w:rPr>
              <w:rFonts w:ascii="Arial" w:eastAsia="Times New Roman" w:hAnsi="Arial" w:cs="Arial"/>
              <w:bCs/>
              <w:sz w:val="20"/>
              <w:lang w:val="fr-CH"/>
            </w:rPr>
          </w:pPr>
          <w:r w:rsidRPr="004C1419">
            <w:rPr>
              <w:rFonts w:hint="eastAsia"/>
              <w:sz w:val="20"/>
              <w:lang w:val="fr-CH" w:eastAsia="zh-CN"/>
            </w:rPr>
            <w:t>修订</w:t>
          </w:r>
          <w:r w:rsidRPr="004C1419">
            <w:rPr>
              <w:sz w:val="20"/>
              <w:lang w:val="fr-CH"/>
            </w:rPr>
            <w:t xml:space="preserve"> -</w:t>
          </w:r>
        </w:p>
      </w:tc>
    </w:tr>
  </w:tbl>
  <w:p w14:paraId="76A7C83B" w14:textId="77777777" w:rsidR="00A15F12" w:rsidRDefault="00A15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5F12" w:rsidRPr="00A15F12" w14:paraId="66AD3C4B" w14:textId="77777777" w:rsidTr="000B2FF0">
      <w:trPr>
        <w:cantSplit/>
        <w:jc w:val="right"/>
      </w:trPr>
      <w:tc>
        <w:tcPr>
          <w:tcW w:w="1701" w:type="dxa"/>
          <w:tcBorders>
            <w:top w:val="single" w:sz="6" w:space="0" w:color="auto"/>
            <w:left w:val="single" w:sz="6" w:space="0" w:color="auto"/>
            <w:bottom w:val="single" w:sz="6" w:space="0" w:color="auto"/>
            <w:right w:val="single" w:sz="6" w:space="0" w:color="auto"/>
          </w:tcBorders>
        </w:tcPr>
        <w:p w14:paraId="75486CC0" w14:textId="42D660E5" w:rsidR="00A15F12" w:rsidRPr="004C1419" w:rsidRDefault="007F10B2" w:rsidP="00A15F12">
          <w:pPr>
            <w:tabs>
              <w:tab w:val="clear" w:pos="1134"/>
              <w:tab w:val="clear" w:pos="1871"/>
              <w:tab w:val="clear" w:pos="2268"/>
              <w:tab w:val="center" w:pos="4678"/>
              <w:tab w:val="right" w:pos="9356"/>
            </w:tabs>
            <w:spacing w:before="4"/>
            <w:ind w:left="142"/>
            <w:rPr>
              <w:rFonts w:ascii="Arial" w:eastAsia="SimSun" w:hAnsi="Arial" w:cs="Arial"/>
              <w:bCs/>
              <w:sz w:val="20"/>
              <w:lang w:val="es-ES"/>
            </w:rPr>
          </w:pPr>
          <w:r w:rsidRPr="004C1419">
            <w:rPr>
              <w:rFonts w:ascii="Arial" w:eastAsia="SimSun" w:hAnsi="Arial" w:cs="Arial"/>
              <w:sz w:val="20"/>
            </w:rPr>
            <w:t xml:space="preserve">A1 </w:t>
          </w:r>
          <w:r w:rsidRPr="004C1419">
            <w:rPr>
              <w:rFonts w:ascii="Arial" w:eastAsia="SimSun" w:hAnsi="Arial" w:cs="Arial"/>
              <w:sz w:val="2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80F8BC" w14:textId="08191D34" w:rsidR="00A15F12" w:rsidRPr="004C1419" w:rsidRDefault="00A15F12" w:rsidP="00A15F12">
          <w:pPr>
            <w:tabs>
              <w:tab w:val="clear" w:pos="1134"/>
              <w:tab w:val="clear" w:pos="1871"/>
              <w:tab w:val="clear" w:pos="2268"/>
              <w:tab w:val="center" w:pos="4678"/>
              <w:tab w:val="right" w:pos="9356"/>
            </w:tabs>
            <w:spacing w:before="4"/>
            <w:ind w:left="142"/>
            <w:rPr>
              <w:rFonts w:ascii="Arial" w:eastAsia="SimSun" w:hAnsi="Arial" w:cs="Arial"/>
              <w:bCs/>
              <w:sz w:val="20"/>
              <w:lang w:val="en-US"/>
            </w:rPr>
          </w:pPr>
          <w:r w:rsidRPr="004C1419">
            <w:rPr>
              <w:rFonts w:ascii="Arial" w:eastAsia="SimSun" w:hAnsi="Arial" w:cs="Arial"/>
              <w:bCs/>
              <w:sz w:val="20"/>
              <w:lang w:val="es-ES"/>
            </w:rPr>
            <w:t>RES559</w:t>
          </w:r>
        </w:p>
      </w:tc>
      <w:tc>
        <w:tcPr>
          <w:tcW w:w="1701" w:type="dxa"/>
          <w:tcBorders>
            <w:top w:val="single" w:sz="6" w:space="0" w:color="auto"/>
            <w:left w:val="single" w:sz="6" w:space="0" w:color="auto"/>
            <w:bottom w:val="single" w:sz="6" w:space="0" w:color="auto"/>
            <w:right w:val="single" w:sz="6" w:space="0" w:color="auto"/>
          </w:tcBorders>
        </w:tcPr>
        <w:p w14:paraId="4CD32F38" w14:textId="4FDA72A8" w:rsidR="00A15F12" w:rsidRPr="004C1419" w:rsidRDefault="005E027C" w:rsidP="00A15F12">
          <w:pPr>
            <w:tabs>
              <w:tab w:val="clear" w:pos="1134"/>
              <w:tab w:val="clear" w:pos="1871"/>
              <w:tab w:val="clear" w:pos="2268"/>
              <w:tab w:val="center" w:pos="4678"/>
              <w:tab w:val="right" w:pos="9356"/>
            </w:tabs>
            <w:spacing w:before="4"/>
            <w:ind w:left="142"/>
            <w:rPr>
              <w:rFonts w:ascii="Arial" w:eastAsia="SimSun" w:hAnsi="Arial" w:cs="Arial"/>
              <w:bCs/>
              <w:sz w:val="20"/>
              <w:lang w:val="fr-CH"/>
            </w:rPr>
          </w:pPr>
          <w:r w:rsidRPr="004C1419">
            <w:rPr>
              <w:rFonts w:hint="eastAsia"/>
              <w:sz w:val="20"/>
              <w:lang w:val="fr-FR" w:eastAsia="zh-CN"/>
            </w:rPr>
            <w:t>第</w:t>
          </w:r>
          <w:r w:rsidRPr="004C1419">
            <w:rPr>
              <w:sz w:val="20"/>
              <w:lang w:val="fr-FR"/>
            </w:rPr>
            <w:t xml:space="preserve"> </w:t>
          </w:r>
          <w:r w:rsidRPr="004C1419">
            <w:rPr>
              <w:rStyle w:val="PageNumber"/>
              <w:sz w:val="20"/>
            </w:rPr>
            <w:fldChar w:fldCharType="begin"/>
          </w:r>
          <w:r w:rsidRPr="004C1419">
            <w:rPr>
              <w:rStyle w:val="PageNumber"/>
              <w:sz w:val="20"/>
            </w:rPr>
            <w:instrText xml:space="preserve"> PAGE </w:instrText>
          </w:r>
          <w:r w:rsidRPr="004C1419">
            <w:rPr>
              <w:rStyle w:val="PageNumber"/>
              <w:sz w:val="20"/>
            </w:rPr>
            <w:fldChar w:fldCharType="separate"/>
          </w:r>
          <w:r w:rsidRPr="004C1419">
            <w:rPr>
              <w:rStyle w:val="PageNumber"/>
              <w:sz w:val="20"/>
            </w:rPr>
            <w:t>1</w:t>
          </w:r>
          <w:r w:rsidRPr="004C1419">
            <w:rPr>
              <w:rStyle w:val="PageNumber"/>
              <w:sz w:val="20"/>
            </w:rPr>
            <w:fldChar w:fldCharType="end"/>
          </w:r>
          <w:r w:rsidRPr="004C1419">
            <w:rPr>
              <w:rStyle w:val="PageNumber"/>
              <w:sz w:val="20"/>
            </w:rPr>
            <w:t xml:space="preserve"> </w:t>
          </w:r>
          <w:r w:rsidRPr="004C1419">
            <w:rPr>
              <w:rStyle w:val="PageNumber"/>
              <w:rFonts w:hint="eastAsia"/>
              <w:sz w:val="2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CC758F9" w14:textId="374AE112" w:rsidR="00A15F12" w:rsidRPr="004C1419" w:rsidRDefault="004C1419" w:rsidP="00A15F12">
          <w:pPr>
            <w:tabs>
              <w:tab w:val="clear" w:pos="1134"/>
              <w:tab w:val="clear" w:pos="1871"/>
              <w:tab w:val="clear" w:pos="2268"/>
              <w:tab w:val="center" w:pos="4678"/>
              <w:tab w:val="right" w:pos="9356"/>
            </w:tabs>
            <w:spacing w:before="4"/>
            <w:ind w:left="142"/>
            <w:rPr>
              <w:rFonts w:ascii="Arial" w:eastAsia="SimSun" w:hAnsi="Arial" w:cs="Arial"/>
              <w:bCs/>
              <w:sz w:val="20"/>
              <w:lang w:val="fr-CH"/>
            </w:rPr>
          </w:pPr>
          <w:r w:rsidRPr="004C1419">
            <w:rPr>
              <w:rFonts w:hint="eastAsia"/>
              <w:sz w:val="20"/>
              <w:lang w:val="fr-CH" w:eastAsia="zh-CN"/>
            </w:rPr>
            <w:t>修订</w:t>
          </w:r>
          <w:r w:rsidRPr="004C1419">
            <w:rPr>
              <w:sz w:val="20"/>
              <w:lang w:val="fr-CH"/>
            </w:rPr>
            <w:t xml:space="preserve"> -</w:t>
          </w:r>
        </w:p>
      </w:tc>
    </w:tr>
  </w:tbl>
  <w:p w14:paraId="794AC733" w14:textId="77777777" w:rsidR="00781F68" w:rsidRPr="00A15F12" w:rsidRDefault="00781F68" w:rsidP="00A15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FBF6" w14:textId="77777777" w:rsidR="005E5A1F" w:rsidRPr="005E5A1F" w:rsidRDefault="005E5A1F" w:rsidP="005E5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927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297"/>
    <w:rsid w:val="00007102"/>
    <w:rsid w:val="0001013B"/>
    <w:rsid w:val="00023641"/>
    <w:rsid w:val="00025941"/>
    <w:rsid w:val="0004075A"/>
    <w:rsid w:val="00042FFC"/>
    <w:rsid w:val="000505A1"/>
    <w:rsid w:val="0005129B"/>
    <w:rsid w:val="00051441"/>
    <w:rsid w:val="000572F6"/>
    <w:rsid w:val="000840D2"/>
    <w:rsid w:val="000844A0"/>
    <w:rsid w:val="000948D2"/>
    <w:rsid w:val="000A1BE5"/>
    <w:rsid w:val="000A4E28"/>
    <w:rsid w:val="000A569C"/>
    <w:rsid w:val="000B666D"/>
    <w:rsid w:val="000B71B1"/>
    <w:rsid w:val="000E3D7E"/>
    <w:rsid w:val="000F045D"/>
    <w:rsid w:val="0010393F"/>
    <w:rsid w:val="0011479A"/>
    <w:rsid w:val="00135850"/>
    <w:rsid w:val="0013713A"/>
    <w:rsid w:val="00146A89"/>
    <w:rsid w:val="00150B18"/>
    <w:rsid w:val="00151081"/>
    <w:rsid w:val="00156482"/>
    <w:rsid w:val="00163FCE"/>
    <w:rsid w:val="00174860"/>
    <w:rsid w:val="00177C7A"/>
    <w:rsid w:val="00182C8F"/>
    <w:rsid w:val="001838C3"/>
    <w:rsid w:val="00184190"/>
    <w:rsid w:val="001871AC"/>
    <w:rsid w:val="00194F4D"/>
    <w:rsid w:val="0019648A"/>
    <w:rsid w:val="001972B1"/>
    <w:rsid w:val="001B0D25"/>
    <w:rsid w:val="001D5A01"/>
    <w:rsid w:val="001D5FE1"/>
    <w:rsid w:val="002006BB"/>
    <w:rsid w:val="00205278"/>
    <w:rsid w:val="00207A4F"/>
    <w:rsid w:val="00223A66"/>
    <w:rsid w:val="0023244B"/>
    <w:rsid w:val="00232E60"/>
    <w:rsid w:val="002469DA"/>
    <w:rsid w:val="0024763A"/>
    <w:rsid w:val="002519DB"/>
    <w:rsid w:val="00263DCC"/>
    <w:rsid w:val="00264623"/>
    <w:rsid w:val="00267B9C"/>
    <w:rsid w:val="002845B5"/>
    <w:rsid w:val="002C6139"/>
    <w:rsid w:val="002D3821"/>
    <w:rsid w:val="002D6A93"/>
    <w:rsid w:val="002F0850"/>
    <w:rsid w:val="00303FC0"/>
    <w:rsid w:val="00311037"/>
    <w:rsid w:val="00313406"/>
    <w:rsid w:val="003358AB"/>
    <w:rsid w:val="00335EAA"/>
    <w:rsid w:val="003443F7"/>
    <w:rsid w:val="003521B2"/>
    <w:rsid w:val="0036477F"/>
    <w:rsid w:val="00365999"/>
    <w:rsid w:val="00366812"/>
    <w:rsid w:val="00382F73"/>
    <w:rsid w:val="003831E8"/>
    <w:rsid w:val="003A0F9F"/>
    <w:rsid w:val="003A2767"/>
    <w:rsid w:val="003A477C"/>
    <w:rsid w:val="003A48F3"/>
    <w:rsid w:val="003B4528"/>
    <w:rsid w:val="003C04EC"/>
    <w:rsid w:val="003D6283"/>
    <w:rsid w:val="003D7D78"/>
    <w:rsid w:val="003E0B92"/>
    <w:rsid w:val="003E4995"/>
    <w:rsid w:val="003E6EEE"/>
    <w:rsid w:val="003F0E47"/>
    <w:rsid w:val="0040071B"/>
    <w:rsid w:val="00417C49"/>
    <w:rsid w:val="00421D23"/>
    <w:rsid w:val="004249BA"/>
    <w:rsid w:val="004416B5"/>
    <w:rsid w:val="0044598D"/>
    <w:rsid w:val="00450365"/>
    <w:rsid w:val="00453C37"/>
    <w:rsid w:val="004567FB"/>
    <w:rsid w:val="0046017E"/>
    <w:rsid w:val="00485D89"/>
    <w:rsid w:val="00486D63"/>
    <w:rsid w:val="00495F0B"/>
    <w:rsid w:val="004A392A"/>
    <w:rsid w:val="004A3996"/>
    <w:rsid w:val="004B3663"/>
    <w:rsid w:val="004C01D1"/>
    <w:rsid w:val="004C1419"/>
    <w:rsid w:val="004C1773"/>
    <w:rsid w:val="004C605A"/>
    <w:rsid w:val="004D5CB8"/>
    <w:rsid w:val="004F7910"/>
    <w:rsid w:val="0050065C"/>
    <w:rsid w:val="00517720"/>
    <w:rsid w:val="00522754"/>
    <w:rsid w:val="00523779"/>
    <w:rsid w:val="005262F6"/>
    <w:rsid w:val="00533CE9"/>
    <w:rsid w:val="0054680C"/>
    <w:rsid w:val="0055585E"/>
    <w:rsid w:val="00572339"/>
    <w:rsid w:val="005740A3"/>
    <w:rsid w:val="0058269D"/>
    <w:rsid w:val="00583970"/>
    <w:rsid w:val="005905DA"/>
    <w:rsid w:val="0059216D"/>
    <w:rsid w:val="00595DE7"/>
    <w:rsid w:val="005A4646"/>
    <w:rsid w:val="005B28B0"/>
    <w:rsid w:val="005B4CC7"/>
    <w:rsid w:val="005B6B3B"/>
    <w:rsid w:val="005C4805"/>
    <w:rsid w:val="005C5F37"/>
    <w:rsid w:val="005D7351"/>
    <w:rsid w:val="005E027C"/>
    <w:rsid w:val="005E5A1F"/>
    <w:rsid w:val="005F030D"/>
    <w:rsid w:val="005F135F"/>
    <w:rsid w:val="005F2BE0"/>
    <w:rsid w:val="005F2C2D"/>
    <w:rsid w:val="005F4119"/>
    <w:rsid w:val="005F4A3B"/>
    <w:rsid w:val="00602F8C"/>
    <w:rsid w:val="00606DDB"/>
    <w:rsid w:val="00614B7E"/>
    <w:rsid w:val="00617BBF"/>
    <w:rsid w:val="00620D0D"/>
    <w:rsid w:val="006242A5"/>
    <w:rsid w:val="00632623"/>
    <w:rsid w:val="00635A24"/>
    <w:rsid w:val="006544EA"/>
    <w:rsid w:val="0065654E"/>
    <w:rsid w:val="00671703"/>
    <w:rsid w:val="00671D86"/>
    <w:rsid w:val="00672366"/>
    <w:rsid w:val="00682249"/>
    <w:rsid w:val="006878D4"/>
    <w:rsid w:val="0069356C"/>
    <w:rsid w:val="006966D0"/>
    <w:rsid w:val="006A5400"/>
    <w:rsid w:val="006A5FD8"/>
    <w:rsid w:val="006C4990"/>
    <w:rsid w:val="006D72B1"/>
    <w:rsid w:val="006E1644"/>
    <w:rsid w:val="006E2C7C"/>
    <w:rsid w:val="006E7ECD"/>
    <w:rsid w:val="006F31B3"/>
    <w:rsid w:val="006F34D1"/>
    <w:rsid w:val="006F358B"/>
    <w:rsid w:val="006F5BF9"/>
    <w:rsid w:val="007003F8"/>
    <w:rsid w:val="0072463C"/>
    <w:rsid w:val="00747B42"/>
    <w:rsid w:val="00756796"/>
    <w:rsid w:val="007603A2"/>
    <w:rsid w:val="007663AE"/>
    <w:rsid w:val="00770297"/>
    <w:rsid w:val="00781F68"/>
    <w:rsid w:val="00796226"/>
    <w:rsid w:val="00797EF2"/>
    <w:rsid w:val="007B22DA"/>
    <w:rsid w:val="007B5DFF"/>
    <w:rsid w:val="007C54CB"/>
    <w:rsid w:val="007C5B6A"/>
    <w:rsid w:val="007D5348"/>
    <w:rsid w:val="007D7071"/>
    <w:rsid w:val="007E411A"/>
    <w:rsid w:val="007F10B2"/>
    <w:rsid w:val="007F1D4D"/>
    <w:rsid w:val="007F7798"/>
    <w:rsid w:val="0081713C"/>
    <w:rsid w:val="0081784C"/>
    <w:rsid w:val="00832B93"/>
    <w:rsid w:val="008416FB"/>
    <w:rsid w:val="008527A6"/>
    <w:rsid w:val="00860DC9"/>
    <w:rsid w:val="008778E5"/>
    <w:rsid w:val="008779F0"/>
    <w:rsid w:val="008833B5"/>
    <w:rsid w:val="00883BB6"/>
    <w:rsid w:val="0089128F"/>
    <w:rsid w:val="00891820"/>
    <w:rsid w:val="008923CD"/>
    <w:rsid w:val="0089733D"/>
    <w:rsid w:val="008A4CBB"/>
    <w:rsid w:val="008A6CD6"/>
    <w:rsid w:val="008A7D22"/>
    <w:rsid w:val="008B5FFC"/>
    <w:rsid w:val="008C165F"/>
    <w:rsid w:val="008D45D7"/>
    <w:rsid w:val="008E29A7"/>
    <w:rsid w:val="008E2C91"/>
    <w:rsid w:val="008F6413"/>
    <w:rsid w:val="00901A12"/>
    <w:rsid w:val="00902333"/>
    <w:rsid w:val="00902D5B"/>
    <w:rsid w:val="00926738"/>
    <w:rsid w:val="00926B8A"/>
    <w:rsid w:val="009335D4"/>
    <w:rsid w:val="009508E2"/>
    <w:rsid w:val="009525AB"/>
    <w:rsid w:val="00972A88"/>
    <w:rsid w:val="0098040E"/>
    <w:rsid w:val="00984235"/>
    <w:rsid w:val="0098425C"/>
    <w:rsid w:val="009961E4"/>
    <w:rsid w:val="00997078"/>
    <w:rsid w:val="009C7031"/>
    <w:rsid w:val="009D3A15"/>
    <w:rsid w:val="009E2551"/>
    <w:rsid w:val="009F272C"/>
    <w:rsid w:val="009F2BE3"/>
    <w:rsid w:val="009F2C7A"/>
    <w:rsid w:val="00A002B3"/>
    <w:rsid w:val="00A04AE2"/>
    <w:rsid w:val="00A06C3A"/>
    <w:rsid w:val="00A10CAF"/>
    <w:rsid w:val="00A151A4"/>
    <w:rsid w:val="00A15F12"/>
    <w:rsid w:val="00A20DDD"/>
    <w:rsid w:val="00A20ED0"/>
    <w:rsid w:val="00A31C60"/>
    <w:rsid w:val="00A36EF7"/>
    <w:rsid w:val="00A40470"/>
    <w:rsid w:val="00A5073F"/>
    <w:rsid w:val="00A53258"/>
    <w:rsid w:val="00A56E79"/>
    <w:rsid w:val="00A66A9A"/>
    <w:rsid w:val="00A70933"/>
    <w:rsid w:val="00A73986"/>
    <w:rsid w:val="00A77039"/>
    <w:rsid w:val="00A81791"/>
    <w:rsid w:val="00A941D8"/>
    <w:rsid w:val="00A96492"/>
    <w:rsid w:val="00AC5624"/>
    <w:rsid w:val="00AD0698"/>
    <w:rsid w:val="00AD275E"/>
    <w:rsid w:val="00AD577C"/>
    <w:rsid w:val="00AD5FF2"/>
    <w:rsid w:val="00AE06CC"/>
    <w:rsid w:val="00AE4489"/>
    <w:rsid w:val="00B0024F"/>
    <w:rsid w:val="00B019CD"/>
    <w:rsid w:val="00B05B0B"/>
    <w:rsid w:val="00B12797"/>
    <w:rsid w:val="00B2379C"/>
    <w:rsid w:val="00B2509B"/>
    <w:rsid w:val="00B657F0"/>
    <w:rsid w:val="00B714A6"/>
    <w:rsid w:val="00B71895"/>
    <w:rsid w:val="00B71E2C"/>
    <w:rsid w:val="00B80CD7"/>
    <w:rsid w:val="00B8117B"/>
    <w:rsid w:val="00B856D1"/>
    <w:rsid w:val="00B90CF1"/>
    <w:rsid w:val="00B92C7A"/>
    <w:rsid w:val="00B95DB8"/>
    <w:rsid w:val="00B9632D"/>
    <w:rsid w:val="00BA0190"/>
    <w:rsid w:val="00BA061E"/>
    <w:rsid w:val="00BA5758"/>
    <w:rsid w:val="00BC3373"/>
    <w:rsid w:val="00BC5D27"/>
    <w:rsid w:val="00BE487E"/>
    <w:rsid w:val="00BF68B6"/>
    <w:rsid w:val="00C00AC0"/>
    <w:rsid w:val="00C16ABA"/>
    <w:rsid w:val="00C35214"/>
    <w:rsid w:val="00C524EF"/>
    <w:rsid w:val="00C550A7"/>
    <w:rsid w:val="00C55738"/>
    <w:rsid w:val="00C57E8C"/>
    <w:rsid w:val="00C60716"/>
    <w:rsid w:val="00C7013D"/>
    <w:rsid w:val="00C72BDB"/>
    <w:rsid w:val="00C74E81"/>
    <w:rsid w:val="00C76183"/>
    <w:rsid w:val="00C813BE"/>
    <w:rsid w:val="00C861F9"/>
    <w:rsid w:val="00C90475"/>
    <w:rsid w:val="00CA3C64"/>
    <w:rsid w:val="00CA762B"/>
    <w:rsid w:val="00CB70A1"/>
    <w:rsid w:val="00CC27B3"/>
    <w:rsid w:val="00CD035E"/>
    <w:rsid w:val="00CF1065"/>
    <w:rsid w:val="00CF4421"/>
    <w:rsid w:val="00D01657"/>
    <w:rsid w:val="00D14C3E"/>
    <w:rsid w:val="00D34692"/>
    <w:rsid w:val="00D52089"/>
    <w:rsid w:val="00D7040B"/>
    <w:rsid w:val="00D70DEC"/>
    <w:rsid w:val="00D7247F"/>
    <w:rsid w:val="00D7458F"/>
    <w:rsid w:val="00D779B1"/>
    <w:rsid w:val="00D77F81"/>
    <w:rsid w:val="00D9191E"/>
    <w:rsid w:val="00D92D17"/>
    <w:rsid w:val="00D94248"/>
    <w:rsid w:val="00DA6CC0"/>
    <w:rsid w:val="00DB17E2"/>
    <w:rsid w:val="00DC0744"/>
    <w:rsid w:val="00DC79E8"/>
    <w:rsid w:val="00DE25FE"/>
    <w:rsid w:val="00DE57F6"/>
    <w:rsid w:val="00E000C8"/>
    <w:rsid w:val="00E25111"/>
    <w:rsid w:val="00E27AC6"/>
    <w:rsid w:val="00E64CB2"/>
    <w:rsid w:val="00E70951"/>
    <w:rsid w:val="00E70E73"/>
    <w:rsid w:val="00E74D2C"/>
    <w:rsid w:val="00E74DD2"/>
    <w:rsid w:val="00E80958"/>
    <w:rsid w:val="00E810D2"/>
    <w:rsid w:val="00E82238"/>
    <w:rsid w:val="00E84C34"/>
    <w:rsid w:val="00E96383"/>
    <w:rsid w:val="00EB34B4"/>
    <w:rsid w:val="00EC09A4"/>
    <w:rsid w:val="00EC19D3"/>
    <w:rsid w:val="00EC2B1F"/>
    <w:rsid w:val="00EC6453"/>
    <w:rsid w:val="00ED0421"/>
    <w:rsid w:val="00EE02E9"/>
    <w:rsid w:val="00EF187A"/>
    <w:rsid w:val="00EF2E62"/>
    <w:rsid w:val="00F062CD"/>
    <w:rsid w:val="00F06F97"/>
    <w:rsid w:val="00F103FB"/>
    <w:rsid w:val="00F16C2F"/>
    <w:rsid w:val="00F27F59"/>
    <w:rsid w:val="00F350AB"/>
    <w:rsid w:val="00F405E8"/>
    <w:rsid w:val="00F4364B"/>
    <w:rsid w:val="00F6383B"/>
    <w:rsid w:val="00F6639F"/>
    <w:rsid w:val="00F77A30"/>
    <w:rsid w:val="00F85DC6"/>
    <w:rsid w:val="00F95580"/>
    <w:rsid w:val="00FA6FA9"/>
    <w:rsid w:val="00FB5639"/>
    <w:rsid w:val="00FB7754"/>
    <w:rsid w:val="00FC293A"/>
    <w:rsid w:val="00FD03A6"/>
    <w:rsid w:val="00FD1656"/>
    <w:rsid w:val="00FD34E0"/>
    <w:rsid w:val="00FE48AD"/>
    <w:rsid w:val="0B814A8A"/>
    <w:rsid w:val="314A078B"/>
    <w:rsid w:val="41F3E3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122CA"/>
  <w15:docId w15:val="{74380972-9A2B-4422-811D-0CB41842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link w:val="Heading1Char"/>
    <w:qFormat/>
    <w:rsid w:val="00602F8C"/>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uiPriority w:val="99"/>
    <w:rsid w:val="007D5348"/>
    <w:rPr>
      <w:lang w:val="en-GB" w:eastAsia="en-US"/>
    </w:rPr>
  </w:style>
  <w:style w:type="table" w:styleId="TableGrid">
    <w:name w:val="Table Grid"/>
    <w:basedOn w:val="TableNormal"/>
    <w:rsid w:val="008A4CBB"/>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paragraph" w:styleId="Revision">
    <w:name w:val="Revision"/>
    <w:hidden/>
    <w:uiPriority w:val="99"/>
    <w:semiHidden/>
    <w:rsid w:val="000505A1"/>
    <w:rPr>
      <w:sz w:val="24"/>
      <w:lang w:val="en-GB" w:eastAsia="en-US"/>
    </w:rPr>
  </w:style>
  <w:style w:type="character" w:styleId="Hyperlink">
    <w:name w:val="Hyperlink"/>
    <w:aliases w:val="CEO_Hyperlink"/>
    <w:basedOn w:val="DefaultParagraphFont"/>
    <w:rsid w:val="000E3D7E"/>
    <w:rPr>
      <w:color w:val="0000FF"/>
      <w:u w:val="single"/>
    </w:rPr>
  </w:style>
  <w:style w:type="character" w:customStyle="1" w:styleId="enumlev1Char">
    <w:name w:val="enumlev1 Char"/>
    <w:link w:val="enumlev1"/>
    <w:locked/>
    <w:rsid w:val="000E3D7E"/>
    <w:rPr>
      <w:sz w:val="24"/>
      <w:lang w:val="en-GB" w:eastAsia="en-US"/>
    </w:rPr>
  </w:style>
  <w:style w:type="character" w:styleId="UnresolvedMention">
    <w:name w:val="Unresolved Mention"/>
    <w:basedOn w:val="DefaultParagraphFont"/>
    <w:uiPriority w:val="99"/>
    <w:semiHidden/>
    <w:unhideWhenUsed/>
    <w:rsid w:val="00FD34E0"/>
    <w:rPr>
      <w:color w:val="605E5C"/>
      <w:shd w:val="clear" w:color="auto" w:fill="E1DFDD"/>
    </w:rPr>
  </w:style>
  <w:style w:type="character" w:customStyle="1" w:styleId="Heading1Char">
    <w:name w:val="Heading 1 Char"/>
    <w:basedOn w:val="DefaultParagraphFont"/>
    <w:link w:val="Heading1"/>
    <w:rsid w:val="0081713C"/>
    <w:rPr>
      <w:b/>
      <w:sz w:val="28"/>
      <w:lang w:val="en-GB" w:eastAsia="en-US"/>
    </w:rPr>
  </w:style>
  <w:style w:type="character" w:customStyle="1" w:styleId="Heading2Char">
    <w:name w:val="Heading 2 Char"/>
    <w:aliases w:val="h2 Char,UNDERRUBRIK 1-2 Char"/>
    <w:basedOn w:val="DefaultParagraphFont"/>
    <w:link w:val="Heading2"/>
    <w:rsid w:val="0081713C"/>
    <w:rPr>
      <w:b/>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TotalTime>
  <Pages>4</Pages>
  <Words>1726</Words>
  <Characters>482</Characters>
  <Application>Microsoft Office Word</Application>
  <DocSecurity>0</DocSecurity>
  <Lines>4</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2204</CharactersWithSpaces>
  <SharedDoc>false</SharedDoc>
  <HLinks>
    <vt:vector size="18" baseType="variant">
      <vt:variant>
        <vt:i4>7405620</vt:i4>
      </vt:variant>
      <vt:variant>
        <vt:i4>0</vt:i4>
      </vt:variant>
      <vt:variant>
        <vt:i4>0</vt:i4>
      </vt:variant>
      <vt:variant>
        <vt:i4>5</vt:i4>
      </vt:variant>
      <vt:variant>
        <vt:lpwstr>https://www.itu.int/md/R23-WRC23-C-0528/en</vt:lpwstr>
      </vt:variant>
      <vt:variant>
        <vt:lpwstr/>
      </vt:variant>
      <vt:variant>
        <vt:i4>7405620</vt:i4>
      </vt:variant>
      <vt:variant>
        <vt:i4>3</vt:i4>
      </vt:variant>
      <vt:variant>
        <vt:i4>0</vt:i4>
      </vt:variant>
      <vt:variant>
        <vt:i4>5</vt:i4>
      </vt:variant>
      <vt:variant>
        <vt:lpwstr>https://www.itu.int/md/R23-WRC23-C-0528/en</vt:lpwstr>
      </vt:variant>
      <vt:variant>
        <vt:lpwstr/>
      </vt:variant>
      <vt:variant>
        <vt:i4>7405620</vt:i4>
      </vt:variant>
      <vt:variant>
        <vt:i4>0</vt:i4>
      </vt:variant>
      <vt:variant>
        <vt:i4>0</vt:i4>
      </vt:variant>
      <vt:variant>
        <vt:i4>5</vt:i4>
      </vt:variant>
      <vt:variant>
        <vt:lpwstr>https://www.itu.int/md/R23-WRC23-C-0528/en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AP30B</dc:subject>
  <dc:creator/>
  <cp:keywords/>
  <dc:description/>
  <cp:lastModifiedBy>Liu, Sanping</cp:lastModifiedBy>
  <cp:revision>13</cp:revision>
  <cp:lastPrinted>2024-12-06T19:14:00Z</cp:lastPrinted>
  <dcterms:created xsi:type="dcterms:W3CDTF">2025-11-07T08:11:00Z</dcterms:created>
  <dcterms:modified xsi:type="dcterms:W3CDTF">2026-01-22T08:26:00Z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