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C9139D0" w:rsidR="00E052A7" w:rsidRDefault="00607271" w:rsidP="0089365D">
      <w:pPr>
        <w:pStyle w:val="Heading1"/>
        <w:spacing w:before="300"/>
        <w:ind w:left="0" w:firstLine="0"/>
        <w:jc w:val="center"/>
        <w:rPr>
          <w:lang w:eastAsia="zh-CN"/>
        </w:rPr>
      </w:pPr>
      <w:r>
        <w:rPr>
          <w:rFonts w:ascii="SimSun" w:hAnsi="SimSun" w:cs="SimSun" w:hint="eastAsia"/>
          <w:lang w:eastAsia="zh-CN"/>
        </w:rPr>
        <w:t>有关</w:t>
      </w:r>
    </w:p>
    <w:p w14:paraId="6D735A6A" w14:textId="52D820B8" w:rsidR="00E052A7" w:rsidRPr="00B17EE1" w:rsidRDefault="005D72AC">
      <w:pPr>
        <w:pStyle w:val="Heading2"/>
        <w:ind w:left="0" w:firstLine="0"/>
        <w:jc w:val="center"/>
        <w:rPr>
          <w:sz w:val="28"/>
          <w:szCs w:val="28"/>
          <w:lang w:eastAsia="zh-CN"/>
        </w:rPr>
      </w:pPr>
      <w:r w:rsidRPr="00B17EE1">
        <w:rPr>
          <w:rFonts w:ascii="SimSun" w:hAnsi="SimSun" w:cs="SimSun" w:hint="eastAsia"/>
          <w:sz w:val="28"/>
          <w:szCs w:val="28"/>
          <w:lang w:eastAsia="zh-CN"/>
        </w:rPr>
        <w:t>第</w:t>
      </w:r>
      <w:r w:rsidR="00B17EE1" w:rsidRPr="00B17EE1">
        <w:rPr>
          <w:rStyle w:val="href2"/>
          <w:rFonts w:hint="eastAsia"/>
          <w:sz w:val="28"/>
          <w:szCs w:val="28"/>
          <w:lang w:eastAsia="zh-CN"/>
        </w:rPr>
        <w:t>35</w:t>
      </w:r>
      <w:r w:rsidRPr="00B17EE1">
        <w:rPr>
          <w:rFonts w:hint="eastAsia"/>
          <w:sz w:val="28"/>
          <w:szCs w:val="28"/>
          <w:lang w:eastAsia="zh-CN"/>
        </w:rPr>
        <w:t>号决议（</w:t>
      </w:r>
      <w:r w:rsidR="00E052A7" w:rsidRPr="00B17EE1">
        <w:rPr>
          <w:sz w:val="28"/>
          <w:szCs w:val="28"/>
          <w:lang w:eastAsia="zh-CN"/>
        </w:rPr>
        <w:t>WRC-</w:t>
      </w:r>
      <w:r w:rsidR="004763F7" w:rsidRPr="00B17EE1">
        <w:rPr>
          <w:sz w:val="28"/>
          <w:szCs w:val="28"/>
          <w:lang w:eastAsia="zh-CN"/>
        </w:rPr>
        <w:t>23</w:t>
      </w:r>
      <w:r w:rsidR="009D1D59">
        <w:rPr>
          <w:rFonts w:hint="eastAsia"/>
          <w:sz w:val="28"/>
          <w:szCs w:val="28"/>
          <w:lang w:eastAsia="zh-CN"/>
        </w:rPr>
        <w:t>，修订版</w:t>
      </w:r>
      <w:r w:rsidRPr="00B17EE1">
        <w:rPr>
          <w:rFonts w:hint="eastAsia"/>
          <w:sz w:val="28"/>
          <w:szCs w:val="28"/>
          <w:lang w:eastAsia="zh-CN"/>
        </w:rPr>
        <w:t>）的程序规则</w:t>
      </w:r>
    </w:p>
    <w:p w14:paraId="7D60942F" w14:textId="2EC2E897" w:rsidR="00E052A7" w:rsidRDefault="00B17EE1">
      <w:pPr>
        <w:pStyle w:val="Heading1"/>
        <w:ind w:left="0" w:firstLine="0"/>
        <w:jc w:val="center"/>
        <w:rPr>
          <w:lang w:eastAsia="zh-CN"/>
        </w:rPr>
      </w:pPr>
      <w:r w:rsidRPr="00A95B95">
        <w:rPr>
          <w:rFonts w:hint="eastAsia"/>
          <w:lang w:eastAsia="zh-CN"/>
        </w:rPr>
        <w:t>在特定频段和业务中用于实施对地静止卫星系统中</w:t>
      </w:r>
      <w:r w:rsidRPr="00A95B95">
        <w:rPr>
          <w:lang w:eastAsia="zh-CN"/>
        </w:rPr>
        <w:br/>
      </w:r>
      <w:r w:rsidRPr="00A95B95">
        <w:rPr>
          <w:rFonts w:hint="eastAsia"/>
          <w:lang w:eastAsia="zh-CN"/>
        </w:rPr>
        <w:t>空间电台非频率指配的里程碑方法</w:t>
      </w:r>
    </w:p>
    <w:p w14:paraId="2BDA6A65" w14:textId="77777777" w:rsidR="00B17EE1" w:rsidRPr="00B17EE1" w:rsidRDefault="00B17EE1" w:rsidP="00B17EE1">
      <w:pPr>
        <w:pStyle w:val="NormalaftertitleCalibri"/>
        <w:ind w:firstLineChars="200" w:firstLine="480"/>
        <w:rPr>
          <w:rFonts w:ascii="Times New Roman" w:hAnsi="Times New Roman"/>
          <w:lang w:eastAsia="zh-CN"/>
        </w:rPr>
      </w:pPr>
      <w:r w:rsidRPr="00B17EE1">
        <w:rPr>
          <w:rFonts w:ascii="Times New Roman" w:hAnsi="Times New Roman"/>
          <w:lang w:eastAsia="zh-CN"/>
        </w:rPr>
        <w:t>为了适用第</w:t>
      </w:r>
      <w:r w:rsidRPr="00B17EE1">
        <w:rPr>
          <w:rFonts w:ascii="Times New Roman" w:hAnsi="Times New Roman"/>
          <w:b/>
          <w:bCs/>
          <w:lang w:eastAsia="zh-CN"/>
        </w:rPr>
        <w:t>35</w:t>
      </w:r>
      <w:r w:rsidRPr="00B17EE1">
        <w:rPr>
          <w:rFonts w:ascii="Times New Roman" w:hAnsi="Times New Roman"/>
          <w:lang w:eastAsia="zh-CN"/>
        </w:rPr>
        <w:t>号决议</w:t>
      </w:r>
      <w:r w:rsidRPr="00B17EE1">
        <w:rPr>
          <w:rFonts w:ascii="Times New Roman" w:hAnsi="Times New Roman"/>
          <w:b/>
          <w:bCs/>
          <w:lang w:eastAsia="zh-CN"/>
        </w:rPr>
        <w:t>（</w:t>
      </w:r>
      <w:r w:rsidRPr="00B17EE1">
        <w:rPr>
          <w:rFonts w:ascii="Times New Roman" w:hAnsi="Times New Roman"/>
          <w:b/>
          <w:bCs/>
          <w:lang w:eastAsia="zh-CN"/>
        </w:rPr>
        <w:t>WRC-23</w:t>
      </w:r>
      <w:r w:rsidRPr="00B17EE1">
        <w:rPr>
          <w:rFonts w:ascii="Times New Roman" w:hAnsi="Times New Roman"/>
          <w:b/>
          <w:bCs/>
          <w:lang w:eastAsia="zh-CN"/>
        </w:rPr>
        <w:t>，修订版）</w:t>
      </w:r>
      <w:r w:rsidRPr="00B17EE1">
        <w:rPr>
          <w:rFonts w:ascii="Times New Roman" w:eastAsia="STKaiti" w:hAnsi="Times New Roman"/>
          <w:lang w:eastAsia="zh-CN"/>
        </w:rPr>
        <w:t>做出决议</w:t>
      </w:r>
      <w:r w:rsidRPr="00B17EE1">
        <w:rPr>
          <w:rFonts w:ascii="Times New Roman" w:hAnsi="Times New Roman"/>
          <w:lang w:eastAsia="zh-CN"/>
        </w:rPr>
        <w:t xml:space="preserve">17 </w:t>
      </w:r>
      <w:r w:rsidRPr="00B17EE1">
        <w:rPr>
          <w:rFonts w:ascii="Times New Roman" w:hAnsi="Times New Roman"/>
          <w:i/>
          <w:iCs/>
          <w:lang w:eastAsia="zh-CN"/>
        </w:rPr>
        <w:t>b)</w:t>
      </w:r>
      <w:r w:rsidRPr="00B17EE1">
        <w:rPr>
          <w:rFonts w:ascii="Times New Roman" w:hAnsi="Times New Roman"/>
          <w:lang w:eastAsia="zh-CN"/>
        </w:rPr>
        <w:t xml:space="preserve"> </w:t>
      </w:r>
      <w:proofErr w:type="spellStart"/>
      <w:r w:rsidRPr="00B17EE1">
        <w:rPr>
          <w:rFonts w:ascii="Times New Roman" w:hAnsi="Times New Roman"/>
          <w:lang w:eastAsia="zh-CN"/>
        </w:rPr>
        <w:t>i</w:t>
      </w:r>
      <w:proofErr w:type="spellEnd"/>
      <w:r w:rsidRPr="00B17EE1">
        <w:rPr>
          <w:rFonts w:ascii="Times New Roman" w:hAnsi="Times New Roman"/>
          <w:lang w:eastAsia="zh-CN"/>
        </w:rPr>
        <w:t>)</w:t>
      </w:r>
      <w:r w:rsidRPr="00B17EE1">
        <w:rPr>
          <w:rFonts w:ascii="Times New Roman" w:hAnsi="Times New Roman"/>
          <w:lang w:eastAsia="zh-CN"/>
        </w:rPr>
        <w:t>，无线电规则委员会认为，根据第</w:t>
      </w:r>
      <w:r w:rsidRPr="00B17EE1">
        <w:rPr>
          <w:rFonts w:ascii="Times New Roman" w:hAnsi="Times New Roman"/>
          <w:b/>
          <w:bCs/>
          <w:lang w:eastAsia="zh-CN"/>
        </w:rPr>
        <w:t>35</w:t>
      </w:r>
      <w:r w:rsidRPr="00B17EE1">
        <w:rPr>
          <w:rFonts w:ascii="Times New Roman" w:hAnsi="Times New Roman"/>
          <w:lang w:eastAsia="zh-CN"/>
        </w:rPr>
        <w:t>号决议</w:t>
      </w:r>
      <w:r w:rsidRPr="00B17EE1">
        <w:rPr>
          <w:rFonts w:ascii="Times New Roman" w:hAnsi="Times New Roman"/>
          <w:b/>
          <w:bCs/>
          <w:lang w:eastAsia="zh-CN"/>
        </w:rPr>
        <w:t>（</w:t>
      </w:r>
      <w:r w:rsidRPr="00B17EE1">
        <w:rPr>
          <w:rFonts w:ascii="Times New Roman" w:hAnsi="Times New Roman"/>
          <w:b/>
          <w:bCs/>
          <w:lang w:eastAsia="zh-CN"/>
        </w:rPr>
        <w:t>WRC-23</w:t>
      </w:r>
      <w:r w:rsidRPr="00B17EE1">
        <w:rPr>
          <w:rFonts w:ascii="Times New Roman" w:hAnsi="Times New Roman"/>
          <w:b/>
          <w:bCs/>
          <w:lang w:eastAsia="zh-CN"/>
        </w:rPr>
        <w:t>，修订版）</w:t>
      </w:r>
      <w:r w:rsidRPr="00B17EE1">
        <w:rPr>
          <w:rFonts w:ascii="Times New Roman" w:eastAsia="STKaiti" w:hAnsi="Times New Roman"/>
          <w:lang w:eastAsia="zh-CN"/>
        </w:rPr>
        <w:t>做出决议</w:t>
      </w:r>
      <w:r w:rsidRPr="00B17EE1">
        <w:rPr>
          <w:rFonts w:ascii="Times New Roman" w:hAnsi="Times New Roman"/>
          <w:lang w:eastAsia="zh-CN"/>
        </w:rPr>
        <w:t>2</w:t>
      </w:r>
      <w:r w:rsidRPr="00B17EE1">
        <w:rPr>
          <w:rFonts w:ascii="Times New Roman" w:hAnsi="Times New Roman"/>
          <w:lang w:eastAsia="zh-CN"/>
        </w:rPr>
        <w:t>、</w:t>
      </w:r>
      <w:r w:rsidRPr="00B17EE1">
        <w:rPr>
          <w:rFonts w:ascii="Times New Roman" w:hAnsi="Times New Roman"/>
          <w:lang w:eastAsia="zh-CN"/>
        </w:rPr>
        <w:t>3</w:t>
      </w:r>
      <w:r w:rsidRPr="00B17EE1">
        <w:rPr>
          <w:rFonts w:ascii="Times New Roman" w:hAnsi="Times New Roman"/>
          <w:lang w:eastAsia="zh-CN"/>
        </w:rPr>
        <w:t>、</w:t>
      </w:r>
      <w:r w:rsidRPr="00B17EE1">
        <w:rPr>
          <w:rFonts w:ascii="Times New Roman" w:hAnsi="Times New Roman"/>
          <w:lang w:eastAsia="zh-CN"/>
        </w:rPr>
        <w:t>7</w:t>
      </w:r>
      <w:r w:rsidRPr="00B17EE1">
        <w:rPr>
          <w:rFonts w:ascii="Times New Roman" w:hAnsi="Times New Roman"/>
          <w:lang w:eastAsia="zh-CN"/>
        </w:rPr>
        <w:t>或</w:t>
      </w:r>
      <w:r w:rsidRPr="00B17EE1">
        <w:rPr>
          <w:rFonts w:ascii="Times New Roman" w:hAnsi="Times New Roman"/>
          <w:lang w:eastAsia="zh-CN"/>
        </w:rPr>
        <w:t>8</w:t>
      </w:r>
      <w:r w:rsidRPr="00B17EE1">
        <w:rPr>
          <w:rFonts w:ascii="Times New Roman" w:hAnsi="Times New Roman"/>
          <w:lang w:eastAsia="zh-CN"/>
        </w:rPr>
        <w:t>酌情提交的最后一次</w:t>
      </w:r>
      <w:proofErr w:type="gramStart"/>
      <w:r w:rsidRPr="00B17EE1">
        <w:rPr>
          <w:rFonts w:ascii="Times New Roman" w:hAnsi="Times New Roman"/>
          <w:lang w:eastAsia="zh-CN"/>
        </w:rPr>
        <w:t>完整部署</w:t>
      </w:r>
      <w:proofErr w:type="gramEnd"/>
      <w:r w:rsidRPr="00B17EE1">
        <w:rPr>
          <w:rFonts w:ascii="Times New Roman" w:hAnsi="Times New Roman"/>
          <w:lang w:eastAsia="zh-CN"/>
        </w:rPr>
        <w:t>信息中未列出的任何轨道平面中的所有卫星，以及卫星未在最后一次</w:t>
      </w:r>
      <w:proofErr w:type="gramStart"/>
      <w:r w:rsidRPr="00B17EE1">
        <w:rPr>
          <w:rFonts w:ascii="Times New Roman" w:hAnsi="Times New Roman"/>
          <w:lang w:eastAsia="zh-CN"/>
        </w:rPr>
        <w:t>完整部署</w:t>
      </w:r>
      <w:proofErr w:type="gramEnd"/>
      <w:r w:rsidRPr="00B17EE1">
        <w:rPr>
          <w:rFonts w:ascii="Times New Roman" w:hAnsi="Times New Roman"/>
          <w:lang w:eastAsia="zh-CN"/>
        </w:rPr>
        <w:t>信息中列出的所有轨道平面，均须从通知单中删除。因此，仅与此类轨道平面或卫星有关的任何波束和频率指配组也须删除。</w:t>
      </w:r>
    </w:p>
    <w:p w14:paraId="75306E45" w14:textId="77777777" w:rsidR="00B17EE1" w:rsidRPr="00B17EE1" w:rsidRDefault="00B17EE1" w:rsidP="00B17EE1">
      <w:pPr>
        <w:ind w:firstLineChars="200" w:firstLine="480"/>
        <w:rPr>
          <w:lang w:eastAsia="zh-CN"/>
        </w:rPr>
      </w:pPr>
      <w:r w:rsidRPr="00B17EE1">
        <w:rPr>
          <w:lang w:eastAsia="zh-CN"/>
        </w:rPr>
        <w:t>关于与其余轨道平面和卫星相关的频率指配，由于第</w:t>
      </w:r>
      <w:r w:rsidRPr="00B17EE1">
        <w:rPr>
          <w:b/>
          <w:bCs/>
          <w:lang w:eastAsia="zh-CN"/>
        </w:rPr>
        <w:t>35</w:t>
      </w:r>
      <w:r w:rsidRPr="00B17EE1">
        <w:rPr>
          <w:lang w:eastAsia="zh-CN"/>
        </w:rPr>
        <w:t>号决议</w:t>
      </w:r>
      <w:r w:rsidRPr="00B17EE1">
        <w:rPr>
          <w:b/>
          <w:bCs/>
          <w:lang w:eastAsia="zh-CN"/>
        </w:rPr>
        <w:t>（</w:t>
      </w:r>
      <w:r w:rsidRPr="00B17EE1">
        <w:rPr>
          <w:b/>
          <w:bCs/>
          <w:lang w:eastAsia="zh-CN"/>
        </w:rPr>
        <w:t>WRC-23</w:t>
      </w:r>
      <w:r w:rsidRPr="00B17EE1">
        <w:rPr>
          <w:b/>
          <w:bCs/>
          <w:lang w:eastAsia="zh-CN"/>
        </w:rPr>
        <w:t>，修订版）</w:t>
      </w:r>
      <w:r w:rsidRPr="00B17EE1">
        <w:rPr>
          <w:rFonts w:eastAsia="STKaiti"/>
          <w:lang w:eastAsia="zh-CN"/>
        </w:rPr>
        <w:t>做出决议</w:t>
      </w:r>
      <w:r w:rsidRPr="00B17EE1">
        <w:rPr>
          <w:lang w:eastAsia="zh-CN"/>
        </w:rPr>
        <w:t>11</w:t>
      </w:r>
      <w:r w:rsidRPr="00B17EE1">
        <w:rPr>
          <w:lang w:eastAsia="zh-CN"/>
        </w:rPr>
        <w:t>规定的对卫星系统通知特性的修改因未能达到既定的里程碑而未提交，无线电规则委员会得出结论，在应用</w:t>
      </w:r>
      <w:r w:rsidRPr="00B17EE1">
        <w:rPr>
          <w:rFonts w:eastAsia="STKaiti"/>
          <w:lang w:eastAsia="zh-CN"/>
        </w:rPr>
        <w:t>做出决议</w:t>
      </w:r>
      <w:r w:rsidRPr="00B17EE1">
        <w:rPr>
          <w:lang w:eastAsia="zh-CN"/>
        </w:rPr>
        <w:t xml:space="preserve">17 </w:t>
      </w:r>
      <w:r w:rsidRPr="00B17EE1">
        <w:rPr>
          <w:i/>
          <w:iCs/>
          <w:lang w:eastAsia="zh-CN"/>
        </w:rPr>
        <w:t>b)</w:t>
      </w:r>
      <w:r w:rsidRPr="00B17EE1">
        <w:rPr>
          <w:lang w:eastAsia="zh-CN"/>
        </w:rPr>
        <w:t xml:space="preserve"> ii)</w:t>
      </w:r>
      <w:r w:rsidRPr="00B17EE1">
        <w:rPr>
          <w:lang w:eastAsia="zh-CN"/>
        </w:rPr>
        <w:t>时，将在</w:t>
      </w:r>
      <w:r w:rsidRPr="00B17EE1">
        <w:rPr>
          <w:rFonts w:ascii="SimSun" w:hAnsi="SimSun"/>
          <w:lang w:eastAsia="zh-CN"/>
        </w:rPr>
        <w:t>“</w:t>
      </w:r>
      <w:r w:rsidRPr="00B17EE1">
        <w:rPr>
          <w:lang w:eastAsia="zh-CN"/>
        </w:rPr>
        <w:t>备注</w:t>
      </w:r>
      <w:r w:rsidRPr="00B17EE1">
        <w:rPr>
          <w:rFonts w:ascii="SimSun" w:hAnsi="SimSun"/>
          <w:lang w:eastAsia="zh-CN"/>
        </w:rPr>
        <w:t>”</w:t>
      </w:r>
      <w:r w:rsidRPr="00B17EE1">
        <w:rPr>
          <w:lang w:eastAsia="zh-CN"/>
        </w:rPr>
        <w:t>字段中插入一个符号，表明这些频率指配不符合第</w:t>
      </w:r>
      <w:r w:rsidRPr="00B17EE1">
        <w:rPr>
          <w:b/>
          <w:bCs/>
          <w:lang w:eastAsia="zh-CN"/>
        </w:rPr>
        <w:t>35</w:t>
      </w:r>
      <w:r w:rsidRPr="00B17EE1">
        <w:rPr>
          <w:lang w:eastAsia="zh-CN"/>
        </w:rPr>
        <w:t>号决议</w:t>
      </w:r>
      <w:r w:rsidRPr="00B17EE1">
        <w:rPr>
          <w:b/>
          <w:bCs/>
          <w:lang w:eastAsia="zh-CN"/>
        </w:rPr>
        <w:t>（</w:t>
      </w:r>
      <w:r w:rsidRPr="00B17EE1">
        <w:rPr>
          <w:b/>
          <w:bCs/>
          <w:lang w:eastAsia="zh-CN"/>
        </w:rPr>
        <w:t>WRC-23</w:t>
      </w:r>
      <w:r w:rsidRPr="00B17EE1">
        <w:rPr>
          <w:b/>
          <w:bCs/>
          <w:lang w:eastAsia="zh-CN"/>
        </w:rPr>
        <w:t>，修订版）</w:t>
      </w:r>
      <w:r w:rsidRPr="00B17EE1">
        <w:rPr>
          <w:lang w:eastAsia="zh-CN"/>
        </w:rPr>
        <w:t>，且在根据第</w:t>
      </w:r>
      <w:r w:rsidRPr="00B17EE1">
        <w:rPr>
          <w:b/>
          <w:bCs/>
          <w:lang w:eastAsia="zh-CN"/>
        </w:rPr>
        <w:t>9.36</w:t>
      </w:r>
      <w:r w:rsidRPr="00B17EE1">
        <w:rPr>
          <w:lang w:eastAsia="zh-CN"/>
        </w:rPr>
        <w:t>、第</w:t>
      </w:r>
      <w:r w:rsidRPr="00B17EE1">
        <w:rPr>
          <w:b/>
          <w:bCs/>
          <w:lang w:eastAsia="zh-CN"/>
        </w:rPr>
        <w:t>11.32</w:t>
      </w:r>
      <w:r w:rsidRPr="00B17EE1">
        <w:rPr>
          <w:lang w:eastAsia="zh-CN"/>
        </w:rPr>
        <w:t>或第</w:t>
      </w:r>
      <w:r w:rsidRPr="00B17EE1">
        <w:rPr>
          <w:b/>
          <w:bCs/>
          <w:lang w:eastAsia="zh-CN"/>
        </w:rPr>
        <w:t>11.32A</w:t>
      </w:r>
      <w:r w:rsidRPr="00B17EE1">
        <w:rPr>
          <w:lang w:eastAsia="zh-CN"/>
        </w:rPr>
        <w:t>款进行的后续审查中将不再予以考虑。这些频率指配在保护日期或</w:t>
      </w:r>
      <w:r w:rsidRPr="00B17EE1">
        <w:rPr>
          <w:lang w:eastAsia="zh-CN"/>
        </w:rPr>
        <w:t>“2D</w:t>
      </w:r>
      <w:r w:rsidRPr="00B17EE1">
        <w:rPr>
          <w:lang w:eastAsia="zh-CN"/>
        </w:rPr>
        <w:t>日期</w:t>
      </w:r>
      <w:r w:rsidRPr="00B17EE1">
        <w:rPr>
          <w:lang w:eastAsia="zh-CN"/>
        </w:rPr>
        <w:t>”</w:t>
      </w:r>
      <w:r w:rsidRPr="00B17EE1">
        <w:rPr>
          <w:lang w:eastAsia="zh-CN"/>
        </w:rPr>
        <w:t>（即，根据附录</w:t>
      </w:r>
      <w:r w:rsidRPr="00B17EE1">
        <w:rPr>
          <w:b/>
          <w:bCs/>
          <w:lang w:eastAsia="zh-CN"/>
        </w:rPr>
        <w:t>5</w:t>
      </w:r>
      <w:r w:rsidRPr="00B17EE1">
        <w:rPr>
          <w:lang w:eastAsia="zh-CN"/>
        </w:rPr>
        <w:t>第</w:t>
      </w:r>
      <w:r w:rsidRPr="00B17EE1">
        <w:rPr>
          <w:lang w:eastAsia="zh-CN"/>
        </w:rPr>
        <w:t>1</w:t>
      </w:r>
      <w:r w:rsidRPr="00B17EE1">
        <w:rPr>
          <w:i/>
          <w:iCs/>
          <w:lang w:eastAsia="zh-CN"/>
        </w:rPr>
        <w:t xml:space="preserve"> e)</w:t>
      </w:r>
      <w:r w:rsidRPr="00B17EE1">
        <w:rPr>
          <w:lang w:eastAsia="zh-CN"/>
        </w:rPr>
        <w:t>段的规定考虑频率指配的日期）下登记的信息以及有关协调协议状态的信息也将被删除。</w:t>
      </w:r>
    </w:p>
    <w:p w14:paraId="503A530D" w14:textId="77777777" w:rsidR="00B17EE1" w:rsidRDefault="00B17EE1" w:rsidP="00B17EE1">
      <w:pPr>
        <w:ind w:firstLineChars="200" w:firstLine="480"/>
        <w:rPr>
          <w:lang w:eastAsia="zh-CN"/>
        </w:rPr>
      </w:pPr>
      <w:r w:rsidRPr="00B17EE1">
        <w:rPr>
          <w:lang w:eastAsia="zh-CN"/>
        </w:rPr>
        <w:t>在采取这些行动后，无线电规则委员会注意到，此类频率</w:t>
      </w:r>
      <w:proofErr w:type="gramStart"/>
      <w:r w:rsidRPr="00B17EE1">
        <w:rPr>
          <w:lang w:eastAsia="zh-CN"/>
        </w:rPr>
        <w:t>指配将仅</w:t>
      </w:r>
      <w:proofErr w:type="gramEnd"/>
      <w:r w:rsidRPr="00B17EE1">
        <w:rPr>
          <w:lang w:eastAsia="zh-CN"/>
        </w:rPr>
        <w:t>作为情况通报目的登记在《登记总表》中，且不得对按照《无线电规则》操作的电台造成有害干扰或要求其保护，其方式与要求登记应用第</w:t>
      </w:r>
      <w:r w:rsidRPr="00B17EE1">
        <w:rPr>
          <w:b/>
          <w:bCs/>
          <w:lang w:eastAsia="zh-CN"/>
        </w:rPr>
        <w:t>4.4</w:t>
      </w:r>
      <w:r w:rsidRPr="00B17EE1">
        <w:rPr>
          <w:lang w:eastAsia="zh-CN"/>
        </w:rPr>
        <w:t>款的方式类似。无线电规则委员会责成无线电通信局在无线电通信局《国际频率信息通报》（</w:t>
      </w:r>
      <w:r w:rsidRPr="00B17EE1">
        <w:rPr>
          <w:lang w:eastAsia="zh-CN"/>
        </w:rPr>
        <w:t>IFIC</w:t>
      </w:r>
      <w:r w:rsidRPr="00B17EE1">
        <w:rPr>
          <w:lang w:eastAsia="zh-CN"/>
        </w:rPr>
        <w:t>）中公布此类频率指配的最新状态。</w:t>
      </w:r>
    </w:p>
    <w:p w14:paraId="5CED37C0" w14:textId="1B8ECC24" w:rsidR="005D72AC" w:rsidRPr="00B17EE1" w:rsidRDefault="00B17EE1" w:rsidP="00B17EE1">
      <w:pPr>
        <w:ind w:firstLineChars="200" w:firstLine="480"/>
        <w:rPr>
          <w:rStyle w:val="href"/>
          <w:lang w:eastAsia="zh-CN"/>
        </w:rPr>
      </w:pPr>
      <w:r w:rsidRPr="00B17EE1">
        <w:rPr>
          <w:lang w:eastAsia="zh-CN"/>
        </w:rPr>
        <w:t>注意到</w:t>
      </w:r>
      <w:r w:rsidRPr="00B17EE1">
        <w:rPr>
          <w:rFonts w:eastAsia="STKaiti"/>
          <w:lang w:eastAsia="zh-CN"/>
        </w:rPr>
        <w:t>做出决议</w:t>
      </w:r>
      <w:r w:rsidRPr="00B17EE1">
        <w:rPr>
          <w:lang w:eastAsia="zh-CN"/>
        </w:rPr>
        <w:t>17</w:t>
      </w:r>
      <w:r w:rsidRPr="00B17EE1">
        <w:rPr>
          <w:lang w:eastAsia="zh-CN"/>
        </w:rPr>
        <w:t>仅适用于通知主管部门未能提供所需信息的情况，</w:t>
      </w:r>
      <w:proofErr w:type="gramStart"/>
      <w:r w:rsidRPr="00B17EE1">
        <w:rPr>
          <w:lang w:eastAsia="zh-CN"/>
        </w:rPr>
        <w:t>且为了</w:t>
      </w:r>
      <w:proofErr w:type="gramEnd"/>
      <w:r w:rsidRPr="00B17EE1">
        <w:rPr>
          <w:lang w:eastAsia="zh-CN"/>
        </w:rPr>
        <w:t>避免在《登记总表》中保留未使用的频率指配，委员会还责成无线电通信局在登记和公布此类频率指配的最新状态之前适用第</w:t>
      </w:r>
      <w:r w:rsidRPr="00B17EE1">
        <w:rPr>
          <w:b/>
          <w:bCs/>
          <w:lang w:eastAsia="zh-CN"/>
        </w:rPr>
        <w:t>13.6</w:t>
      </w:r>
      <w:r w:rsidRPr="00B17EE1">
        <w:rPr>
          <w:lang w:eastAsia="zh-CN"/>
        </w:rPr>
        <w:t>款。</w:t>
      </w:r>
    </w:p>
    <w:p w14:paraId="3B749283" w14:textId="77777777" w:rsidR="00E052A7" w:rsidRDefault="00E052A7" w:rsidP="0089365D">
      <w:pPr>
        <w:rPr>
          <w:lang w:val="en-US" w:eastAsia="zh-CN"/>
        </w:rPr>
      </w:pPr>
    </w:p>
    <w:p w14:paraId="1F94AA5B" w14:textId="75C68E30" w:rsidR="00E052A7" w:rsidRPr="00B17EE1" w:rsidRDefault="00E052A7" w:rsidP="00B17EE1">
      <w:pPr>
        <w:jc w:val="center"/>
        <w:rPr>
          <w:color w:val="000000"/>
        </w:rPr>
      </w:pPr>
      <w:r>
        <w:rPr>
          <w:color w:val="000000"/>
        </w:rPr>
        <w:t>____________________</w:t>
      </w:r>
    </w:p>
    <w:p w14:paraId="445AFBC5" w14:textId="77777777" w:rsidR="00E052A7" w:rsidRDefault="00E052A7" w:rsidP="00B17EE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17EE1" w14:paraId="5262C21A" w14:textId="77777777" w:rsidTr="00B00BF0">
      <w:trPr>
        <w:cantSplit/>
        <w:jc w:val="right"/>
      </w:trPr>
      <w:tc>
        <w:tcPr>
          <w:tcW w:w="1701" w:type="dxa"/>
          <w:tcBorders>
            <w:top w:val="single" w:sz="6" w:space="0" w:color="auto"/>
            <w:left w:val="single" w:sz="6" w:space="0" w:color="auto"/>
            <w:bottom w:val="single" w:sz="6" w:space="0" w:color="auto"/>
            <w:right w:val="single" w:sz="6" w:space="0" w:color="auto"/>
          </w:tcBorders>
        </w:tcPr>
        <w:p w14:paraId="031E5D6F" w14:textId="0C51A2A6" w:rsidR="00B17EE1" w:rsidRDefault="00B17EE1" w:rsidP="00B17EE1">
          <w:pPr>
            <w:pStyle w:val="HeaderRegProc"/>
            <w:rPr>
              <w:lang w:eastAsia="zh-CN"/>
            </w:rPr>
          </w:pPr>
          <w:r>
            <w:t>A</w:t>
          </w:r>
          <w:r>
            <w:rPr>
              <w:rFonts w:hint="eastAsia"/>
              <w:lang w:eastAsia="zh-CN"/>
            </w:rPr>
            <w:t>1</w:t>
          </w:r>
          <w:r w:rsidR="00DA5E7F">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EF32F22" w14:textId="55F07C48" w:rsidR="00B17EE1" w:rsidRDefault="00B17EE1" w:rsidP="00B17EE1">
          <w:pPr>
            <w:pStyle w:val="HeaderRegProc"/>
            <w:rPr>
              <w:lang w:val="fr-FR"/>
            </w:rPr>
          </w:pPr>
          <w:r>
            <w:t>RES</w:t>
          </w:r>
          <w:r>
            <w:fldChar w:fldCharType="begin"/>
          </w:r>
          <w:r>
            <w:instrText>styleref href2</w:instrText>
          </w:r>
          <w:r>
            <w:fldChar w:fldCharType="separate"/>
          </w:r>
          <w:r w:rsidR="00050DE6">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413F5" w14:textId="77777777" w:rsidR="00B17EE1" w:rsidRDefault="00B17EE1" w:rsidP="00B17EE1">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45E5800" w14:textId="2A72427D" w:rsidR="00B17EE1" w:rsidRDefault="00B17EE1" w:rsidP="00B17EE1">
          <w:pPr>
            <w:pStyle w:val="HeaderRegProc"/>
            <w:rPr>
              <w:lang w:val="fr-CH" w:eastAsia="zh-CN"/>
            </w:rPr>
          </w:pPr>
          <w:r>
            <w:rPr>
              <w:rFonts w:hint="eastAsia"/>
              <w:lang w:val="fr-CH" w:eastAsia="zh-CN"/>
            </w:rPr>
            <w:t>修订</w:t>
          </w:r>
          <w:r>
            <w:rPr>
              <w:lang w:val="fr-CH"/>
            </w:rPr>
            <w:t xml:space="preserve"> </w:t>
          </w:r>
          <w:r w:rsidR="006465EE">
            <w:rPr>
              <w:rFonts w:hint="eastAsia"/>
              <w:lang w:eastAsia="zh-CN"/>
            </w:rPr>
            <w:t>-</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0DE6"/>
    <w:rsid w:val="00054891"/>
    <w:rsid w:val="0008559E"/>
    <w:rsid w:val="00107893"/>
    <w:rsid w:val="001F2CF3"/>
    <w:rsid w:val="00204C1C"/>
    <w:rsid w:val="002C0C90"/>
    <w:rsid w:val="002F5713"/>
    <w:rsid w:val="002F6FCF"/>
    <w:rsid w:val="00322F1D"/>
    <w:rsid w:val="003A718D"/>
    <w:rsid w:val="003C4187"/>
    <w:rsid w:val="003E1BE3"/>
    <w:rsid w:val="004763F7"/>
    <w:rsid w:val="00483705"/>
    <w:rsid w:val="00555E8E"/>
    <w:rsid w:val="005D72AC"/>
    <w:rsid w:val="005D7E79"/>
    <w:rsid w:val="005F48E9"/>
    <w:rsid w:val="00605B8C"/>
    <w:rsid w:val="00607271"/>
    <w:rsid w:val="006465EE"/>
    <w:rsid w:val="0072419A"/>
    <w:rsid w:val="007A69D4"/>
    <w:rsid w:val="007D1381"/>
    <w:rsid w:val="007F06B5"/>
    <w:rsid w:val="00824378"/>
    <w:rsid w:val="00842E52"/>
    <w:rsid w:val="00854410"/>
    <w:rsid w:val="0089365D"/>
    <w:rsid w:val="0091274D"/>
    <w:rsid w:val="00916230"/>
    <w:rsid w:val="009169CB"/>
    <w:rsid w:val="0094428F"/>
    <w:rsid w:val="009660A1"/>
    <w:rsid w:val="009D1D59"/>
    <w:rsid w:val="00A21DD6"/>
    <w:rsid w:val="00A70933"/>
    <w:rsid w:val="00A81779"/>
    <w:rsid w:val="00AB7D6C"/>
    <w:rsid w:val="00AE4A05"/>
    <w:rsid w:val="00B14E32"/>
    <w:rsid w:val="00B17EE1"/>
    <w:rsid w:val="00B639F5"/>
    <w:rsid w:val="00B73C1B"/>
    <w:rsid w:val="00C108D8"/>
    <w:rsid w:val="00C279F5"/>
    <w:rsid w:val="00C76A9B"/>
    <w:rsid w:val="00CC1BC0"/>
    <w:rsid w:val="00D439D7"/>
    <w:rsid w:val="00D7046F"/>
    <w:rsid w:val="00DA5E7F"/>
    <w:rsid w:val="00E052A7"/>
    <w:rsid w:val="00E45E6B"/>
    <w:rsid w:val="00E70951"/>
    <w:rsid w:val="00E729C9"/>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 w:type="paragraph" w:customStyle="1" w:styleId="NormalaftertitleCalibri">
    <w:name w:val="样式 Normal_after_title + +西文正文 (Calibri)"/>
    <w:basedOn w:val="Normal"/>
    <w:rsid w:val="00B17EE1"/>
    <w:pPr>
      <w:tabs>
        <w:tab w:val="clear" w:pos="1134"/>
        <w:tab w:val="clear" w:pos="1871"/>
        <w:tab w:val="clear" w:pos="2268"/>
        <w:tab w:val="left" w:pos="794"/>
        <w:tab w:val="left" w:pos="1191"/>
        <w:tab w:val="left" w:pos="1588"/>
        <w:tab w:val="left" w:pos="1985"/>
      </w:tabs>
      <w:spacing w:before="360"/>
      <w:jc w:val="lef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45</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45</cp:revision>
  <cp:lastPrinted>2025-11-28T14:00:00Z</cp:lastPrinted>
  <dcterms:created xsi:type="dcterms:W3CDTF">2012-08-08T06:51:00Z</dcterms:created>
  <dcterms:modified xsi:type="dcterms:W3CDTF">2025-11-28T14:01:00Z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