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BB985" w14:textId="67410481" w:rsidR="00C36D43" w:rsidRPr="009644A9" w:rsidRDefault="00C36D43" w:rsidP="00C2007F">
      <w:pPr>
        <w:pStyle w:val="Title"/>
        <w:spacing w:before="200" w:after="0"/>
        <w:rPr>
          <w:rFonts w:ascii="Times New Roman Bold" w:hAnsi="Times New Roman Bold" w:cs="Traditional Arabic"/>
          <w:szCs w:val="40"/>
          <w:rtl/>
        </w:rPr>
      </w:pPr>
      <w:r w:rsidRPr="009644A9">
        <w:rPr>
          <w:rFonts w:ascii="Times New Roman Bold" w:hAnsi="Times New Roman Bold" w:cs="Traditional Arabic"/>
          <w:szCs w:val="40"/>
          <w:rtl/>
        </w:rPr>
        <w:t>القواعد المتعلقة</w:t>
      </w:r>
    </w:p>
    <w:p w14:paraId="3CE8F5AA" w14:textId="4CA82637" w:rsidR="00C36D43" w:rsidRPr="009644A9" w:rsidRDefault="006B1956" w:rsidP="006B1956">
      <w:pPr>
        <w:pStyle w:val="Title"/>
        <w:spacing w:before="200" w:after="0"/>
        <w:rPr>
          <w:rFonts w:ascii="Times New Roman Bold" w:hAnsi="Times New Roman Bold" w:cs="Traditional Arabic"/>
          <w:szCs w:val="40"/>
          <w:rtl/>
          <w:lang w:bidi="ar-EG"/>
        </w:rPr>
      </w:pPr>
      <w:r w:rsidRPr="006B1956">
        <w:rPr>
          <w:rFonts w:ascii="Times New Roman Bold" w:hAnsi="Times New Roman Bold" w:cs="Traditional Arabic"/>
          <w:szCs w:val="40"/>
          <w:rtl/>
        </w:rPr>
        <w:t xml:space="preserve">بالقرار </w:t>
      </w:r>
      <w:r w:rsidR="004F26AF">
        <w:t>559</w:t>
      </w:r>
      <w:r w:rsidR="00F66464" w:rsidRPr="00C62756">
        <w:t> (WRC</w:t>
      </w:r>
      <w:r w:rsidR="00F66464" w:rsidRPr="00C62756">
        <w:noBreakHyphen/>
      </w:r>
      <w:r w:rsidR="004F26AF">
        <w:t>19</w:t>
      </w:r>
      <w:r w:rsidR="00F66464" w:rsidRPr="00C62756">
        <w:t>)</w:t>
      </w:r>
      <w:r w:rsidR="00F66464" w:rsidRPr="00C62756">
        <w:rPr>
          <w:rtl/>
        </w:rPr>
        <w:t>‏</w:t>
      </w:r>
    </w:p>
    <w:p w14:paraId="77FBD538" w14:textId="6E9643B0" w:rsidR="00F66464" w:rsidRDefault="004F26AF" w:rsidP="004F26AF">
      <w:pPr>
        <w:pStyle w:val="Restitle"/>
      </w:pPr>
      <w:r w:rsidRPr="004F26AF">
        <w:rPr>
          <w:rtl/>
        </w:rPr>
        <w:t xml:space="preserve">تدابير تنظيمية إضافية مؤقتة بعد حذف المؤتمر </w:t>
      </w:r>
      <w:r w:rsidRPr="004F26AF">
        <w:t>WRC-19</w:t>
      </w:r>
      <w:r w:rsidRPr="004F26AF">
        <w:br/>
      </w:r>
      <w:r w:rsidRPr="004F26AF">
        <w:rPr>
          <w:rtl/>
        </w:rPr>
        <w:t xml:space="preserve">لجزء من الملحق </w:t>
      </w:r>
      <w:r>
        <w:t>7</w:t>
      </w:r>
      <w:r w:rsidRPr="004F26AF">
        <w:rPr>
          <w:rtl/>
        </w:rPr>
        <w:t xml:space="preserve"> بالتذييل (</w:t>
      </w:r>
      <w:r w:rsidRPr="004F26AF">
        <w:t>Rev.WRC-15</w:t>
      </w:r>
      <w:r w:rsidRPr="004F26AF">
        <w:rPr>
          <w:rtl/>
        </w:rPr>
        <w:t>)</w:t>
      </w:r>
      <w:r>
        <w:t xml:space="preserve">30 </w:t>
      </w:r>
    </w:p>
    <w:p w14:paraId="119C1388" w14:textId="77777777" w:rsidR="004F26AF" w:rsidRPr="004F26AF" w:rsidRDefault="004F26AF" w:rsidP="004F26AF">
      <w:pPr>
        <w:spacing w:after="120"/>
      </w:pPr>
      <w:r w:rsidRPr="004F26AF">
        <w:rPr>
          <w:rFonts w:hint="cs"/>
          <w:b/>
          <w:bCs/>
          <w:rtl/>
        </w:rPr>
        <w:t xml:space="preserve">ملاحظة: </w:t>
      </w:r>
      <w:r w:rsidRPr="004F26AF">
        <w:rPr>
          <w:b/>
          <w:bCs/>
          <w:rtl/>
        </w:rPr>
        <w:t>‏</w:t>
      </w:r>
      <w:r w:rsidRPr="004F26AF">
        <w:rPr>
          <w:rtl/>
        </w:rPr>
        <w:t xml:space="preserve">اتخذ المؤتمر </w:t>
      </w:r>
      <w:r w:rsidRPr="004F26AF">
        <w:rPr>
          <w:cs/>
        </w:rPr>
        <w:t>‎</w:t>
      </w:r>
      <w:r w:rsidRPr="004F26AF">
        <w:t>WRC-23</w:t>
      </w:r>
      <w:r w:rsidRPr="004F26AF">
        <w:rPr>
          <w:rtl/>
        </w:rPr>
        <w:t xml:space="preserve"> ‏القرار التالي بشأن القضايا المتعلقة بتنفيذ القرار </w:t>
      </w:r>
      <w:r w:rsidRPr="004F26AF">
        <w:rPr>
          <w:cs/>
        </w:rPr>
        <w:t>‎</w:t>
      </w:r>
      <w:r w:rsidRPr="004F26AF">
        <w:rPr>
          <w:b/>
          <w:bCs/>
        </w:rPr>
        <w:t>559 (WRC-19)</w:t>
      </w:r>
      <w:r w:rsidRPr="004F26AF">
        <w:rPr>
          <w:rtl/>
        </w:rPr>
        <w:t xml:space="preserve">‏، انظر البند </w:t>
      </w:r>
      <w:r w:rsidRPr="004F26AF">
        <w:rPr>
          <w:cs/>
        </w:rPr>
        <w:t>‎</w:t>
      </w:r>
      <w:r w:rsidRPr="004F26AF">
        <w:t>2.13</w:t>
      </w:r>
      <w:r w:rsidRPr="004F26AF">
        <w:rPr>
          <w:rtl/>
        </w:rPr>
        <w:t xml:space="preserve"> ‏من محضر الجلسة العامة الثالثة عشرة، الوثيقة </w:t>
      </w:r>
      <w:r w:rsidRPr="004F26AF">
        <w:rPr>
          <w:cs/>
        </w:rPr>
        <w:t>‎</w:t>
      </w:r>
      <w:hyperlink r:id="rId7" w:history="1">
        <w:r w:rsidRPr="004F26AF">
          <w:rPr>
            <w:color w:val="0000FF"/>
            <w:u w:val="single"/>
          </w:rPr>
          <w:t>CMR23/528</w:t>
        </w:r>
      </w:hyperlink>
      <w:r w:rsidRPr="004F26AF">
        <w:rPr>
          <w:rFonts w:hint="cs"/>
          <w:rtl/>
        </w:rPr>
        <w:t>:</w:t>
      </w:r>
    </w:p>
    <w:p w14:paraId="2BA5F43E" w14:textId="437A5B5F" w:rsidR="004F26AF" w:rsidRPr="004F26AF" w:rsidRDefault="004F26AF" w:rsidP="004F26AF">
      <w:pPr>
        <w:spacing w:after="120"/>
        <w:rPr>
          <w:i/>
          <w:iCs/>
          <w:rtl/>
        </w:rPr>
      </w:pPr>
      <w:r w:rsidRPr="004F26AF">
        <w:rPr>
          <w:i/>
          <w:iCs/>
          <w:rtl/>
        </w:rPr>
        <w:t>‏"لدى النظر في القسم ‏</w:t>
      </w:r>
      <w:r w:rsidRPr="004F26AF">
        <w:rPr>
          <w:i/>
          <w:iCs/>
          <w:cs/>
        </w:rPr>
        <w:t>‎</w:t>
      </w:r>
      <w:r w:rsidRPr="004F26AF">
        <w:rPr>
          <w:i/>
          <w:iCs/>
        </w:rPr>
        <w:t>2.4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>‏ من التقرير، "المسائل المتعلقة بتنفيذ القرار ‏</w:t>
      </w:r>
      <w:r w:rsidRPr="004F26AF">
        <w:rPr>
          <w:i/>
          <w:iCs/>
          <w:cs/>
        </w:rPr>
        <w:t>‎</w:t>
      </w:r>
      <w:r w:rsidRPr="004F26AF">
        <w:rPr>
          <w:b/>
          <w:bCs/>
          <w:i/>
          <w:iCs/>
        </w:rPr>
        <w:t>559 (WRC-19)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>‏"، نظر المؤتمر ‏</w:t>
      </w:r>
      <w:r w:rsidRPr="004F26AF">
        <w:rPr>
          <w:i/>
          <w:iCs/>
        </w:rPr>
        <w:t>WRC-23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>‏ أيضاً ‏في</w:t>
      </w:r>
      <w:r w:rsidR="001631AD">
        <w:rPr>
          <w:rFonts w:hint="cs"/>
          <w:i/>
          <w:iCs/>
          <w:rtl/>
        </w:rPr>
        <w:t> </w:t>
      </w:r>
      <w:r w:rsidRPr="004F26AF">
        <w:rPr>
          <w:i/>
          <w:iCs/>
          <w:rtl/>
        </w:rPr>
        <w:t>الوثيقة ‏</w:t>
      </w:r>
      <w:r w:rsidRPr="004F26AF">
        <w:rPr>
          <w:i/>
          <w:iCs/>
          <w:cs/>
        </w:rPr>
        <w:t>‎</w:t>
      </w:r>
      <w:r w:rsidRPr="004F26AF">
        <w:rPr>
          <w:i/>
          <w:iCs/>
        </w:rPr>
        <w:t>87(Add.26)(Add.2)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 xml:space="preserve">‏. وبالإضافة إلى تأييد جميع التدابير الإضافية التي اقترحتها لجنة لوائح الراديو لتنفيذ القرار </w:t>
      </w:r>
      <w:r w:rsidRPr="004F26AF">
        <w:rPr>
          <w:b/>
          <w:bCs/>
          <w:i/>
          <w:iCs/>
          <w:rtl/>
        </w:rPr>
        <w:t>‏‏(‏</w:t>
      </w:r>
      <w:r w:rsidRPr="004F26AF">
        <w:rPr>
          <w:b/>
          <w:bCs/>
          <w:i/>
          <w:iCs/>
        </w:rPr>
        <w:t>WRC</w:t>
      </w:r>
      <w:r w:rsidRPr="004F26AF">
        <w:rPr>
          <w:b/>
          <w:bCs/>
          <w:i/>
          <w:iCs/>
        </w:rPr>
        <w:noBreakHyphen/>
        <w:t>19</w:t>
      </w:r>
      <w:r w:rsidRPr="004F26AF">
        <w:rPr>
          <w:b/>
          <w:bCs/>
          <w:i/>
          <w:iCs/>
          <w:cs/>
        </w:rPr>
        <w:t>‎</w:t>
      </w:r>
      <w:r w:rsidRPr="004F26AF">
        <w:rPr>
          <w:b/>
          <w:bCs/>
          <w:i/>
          <w:iCs/>
          <w:rtl/>
        </w:rPr>
        <w:t xml:space="preserve">‏) </w:t>
      </w:r>
      <w:r w:rsidR="001631AD">
        <w:rPr>
          <w:b/>
          <w:bCs/>
          <w:i/>
          <w:iCs/>
        </w:rPr>
        <w:t>559</w:t>
      </w:r>
      <w:r w:rsidRPr="004F26AF">
        <w:rPr>
          <w:i/>
          <w:iCs/>
          <w:rtl/>
        </w:rPr>
        <w:t>، تحتوي هذه الوثيقة على مقترحات بشأن التدابير الإضافية التي سيوافق عليها المؤتمر العالمي ‏للاتصالات الراديوية للمساعدة في حل حالات التنسيق المتبقية على النحو التالي:</w:t>
      </w:r>
    </w:p>
    <w:p w14:paraId="1897ABF8" w14:textId="7FB30645" w:rsidR="004F26AF" w:rsidRPr="004F26AF" w:rsidRDefault="004F26AF" w:rsidP="004F26AF">
      <w:pPr>
        <w:spacing w:after="120"/>
        <w:rPr>
          <w:i/>
          <w:iCs/>
          <w:rtl/>
        </w:rPr>
      </w:pPr>
      <w:r w:rsidRPr="004F26AF">
        <w:rPr>
          <w:i/>
          <w:iCs/>
        </w:rPr>
        <w:t>1</w:t>
      </w:r>
      <w:r w:rsidRPr="004F26AF">
        <w:rPr>
          <w:i/>
          <w:iCs/>
        </w:rPr>
        <w:tab/>
      </w:r>
      <w:r w:rsidRPr="004F26AF">
        <w:rPr>
          <w:i/>
          <w:iCs/>
          <w:rtl/>
        </w:rPr>
        <w:t xml:space="preserve">فيما يتعلق بحالات التنسيق المتبقية بموجب الفقرة </w:t>
      </w:r>
      <w:r w:rsidR="001631AD">
        <w:rPr>
          <w:i/>
          <w:iCs/>
        </w:rPr>
        <w:t>1.1.4</w:t>
      </w:r>
      <w:r w:rsidRPr="004F26AF">
        <w:rPr>
          <w:i/>
          <w:iCs/>
          <w:rtl/>
        </w:rPr>
        <w:t xml:space="preserve">ب) من التذييل </w:t>
      </w:r>
      <w:r w:rsidRPr="001631AD">
        <w:rPr>
          <w:b/>
          <w:bCs/>
          <w:i/>
          <w:iCs/>
        </w:rPr>
        <w:t>30</w:t>
      </w:r>
      <w:r w:rsidRPr="004F26AF">
        <w:rPr>
          <w:i/>
          <w:iCs/>
          <w:rtl/>
        </w:rPr>
        <w:t xml:space="preserve"> للوائح الراديو، وافق المؤتمر</w:t>
      </w:r>
      <w:r w:rsidRPr="004F26AF">
        <w:rPr>
          <w:rFonts w:hint="cs"/>
          <w:i/>
          <w:iCs/>
          <w:rtl/>
        </w:rPr>
        <w:t> </w:t>
      </w:r>
      <w:r w:rsidRPr="004F26AF">
        <w:rPr>
          <w:i/>
          <w:iCs/>
          <w:rtl/>
        </w:rPr>
        <w:t>‏</w:t>
      </w:r>
      <w:r w:rsidRPr="004F26AF">
        <w:rPr>
          <w:i/>
          <w:iCs/>
        </w:rPr>
        <w:t>WRC</w:t>
      </w:r>
      <w:r w:rsidRPr="004F26AF">
        <w:rPr>
          <w:i/>
          <w:iCs/>
        </w:rPr>
        <w:noBreakHyphen/>
        <w:t>23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>‏ على التدابير التالية:‏</w:t>
      </w:r>
    </w:p>
    <w:p w14:paraId="0DACFA7A" w14:textId="4F463EBF" w:rsidR="004F26AF" w:rsidRPr="004F26AF" w:rsidRDefault="004F26AF" w:rsidP="004F26AF">
      <w:pPr>
        <w:spacing w:before="80" w:after="80"/>
        <w:ind w:left="794" w:hanging="794"/>
        <w:rPr>
          <w:i/>
          <w:iCs/>
          <w:rtl/>
        </w:rPr>
      </w:pPr>
      <w:r w:rsidRPr="004F26AF">
        <w:rPr>
          <w:i/>
          <w:iCs/>
          <w:rtl/>
        </w:rPr>
        <w:t>‏ أ )‏</w:t>
      </w:r>
      <w:r w:rsidRPr="004F26AF">
        <w:rPr>
          <w:i/>
          <w:iCs/>
          <w:rtl/>
        </w:rPr>
        <w:tab/>
        <w:t>أن تقبل الإدارة المبلغة عن استعمال إضافي (أي تخصيصات في القائمة و/أو الشبكات المعلقة ‏بموجب المادة</w:t>
      </w:r>
      <w:r w:rsidRPr="004F26AF">
        <w:rPr>
          <w:rFonts w:hint="cs"/>
          <w:i/>
          <w:iCs/>
          <w:rtl/>
        </w:rPr>
        <w:t> </w:t>
      </w:r>
      <w:r w:rsidR="001631AD">
        <w:rPr>
          <w:i/>
          <w:iCs/>
        </w:rPr>
        <w:t>4</w:t>
      </w:r>
      <w:r w:rsidRPr="004F26AF">
        <w:rPr>
          <w:i/>
          <w:iCs/>
          <w:rtl/>
        </w:rPr>
        <w:t>) احتمال حدوث تداخل على نقاط الاختبار الواقعة ضمن كفاف كسب هوائي يبلغ ‏</w:t>
      </w:r>
      <w:r w:rsidRPr="004F26AF">
        <w:rPr>
          <w:i/>
          <w:iCs/>
        </w:rPr>
        <w:t>dB 3–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 xml:space="preserve">‏ للتبليغ المعني بموجب القرار </w:t>
      </w:r>
      <w:r w:rsidRPr="004F26AF">
        <w:rPr>
          <w:b/>
          <w:bCs/>
          <w:i/>
          <w:iCs/>
          <w:rtl/>
        </w:rPr>
        <w:t>‏</w:t>
      </w:r>
      <w:r w:rsidRPr="004F26AF">
        <w:rPr>
          <w:b/>
          <w:bCs/>
          <w:i/>
          <w:iCs/>
          <w:cs/>
        </w:rPr>
        <w:t>‎</w:t>
      </w:r>
      <w:r w:rsidRPr="004F26AF">
        <w:rPr>
          <w:b/>
          <w:bCs/>
          <w:i/>
          <w:iCs/>
        </w:rPr>
        <w:t>559 (WRC</w:t>
      </w:r>
      <w:r w:rsidRPr="004F26AF">
        <w:rPr>
          <w:b/>
          <w:bCs/>
          <w:i/>
          <w:iCs/>
        </w:rPr>
        <w:noBreakHyphen/>
        <w:t>19)</w:t>
      </w:r>
      <w:r w:rsidRPr="004F26AF">
        <w:rPr>
          <w:b/>
          <w:bCs/>
          <w:i/>
          <w:iCs/>
          <w:cs/>
        </w:rPr>
        <w:t>‎</w:t>
      </w:r>
      <w:r w:rsidRPr="004F26AF">
        <w:rPr>
          <w:i/>
          <w:iCs/>
          <w:rtl/>
        </w:rPr>
        <w:t>‏ نظراً إلى أن الإهليلج هو بالفعل الحد الأدنى ‏الذي أقره المكتب؛</w:t>
      </w:r>
    </w:p>
    <w:p w14:paraId="4011C255" w14:textId="7CD847F0" w:rsidR="004F26AF" w:rsidRPr="004F26AF" w:rsidRDefault="004F26AF" w:rsidP="004F26AF">
      <w:pPr>
        <w:spacing w:before="80" w:after="80"/>
        <w:ind w:left="794" w:hanging="794"/>
        <w:rPr>
          <w:i/>
          <w:iCs/>
          <w:rtl/>
        </w:rPr>
      </w:pPr>
      <w:r w:rsidRPr="004F26AF">
        <w:rPr>
          <w:i/>
          <w:iCs/>
          <w:rtl/>
        </w:rPr>
        <w:t>ب)‏</w:t>
      </w:r>
      <w:r w:rsidRPr="004F26AF">
        <w:rPr>
          <w:i/>
          <w:iCs/>
          <w:rtl/>
        </w:rPr>
        <w:tab/>
        <w:t xml:space="preserve">أن تقبل الإدارة المبلغة عن استعمال إضافي (أي تخصيصات في القائمة و/أو الشبكات المعلقة ‏بموجب المادة </w:t>
      </w:r>
      <w:r w:rsidR="001631AD">
        <w:rPr>
          <w:i/>
          <w:iCs/>
        </w:rPr>
        <w:t>4</w:t>
      </w:r>
      <w:r w:rsidRPr="004F26AF">
        <w:rPr>
          <w:i/>
          <w:iCs/>
          <w:rtl/>
        </w:rPr>
        <w:t>) احتمال حدوث تداخل على نقاط الاختبار الواقعة فوق كفاف كسب هوائي يبلغ ‏</w:t>
      </w:r>
      <w:r w:rsidRPr="004F26AF">
        <w:rPr>
          <w:i/>
          <w:iCs/>
        </w:rPr>
        <w:t xml:space="preserve">dB </w:t>
      </w:r>
      <w:r w:rsidRPr="004F26AF">
        <w:rPr>
          <w:i/>
          <w:iCs/>
          <w:cs/>
        </w:rPr>
        <w:t>‎‎</w:t>
      </w:r>
      <w:r w:rsidRPr="004F26AF">
        <w:rPr>
          <w:i/>
          <w:iCs/>
        </w:rPr>
        <w:t>20–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>‏ للتبليغ المعني المقدم بموجب القرار ‏</w:t>
      </w:r>
      <w:r w:rsidRPr="004F26AF">
        <w:rPr>
          <w:i/>
          <w:iCs/>
          <w:cs/>
        </w:rPr>
        <w:t>‎</w:t>
      </w:r>
      <w:r w:rsidRPr="004F26AF">
        <w:rPr>
          <w:b/>
          <w:bCs/>
          <w:i/>
          <w:iCs/>
        </w:rPr>
        <w:t>559 (WRC</w:t>
      </w:r>
      <w:r w:rsidRPr="004F26AF">
        <w:rPr>
          <w:b/>
          <w:bCs/>
          <w:i/>
          <w:iCs/>
        </w:rPr>
        <w:noBreakHyphen/>
        <w:t>19)</w:t>
      </w:r>
      <w:r w:rsidRPr="004F26AF">
        <w:rPr>
          <w:b/>
          <w:bCs/>
          <w:i/>
          <w:iCs/>
          <w:cs/>
        </w:rPr>
        <w:t>‎</w:t>
      </w:r>
      <w:r w:rsidRPr="004F26AF">
        <w:rPr>
          <w:i/>
          <w:iCs/>
          <w:rtl/>
        </w:rPr>
        <w:t>؛</w:t>
      </w:r>
    </w:p>
    <w:p w14:paraId="04591092" w14:textId="77777777" w:rsidR="004F26AF" w:rsidRPr="004F26AF" w:rsidRDefault="004F26AF" w:rsidP="004F26AF">
      <w:pPr>
        <w:spacing w:before="80" w:after="80"/>
        <w:ind w:left="794" w:hanging="794"/>
        <w:rPr>
          <w:i/>
          <w:iCs/>
          <w:rtl/>
        </w:rPr>
      </w:pPr>
      <w:r w:rsidRPr="004F26AF">
        <w:rPr>
          <w:i/>
          <w:iCs/>
          <w:rtl/>
        </w:rPr>
        <w:t>ج)‏</w:t>
      </w:r>
      <w:r w:rsidRPr="004F26AF">
        <w:rPr>
          <w:i/>
          <w:iCs/>
          <w:rtl/>
        </w:rPr>
        <w:tab/>
        <w:t>إذا كان هامش الحماية المكافئة (‏</w:t>
      </w:r>
      <w:r w:rsidRPr="004F26AF">
        <w:rPr>
          <w:i/>
          <w:iCs/>
        </w:rPr>
        <w:t>EPM</w:t>
      </w:r>
      <w:r w:rsidRPr="004F26AF">
        <w:rPr>
          <w:i/>
          <w:iCs/>
          <w:rtl/>
        </w:rPr>
        <w:t>‏) لنقطة اختبار لشبكة استعمال إضافي يقل عن ‏</w:t>
      </w:r>
      <w:r w:rsidRPr="004F26AF">
        <w:rPr>
          <w:i/>
          <w:iCs/>
        </w:rPr>
        <w:t>dB 10–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>‏ ‏وقت قيام المكتب بتفحص الجزء ‏</w:t>
      </w:r>
      <w:r w:rsidRPr="004F26AF">
        <w:rPr>
          <w:i/>
          <w:iCs/>
        </w:rPr>
        <w:t>A</w:t>
      </w:r>
      <w:r w:rsidRPr="004F26AF">
        <w:rPr>
          <w:i/>
          <w:iCs/>
          <w:rtl/>
        </w:rPr>
        <w:t xml:space="preserve">‏ من بطاقات التبليغ المقدّمة بموجب القرار </w:t>
      </w:r>
      <w:r w:rsidRPr="004F26AF">
        <w:rPr>
          <w:b/>
          <w:bCs/>
          <w:i/>
          <w:iCs/>
          <w:rtl/>
        </w:rPr>
        <w:t>‏</w:t>
      </w:r>
      <w:r w:rsidRPr="004F26AF">
        <w:rPr>
          <w:b/>
          <w:bCs/>
          <w:i/>
          <w:iCs/>
          <w:cs/>
        </w:rPr>
        <w:t>‎</w:t>
      </w:r>
      <w:r w:rsidRPr="004F26AF">
        <w:rPr>
          <w:b/>
          <w:bCs/>
          <w:i/>
          <w:iCs/>
        </w:rPr>
        <w:t>559 (WRC</w:t>
      </w:r>
      <w:r w:rsidRPr="004F26AF">
        <w:rPr>
          <w:b/>
          <w:bCs/>
          <w:i/>
          <w:iCs/>
        </w:rPr>
        <w:noBreakHyphen/>
        <w:t>19)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>، ‏ينبغي ألا ينظر المكتب في نقطة الاختبار هذه عند استعراض نتائج التبليغ المعني المقدم بموجب ‏القرار ‏</w:t>
      </w:r>
      <w:r w:rsidRPr="004F26AF">
        <w:rPr>
          <w:i/>
          <w:iCs/>
          <w:cs/>
        </w:rPr>
        <w:t>‎</w:t>
      </w:r>
      <w:r w:rsidRPr="004F26AF">
        <w:rPr>
          <w:b/>
          <w:bCs/>
          <w:i/>
          <w:iCs/>
        </w:rPr>
        <w:t>559 (WRC</w:t>
      </w:r>
      <w:r w:rsidRPr="004F26AF">
        <w:rPr>
          <w:b/>
          <w:bCs/>
          <w:i/>
          <w:iCs/>
        </w:rPr>
        <w:noBreakHyphen/>
        <w:t>19)</w:t>
      </w:r>
      <w:r w:rsidRPr="004F26AF">
        <w:rPr>
          <w:b/>
          <w:bCs/>
          <w:i/>
          <w:iCs/>
          <w:cs/>
        </w:rPr>
        <w:t>‎</w:t>
      </w:r>
      <w:r w:rsidRPr="004F26AF">
        <w:rPr>
          <w:i/>
          <w:iCs/>
          <w:rtl/>
        </w:rPr>
        <w:t>؛</w:t>
      </w:r>
    </w:p>
    <w:p w14:paraId="67DD74C6" w14:textId="6AB93449" w:rsidR="004F26AF" w:rsidRPr="004F26AF" w:rsidRDefault="004F26AF" w:rsidP="004F26AF">
      <w:pPr>
        <w:spacing w:before="80" w:after="80"/>
        <w:ind w:left="794" w:hanging="794"/>
        <w:rPr>
          <w:i/>
          <w:iCs/>
          <w:rtl/>
        </w:rPr>
      </w:pPr>
      <w:r w:rsidRPr="004F26AF">
        <w:rPr>
          <w:i/>
          <w:iCs/>
          <w:rtl/>
        </w:rPr>
        <w:t>د )‏</w:t>
      </w:r>
      <w:r w:rsidRPr="004F26AF">
        <w:rPr>
          <w:i/>
          <w:iCs/>
          <w:rtl/>
        </w:rPr>
        <w:tab/>
        <w:t>يُعتبر التنسيق مستكملاً إذا كان الفصل المداري الاسمي بين تبليغ مقدم بموجب القرار ‏</w:t>
      </w:r>
      <w:r w:rsidRPr="004F26AF">
        <w:rPr>
          <w:i/>
          <w:iCs/>
          <w:cs/>
        </w:rPr>
        <w:t>‎</w:t>
      </w:r>
      <w:r w:rsidRPr="004F26AF">
        <w:rPr>
          <w:b/>
          <w:bCs/>
          <w:i/>
          <w:iCs/>
        </w:rPr>
        <w:t>559 (WRC</w:t>
      </w:r>
      <w:r w:rsidRPr="004F26AF">
        <w:rPr>
          <w:b/>
          <w:bCs/>
          <w:i/>
          <w:iCs/>
        </w:rPr>
        <w:noBreakHyphen/>
        <w:t>19)</w:t>
      </w:r>
      <w:r w:rsidRPr="004F26AF">
        <w:rPr>
          <w:b/>
          <w:bCs/>
          <w:i/>
          <w:iCs/>
          <w:cs/>
        </w:rPr>
        <w:t>‎</w:t>
      </w:r>
      <w:r w:rsidRPr="004F26AF">
        <w:rPr>
          <w:b/>
          <w:bCs/>
          <w:i/>
          <w:iCs/>
          <w:rtl/>
        </w:rPr>
        <w:t>‏</w:t>
      </w:r>
      <w:r w:rsidRPr="004F26AF">
        <w:rPr>
          <w:i/>
          <w:iCs/>
          <w:rtl/>
        </w:rPr>
        <w:t xml:space="preserve"> ‏وشبكة استعمال إضافي يساوي </w:t>
      </w:r>
      <w:r w:rsidR="001631AD">
        <w:rPr>
          <w:i/>
          <w:iCs/>
        </w:rPr>
        <w:t>6</w:t>
      </w:r>
      <w:r w:rsidRPr="004F26AF">
        <w:rPr>
          <w:i/>
          <w:iCs/>
          <w:rtl/>
        </w:rPr>
        <w:t xml:space="preserve"> درجات أو أكثر.‏</w:t>
      </w:r>
    </w:p>
    <w:p w14:paraId="35D5B190" w14:textId="3B67D011" w:rsidR="004F26AF" w:rsidRPr="004F26AF" w:rsidRDefault="004F26AF" w:rsidP="004F26AF">
      <w:pPr>
        <w:spacing w:after="120"/>
        <w:rPr>
          <w:i/>
          <w:iCs/>
          <w:rtl/>
        </w:rPr>
      </w:pPr>
      <w:r w:rsidRPr="004F26AF">
        <w:rPr>
          <w:i/>
          <w:iCs/>
          <w:cs/>
        </w:rPr>
        <w:t>‎</w:t>
      </w:r>
      <w:r w:rsidRPr="004F26AF">
        <w:rPr>
          <w:i/>
          <w:iCs/>
        </w:rPr>
        <w:t>2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ab/>
        <w:t xml:space="preserve">فيما يتعلق بحالات التنسيق المتبقية في إطار الفقرة </w:t>
      </w:r>
      <w:r w:rsidR="001631AD">
        <w:rPr>
          <w:i/>
          <w:iCs/>
        </w:rPr>
        <w:t>1.1.4</w:t>
      </w:r>
      <w:r w:rsidRPr="004F26AF">
        <w:rPr>
          <w:i/>
          <w:iCs/>
          <w:rtl/>
        </w:rPr>
        <w:t xml:space="preserve">هـ) من التذييل </w:t>
      </w:r>
      <w:r w:rsidRPr="001631AD">
        <w:rPr>
          <w:b/>
          <w:bCs/>
          <w:i/>
          <w:iCs/>
        </w:rPr>
        <w:t>30</w:t>
      </w:r>
      <w:r w:rsidRPr="004F26AF">
        <w:rPr>
          <w:i/>
          <w:iCs/>
          <w:rtl/>
        </w:rPr>
        <w:t xml:space="preserve"> للوائح الراديو، وافق المؤتمر</w:t>
      </w:r>
      <w:r w:rsidRPr="004F26AF">
        <w:rPr>
          <w:rFonts w:hint="cs"/>
          <w:i/>
          <w:iCs/>
          <w:rtl/>
        </w:rPr>
        <w:t> </w:t>
      </w:r>
      <w:r w:rsidRPr="004F26AF">
        <w:rPr>
          <w:i/>
          <w:iCs/>
          <w:rtl/>
        </w:rPr>
        <w:t>‏</w:t>
      </w:r>
      <w:r w:rsidRPr="004F26AF">
        <w:rPr>
          <w:i/>
          <w:iCs/>
        </w:rPr>
        <w:t>WRC</w:t>
      </w:r>
      <w:r w:rsidRPr="004F26AF">
        <w:rPr>
          <w:i/>
          <w:iCs/>
        </w:rPr>
        <w:noBreakHyphen/>
        <w:t>23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>‏ على التدابير التالية:‏</w:t>
      </w:r>
    </w:p>
    <w:p w14:paraId="6209AEC9" w14:textId="2E4C921F" w:rsidR="004F26AF" w:rsidRPr="004F26AF" w:rsidRDefault="004F26AF" w:rsidP="004F26AF">
      <w:pPr>
        <w:spacing w:before="80" w:after="80"/>
        <w:ind w:left="794" w:hanging="794"/>
        <w:rPr>
          <w:i/>
          <w:iCs/>
          <w:rtl/>
        </w:rPr>
      </w:pPr>
      <w:r w:rsidRPr="004F26AF">
        <w:rPr>
          <w:i/>
          <w:iCs/>
          <w:rtl/>
        </w:rPr>
        <w:t>‏ أ )‏</w:t>
      </w:r>
      <w:r w:rsidRPr="004F26AF">
        <w:rPr>
          <w:i/>
          <w:iCs/>
          <w:rtl/>
        </w:rPr>
        <w:tab/>
        <w:t>يُعتبر التنسيق مستكملاً إذا كان الفصل المداري الاسمي بين تبليغ مقدم بموجب القرار ‏</w:t>
      </w:r>
      <w:r w:rsidRPr="004F26AF">
        <w:rPr>
          <w:i/>
          <w:iCs/>
          <w:cs/>
        </w:rPr>
        <w:t>‎</w:t>
      </w:r>
      <w:r w:rsidRPr="004F26AF">
        <w:rPr>
          <w:b/>
          <w:bCs/>
          <w:i/>
          <w:iCs/>
        </w:rPr>
        <w:t xml:space="preserve">559 </w:t>
      </w:r>
      <w:r w:rsidRPr="004F26AF">
        <w:rPr>
          <w:b/>
          <w:bCs/>
          <w:i/>
          <w:iCs/>
          <w:cs/>
        </w:rPr>
        <w:t>‎‎</w:t>
      </w:r>
      <w:r w:rsidRPr="004F26AF">
        <w:rPr>
          <w:b/>
          <w:bCs/>
          <w:i/>
          <w:iCs/>
        </w:rPr>
        <w:t>(WRC</w:t>
      </w:r>
      <w:r w:rsidRPr="004F26AF">
        <w:rPr>
          <w:b/>
          <w:bCs/>
          <w:i/>
          <w:iCs/>
        </w:rPr>
        <w:noBreakHyphen/>
        <w:t>19)</w:t>
      </w:r>
      <w:r w:rsidRPr="004F26AF">
        <w:rPr>
          <w:b/>
          <w:bCs/>
          <w:i/>
          <w:iCs/>
          <w:cs/>
        </w:rPr>
        <w:t>‎</w:t>
      </w:r>
      <w:r w:rsidRPr="004F26AF">
        <w:rPr>
          <w:b/>
          <w:bCs/>
          <w:i/>
          <w:iCs/>
          <w:rtl/>
        </w:rPr>
        <w:t>‏</w:t>
      </w:r>
      <w:r w:rsidRPr="004F26AF">
        <w:rPr>
          <w:i/>
          <w:iCs/>
          <w:rtl/>
        </w:rPr>
        <w:t xml:space="preserve"> والشبكة الساتلية في النطاقات غير المخططة المعنية يساوي </w:t>
      </w:r>
      <w:r w:rsidR="001631AD">
        <w:rPr>
          <w:i/>
          <w:iCs/>
        </w:rPr>
        <w:t>6</w:t>
      </w:r>
      <w:r w:rsidRPr="004F26AF">
        <w:rPr>
          <w:i/>
          <w:iCs/>
          <w:rtl/>
        </w:rPr>
        <w:t xml:space="preserve"> درجات أو أكثر؛</w:t>
      </w:r>
    </w:p>
    <w:p w14:paraId="53E1550E" w14:textId="77777777" w:rsidR="007351C6" w:rsidRDefault="007351C6" w:rsidP="007351C6">
      <w:pPr>
        <w:rPr>
          <w:rtl/>
          <w:lang w:bidi="ar-EG"/>
        </w:rPr>
      </w:pPr>
      <w:r>
        <w:rPr>
          <w:rtl/>
          <w:lang w:bidi="ar-EG"/>
        </w:rPr>
        <w:br w:type="page"/>
      </w:r>
    </w:p>
    <w:p w14:paraId="28834E2E" w14:textId="7A48BF57" w:rsidR="004F26AF" w:rsidRPr="004F26AF" w:rsidRDefault="004F26AF" w:rsidP="004F26AF">
      <w:pPr>
        <w:spacing w:before="80" w:after="80"/>
        <w:ind w:left="794" w:hanging="794"/>
        <w:rPr>
          <w:i/>
          <w:iCs/>
          <w:rtl/>
        </w:rPr>
      </w:pPr>
      <w:r w:rsidRPr="004F26AF">
        <w:rPr>
          <w:i/>
          <w:iCs/>
          <w:rtl/>
        </w:rPr>
        <w:lastRenderedPageBreak/>
        <w:t>ب)‏</w:t>
      </w:r>
      <w:r w:rsidRPr="004F26AF">
        <w:rPr>
          <w:i/>
          <w:iCs/>
          <w:rtl/>
        </w:rPr>
        <w:tab/>
        <w:t>ينبغي أن تكون منطقة خدمة شبكة ساتلية في نطاقات غير مخططة يزمع النظر فيها موجودة في ‏البر وأن تقع ضمن كفاف كسب هوائي يبلغ ‏</w:t>
      </w:r>
      <w:r w:rsidRPr="004F26AF">
        <w:rPr>
          <w:i/>
          <w:iCs/>
        </w:rPr>
        <w:t>dB 3–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>‏ حول تلك الشبكة الساتلية في النطاقات غير ‏المخططة بدلاً من منطقة الخدمة المبلغ عنها التي قد تشمل المنطقة ذات كفاف كسب هوائي ‏نسبي منخفض جداً. والجدير بالذكر أن الشبكة الساتلية في نطاقات غير مخططة لا تحمي إلا التبليغ ‏المقدم بموجب القرار ‏</w:t>
      </w:r>
      <w:r w:rsidRPr="004F26AF">
        <w:rPr>
          <w:i/>
          <w:iCs/>
          <w:cs/>
        </w:rPr>
        <w:t>‎</w:t>
      </w:r>
      <w:r w:rsidRPr="004F26AF">
        <w:rPr>
          <w:b/>
          <w:bCs/>
          <w:i/>
          <w:iCs/>
        </w:rPr>
        <w:t>559 (WRC</w:t>
      </w:r>
      <w:r w:rsidRPr="004F26AF">
        <w:rPr>
          <w:b/>
          <w:bCs/>
          <w:i/>
          <w:iCs/>
          <w:lang w:val="en-US"/>
        </w:rPr>
        <w:noBreakHyphen/>
      </w:r>
      <w:r w:rsidRPr="004F26AF">
        <w:rPr>
          <w:b/>
          <w:bCs/>
          <w:i/>
          <w:iCs/>
        </w:rPr>
        <w:t>19)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>‏ في منطقة خدمة موجودة في البر وتقع ضمن كفاف كسب ‏هوائيها البالغ ‏</w:t>
      </w:r>
      <w:r w:rsidRPr="004F26AF">
        <w:rPr>
          <w:i/>
          <w:iCs/>
        </w:rPr>
        <w:t>dB 3–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>؛</w:t>
      </w:r>
    </w:p>
    <w:p w14:paraId="505B0989" w14:textId="596AD966" w:rsidR="004F26AF" w:rsidRPr="004F26AF" w:rsidRDefault="004F26AF" w:rsidP="004F26AF">
      <w:pPr>
        <w:spacing w:before="80" w:after="80"/>
        <w:ind w:left="794" w:hanging="794"/>
        <w:rPr>
          <w:i/>
          <w:iCs/>
          <w:rtl/>
        </w:rPr>
      </w:pPr>
      <w:r w:rsidRPr="004F26AF">
        <w:rPr>
          <w:i/>
          <w:iCs/>
          <w:rtl/>
        </w:rPr>
        <w:t>ج)‏</w:t>
      </w:r>
      <w:r w:rsidRPr="004F26AF">
        <w:rPr>
          <w:i/>
          <w:iCs/>
          <w:rtl/>
        </w:rPr>
        <w:tab/>
        <w:t>إذا وافقت إدارة ما على عدم حماية المنطقة الواقعة داخل أراضيها الوطنية والتي يتم فيها تجاوز حد ‏كثافة تدفق القدرة (‏</w:t>
      </w:r>
      <w:proofErr w:type="spellStart"/>
      <w:r w:rsidRPr="004F26AF">
        <w:rPr>
          <w:i/>
          <w:iCs/>
        </w:rPr>
        <w:t>pfd</w:t>
      </w:r>
      <w:proofErr w:type="spellEnd"/>
      <w:r w:rsidRPr="004F26AF">
        <w:rPr>
          <w:i/>
          <w:iCs/>
          <w:rtl/>
        </w:rPr>
        <w:t>‏)، لن ينظر المكتب في هذا الجزء من منطقة الخدمة عند استعراض ‏متطلبات التنسيق المتبقية في</w:t>
      </w:r>
      <w:r w:rsidR="001631AD">
        <w:rPr>
          <w:rFonts w:hint="cs"/>
          <w:i/>
          <w:iCs/>
          <w:rtl/>
        </w:rPr>
        <w:t> </w:t>
      </w:r>
      <w:r w:rsidRPr="004F26AF">
        <w:rPr>
          <w:i/>
          <w:iCs/>
          <w:rtl/>
        </w:rPr>
        <w:t>تبليغ مقدم بموجب القرار ‏</w:t>
      </w:r>
      <w:r w:rsidRPr="004F26AF">
        <w:rPr>
          <w:i/>
          <w:iCs/>
          <w:cs/>
        </w:rPr>
        <w:t>‎</w:t>
      </w:r>
      <w:r w:rsidRPr="004F26AF">
        <w:rPr>
          <w:b/>
          <w:bCs/>
          <w:i/>
          <w:iCs/>
        </w:rPr>
        <w:t>559 (WRC</w:t>
      </w:r>
      <w:r w:rsidRPr="004F26AF">
        <w:rPr>
          <w:b/>
          <w:bCs/>
          <w:i/>
          <w:iCs/>
        </w:rPr>
        <w:noBreakHyphen/>
        <w:t>19)</w:t>
      </w:r>
      <w:r w:rsidRPr="004F26AF">
        <w:rPr>
          <w:b/>
          <w:bCs/>
          <w:i/>
          <w:iCs/>
          <w:cs/>
        </w:rPr>
        <w:t>‎</w:t>
      </w:r>
      <w:r w:rsidRPr="004F26AF">
        <w:rPr>
          <w:i/>
          <w:iCs/>
          <w:rtl/>
        </w:rPr>
        <w:t>؛</w:t>
      </w:r>
    </w:p>
    <w:p w14:paraId="4F89A9E8" w14:textId="77777777" w:rsidR="004F26AF" w:rsidRPr="004F26AF" w:rsidRDefault="004F26AF" w:rsidP="004F26AF">
      <w:pPr>
        <w:spacing w:before="80" w:after="80"/>
        <w:ind w:left="794" w:hanging="794"/>
        <w:rPr>
          <w:i/>
          <w:iCs/>
          <w:rtl/>
          <w:lang w:bidi="ar-EG"/>
        </w:rPr>
      </w:pPr>
      <w:r w:rsidRPr="004F26AF">
        <w:rPr>
          <w:i/>
          <w:iCs/>
          <w:rtl/>
        </w:rPr>
        <w:t>د )‏</w:t>
      </w:r>
      <w:r w:rsidRPr="004F26AF">
        <w:rPr>
          <w:i/>
          <w:iCs/>
          <w:rtl/>
        </w:rPr>
        <w:tab/>
        <w:t>على الإدارة المبلغة عن شبكة ساتلية في نطاقات غير مخططة قبول احتمال حدوث تداخل في ‏منطقة خدمتها الواقعة فوق كفاف كسب الهوائي البالغ ‏</w:t>
      </w:r>
      <w:r w:rsidRPr="004F26AF">
        <w:rPr>
          <w:i/>
          <w:iCs/>
        </w:rPr>
        <w:t>dB 20–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 xml:space="preserve">‏ للتبليغ المعني المقدم بموجب ‏القرار </w:t>
      </w:r>
      <w:r w:rsidRPr="004F26AF">
        <w:rPr>
          <w:b/>
          <w:bCs/>
          <w:i/>
          <w:iCs/>
        </w:rPr>
        <w:t>559 (WRC</w:t>
      </w:r>
      <w:r w:rsidRPr="004F26AF">
        <w:rPr>
          <w:b/>
          <w:bCs/>
          <w:i/>
          <w:iCs/>
        </w:rPr>
        <w:noBreakHyphen/>
        <w:t>19)</w:t>
      </w:r>
      <w:r w:rsidRPr="004F26AF">
        <w:rPr>
          <w:b/>
          <w:bCs/>
          <w:i/>
          <w:iCs/>
          <w:cs/>
        </w:rPr>
        <w:t>‎</w:t>
      </w:r>
      <w:r w:rsidRPr="004F26AF">
        <w:rPr>
          <w:i/>
          <w:iCs/>
          <w:rtl/>
        </w:rPr>
        <w:t>‏</w:t>
      </w:r>
      <w:r w:rsidRPr="004F26AF">
        <w:rPr>
          <w:rFonts w:hint="cs"/>
          <w:i/>
          <w:iCs/>
          <w:rtl/>
        </w:rPr>
        <w:t>.</w:t>
      </w:r>
    </w:p>
    <w:p w14:paraId="6F47FAA7" w14:textId="752BD499" w:rsidR="004F26AF" w:rsidRPr="004F26AF" w:rsidRDefault="004F26AF" w:rsidP="004F26AF">
      <w:pPr>
        <w:keepNext/>
        <w:spacing w:after="120"/>
        <w:rPr>
          <w:i/>
          <w:iCs/>
          <w:rtl/>
        </w:rPr>
      </w:pPr>
      <w:r w:rsidRPr="004F26AF">
        <w:rPr>
          <w:i/>
          <w:iCs/>
          <w:cs/>
        </w:rPr>
        <w:t>‎</w:t>
      </w:r>
      <w:r w:rsidRPr="004F26AF">
        <w:rPr>
          <w:i/>
          <w:iCs/>
        </w:rPr>
        <w:t>3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ab/>
        <w:t xml:space="preserve">فيما يتعلق بحالات التنسيق المتبقية بموجب الرقم </w:t>
      </w:r>
      <w:r w:rsidR="001631AD">
        <w:rPr>
          <w:i/>
          <w:iCs/>
        </w:rPr>
        <w:t>1.1.4</w:t>
      </w:r>
      <w:r w:rsidRPr="004F26AF">
        <w:rPr>
          <w:i/>
          <w:iCs/>
          <w:rtl/>
        </w:rPr>
        <w:t>ب) من التذييل ‏</w:t>
      </w:r>
      <w:r w:rsidRPr="004F26AF">
        <w:rPr>
          <w:i/>
          <w:iCs/>
          <w:cs/>
        </w:rPr>
        <w:t>‎</w:t>
      </w:r>
      <w:r w:rsidRPr="004F26AF">
        <w:rPr>
          <w:b/>
          <w:bCs/>
          <w:i/>
          <w:iCs/>
        </w:rPr>
        <w:t>30A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 xml:space="preserve">‏ للوائح الراديو، وافق المؤتمر ‏العالمي للاتصالات الراديوية لعام </w:t>
      </w:r>
      <w:r w:rsidR="001631AD">
        <w:rPr>
          <w:i/>
          <w:iCs/>
        </w:rPr>
        <w:t>2023</w:t>
      </w:r>
      <w:r w:rsidRPr="004F26AF">
        <w:rPr>
          <w:i/>
          <w:iCs/>
          <w:rtl/>
        </w:rPr>
        <w:t xml:space="preserve"> على أن تعتبر حالات التنسيق المتبقية قد استكملت نظراً لما يلي:‏</w:t>
      </w:r>
    </w:p>
    <w:p w14:paraId="3767BC8C" w14:textId="77777777" w:rsidR="004F26AF" w:rsidRPr="004F26AF" w:rsidRDefault="004F26AF" w:rsidP="004F26AF">
      <w:pPr>
        <w:spacing w:before="80" w:after="80"/>
        <w:ind w:left="794" w:hanging="794"/>
        <w:rPr>
          <w:i/>
          <w:iCs/>
          <w:rtl/>
        </w:rPr>
      </w:pPr>
      <w:r w:rsidRPr="004F26AF">
        <w:rPr>
          <w:i/>
          <w:iCs/>
          <w:rtl/>
        </w:rPr>
        <w:t>‏ أ )‏</w:t>
      </w:r>
      <w:r w:rsidRPr="004F26AF">
        <w:rPr>
          <w:i/>
          <w:iCs/>
          <w:rtl/>
        </w:rPr>
        <w:tab/>
        <w:t>توفّر الشبكات الساتلية بموجب المادة 4 تغطيةً واسعةً جداً، مع حساسية استقبال عالية جداً ‏على الأراضي الوطنية للإدارة المعنية بموجب القرار ‏</w:t>
      </w:r>
      <w:r w:rsidRPr="004F26AF">
        <w:rPr>
          <w:i/>
          <w:iCs/>
          <w:cs/>
        </w:rPr>
        <w:t>‎</w:t>
      </w:r>
      <w:r w:rsidRPr="004F26AF">
        <w:rPr>
          <w:b/>
          <w:bCs/>
          <w:i/>
          <w:iCs/>
        </w:rPr>
        <w:t>559 (WRC</w:t>
      </w:r>
      <w:r w:rsidRPr="004F26AF">
        <w:rPr>
          <w:b/>
          <w:bCs/>
          <w:i/>
          <w:iCs/>
        </w:rPr>
        <w:noBreakHyphen/>
        <w:t>19)</w:t>
      </w:r>
      <w:r w:rsidRPr="004F26AF">
        <w:rPr>
          <w:b/>
          <w:bCs/>
          <w:i/>
          <w:iCs/>
          <w:cs/>
        </w:rPr>
        <w:t>‎</w:t>
      </w:r>
      <w:r w:rsidRPr="004F26AF">
        <w:rPr>
          <w:i/>
          <w:iCs/>
          <w:rtl/>
        </w:rPr>
        <w:t>؛</w:t>
      </w:r>
    </w:p>
    <w:p w14:paraId="21B925A5" w14:textId="2C097D52" w:rsidR="004F26AF" w:rsidRPr="004F26AF" w:rsidRDefault="004F26AF" w:rsidP="004F26AF">
      <w:pPr>
        <w:spacing w:before="80" w:after="80"/>
        <w:ind w:left="794" w:hanging="794"/>
        <w:rPr>
          <w:i/>
          <w:iCs/>
          <w:rtl/>
        </w:rPr>
      </w:pPr>
      <w:r w:rsidRPr="004F26AF">
        <w:rPr>
          <w:i/>
          <w:iCs/>
          <w:rtl/>
        </w:rPr>
        <w:t>ب)‏</w:t>
      </w:r>
      <w:r w:rsidRPr="004F26AF">
        <w:rPr>
          <w:i/>
          <w:iCs/>
          <w:rtl/>
        </w:rPr>
        <w:tab/>
        <w:t xml:space="preserve">تمتد مناطق التغطية للشبكات الساتلية المذكورة في المادة </w:t>
      </w:r>
      <w:r w:rsidR="001631AD">
        <w:rPr>
          <w:i/>
          <w:iCs/>
        </w:rPr>
        <w:t>4</w:t>
      </w:r>
      <w:r w:rsidRPr="004F26AF">
        <w:rPr>
          <w:i/>
          <w:iCs/>
          <w:rtl/>
        </w:rPr>
        <w:t xml:space="preserve"> إلى ما هو أبعد من الأراضي الوطنية ‏للإدارات المبلغة في حين أن المحطات الأرضية التي تؤمن وصلات التغذية للتبليغ المعني بموجب ‏القرار</w:t>
      </w:r>
      <w:r w:rsidRPr="004F26AF">
        <w:rPr>
          <w:rFonts w:hint="cs"/>
          <w:i/>
          <w:iCs/>
          <w:rtl/>
        </w:rPr>
        <w:t> </w:t>
      </w:r>
      <w:r w:rsidRPr="004F26AF">
        <w:rPr>
          <w:i/>
          <w:iCs/>
          <w:rtl/>
        </w:rPr>
        <w:t>‏</w:t>
      </w:r>
      <w:r w:rsidRPr="004F26AF">
        <w:rPr>
          <w:i/>
          <w:iCs/>
          <w:cs/>
        </w:rPr>
        <w:t>‎</w:t>
      </w:r>
      <w:r w:rsidRPr="004F26AF">
        <w:rPr>
          <w:b/>
          <w:bCs/>
          <w:i/>
          <w:iCs/>
        </w:rPr>
        <w:t>559 (WRC</w:t>
      </w:r>
      <w:r w:rsidRPr="004F26AF">
        <w:rPr>
          <w:b/>
          <w:bCs/>
          <w:i/>
          <w:iCs/>
        </w:rPr>
        <w:noBreakHyphen/>
        <w:t>19)</w:t>
      </w:r>
      <w:r w:rsidRPr="004F26AF">
        <w:rPr>
          <w:b/>
          <w:bCs/>
          <w:i/>
          <w:iCs/>
          <w:cs/>
        </w:rPr>
        <w:t>‎</w:t>
      </w:r>
      <w:r w:rsidRPr="004F26AF">
        <w:rPr>
          <w:rFonts w:hint="cs"/>
          <w:b/>
          <w:bCs/>
          <w:i/>
          <w:iCs/>
          <w:rtl/>
          <w:cs/>
        </w:rPr>
        <w:t xml:space="preserve"> </w:t>
      </w:r>
      <w:r w:rsidRPr="004F26AF">
        <w:rPr>
          <w:i/>
          <w:iCs/>
          <w:rtl/>
        </w:rPr>
        <w:t>تقع فقط داخل الأراضي الوطنية ولا يمكن تقليصها أكثر من ذلك؛</w:t>
      </w:r>
    </w:p>
    <w:p w14:paraId="56E5FC2A" w14:textId="527BE764" w:rsidR="004F26AF" w:rsidRPr="004F26AF" w:rsidRDefault="004F26AF" w:rsidP="004F26AF">
      <w:pPr>
        <w:spacing w:before="80" w:after="80"/>
        <w:ind w:left="794" w:hanging="794"/>
        <w:rPr>
          <w:i/>
          <w:iCs/>
          <w:rtl/>
        </w:rPr>
      </w:pPr>
      <w:r w:rsidRPr="004F26AF">
        <w:rPr>
          <w:i/>
          <w:iCs/>
          <w:rtl/>
        </w:rPr>
        <w:t>ج)‏</w:t>
      </w:r>
      <w:r w:rsidRPr="004F26AF">
        <w:rPr>
          <w:i/>
          <w:iCs/>
          <w:rtl/>
        </w:rPr>
        <w:tab/>
        <w:t xml:space="preserve">الغرض من القرار </w:t>
      </w:r>
      <w:r w:rsidRPr="004F26AF">
        <w:rPr>
          <w:b/>
          <w:bCs/>
          <w:i/>
          <w:iCs/>
          <w:rtl/>
        </w:rPr>
        <w:t>‏</w:t>
      </w:r>
      <w:r w:rsidRPr="004F26AF">
        <w:rPr>
          <w:b/>
          <w:bCs/>
          <w:i/>
          <w:iCs/>
          <w:cs/>
        </w:rPr>
        <w:t>‎</w:t>
      </w:r>
      <w:r w:rsidRPr="004F26AF">
        <w:rPr>
          <w:b/>
          <w:bCs/>
          <w:i/>
          <w:iCs/>
        </w:rPr>
        <w:t>2 (Rev.WRC-03)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>‏ والموضوع ‏</w:t>
      </w:r>
      <w:r w:rsidRPr="004F26AF">
        <w:rPr>
          <w:i/>
          <w:iCs/>
        </w:rPr>
        <w:t>F</w:t>
      </w:r>
      <w:r w:rsidRPr="004F26AF">
        <w:rPr>
          <w:i/>
          <w:iCs/>
          <w:rtl/>
        </w:rPr>
        <w:t xml:space="preserve">‏ في البند </w:t>
      </w:r>
      <w:r w:rsidR="001631AD">
        <w:rPr>
          <w:i/>
          <w:iCs/>
        </w:rPr>
        <w:t>7</w:t>
      </w:r>
      <w:r w:rsidRPr="004F26AF">
        <w:rPr>
          <w:i/>
          <w:iCs/>
          <w:rtl/>
        </w:rPr>
        <w:t xml:space="preserve"> من جدول أعمال المؤتمر ‏</w:t>
      </w:r>
      <w:r w:rsidRPr="004F26AF">
        <w:rPr>
          <w:i/>
          <w:iCs/>
        </w:rPr>
        <w:t>WRC-23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>‏.‏</w:t>
      </w:r>
    </w:p>
    <w:p w14:paraId="5007AD33" w14:textId="6A1DE627" w:rsidR="004F26AF" w:rsidRPr="004F26AF" w:rsidRDefault="004F26AF" w:rsidP="004F26AF">
      <w:pPr>
        <w:spacing w:after="120"/>
        <w:rPr>
          <w:i/>
          <w:iCs/>
          <w:rtl/>
        </w:rPr>
      </w:pPr>
      <w:r w:rsidRPr="004F26AF">
        <w:rPr>
          <w:i/>
          <w:iCs/>
          <w:cs/>
        </w:rPr>
        <w:t>‎</w:t>
      </w:r>
      <w:r w:rsidRPr="004F26AF">
        <w:rPr>
          <w:i/>
          <w:iCs/>
        </w:rPr>
        <w:t>4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ab/>
        <w:t xml:space="preserve">فيما يتعلق بحالات التنسيق المتبقية بموجب الرقم </w:t>
      </w:r>
      <w:r w:rsidR="001631AD">
        <w:rPr>
          <w:i/>
          <w:iCs/>
        </w:rPr>
        <w:t>1.1.4</w:t>
      </w:r>
      <w:r w:rsidRPr="004F26AF">
        <w:rPr>
          <w:i/>
          <w:iCs/>
          <w:rtl/>
        </w:rPr>
        <w:t xml:space="preserve">أ) من التذييل </w:t>
      </w:r>
      <w:r w:rsidRPr="001631AD">
        <w:rPr>
          <w:b/>
          <w:bCs/>
          <w:i/>
          <w:iCs/>
        </w:rPr>
        <w:t>30</w:t>
      </w:r>
      <w:r w:rsidRPr="004F26AF">
        <w:rPr>
          <w:i/>
          <w:iCs/>
          <w:rtl/>
        </w:rPr>
        <w:t xml:space="preserve"> والتذييل </w:t>
      </w:r>
      <w:r w:rsidRPr="004F26AF">
        <w:rPr>
          <w:b/>
          <w:bCs/>
          <w:i/>
          <w:iCs/>
          <w:rtl/>
        </w:rPr>
        <w:t>‏</w:t>
      </w:r>
      <w:r w:rsidRPr="004F26AF">
        <w:rPr>
          <w:b/>
          <w:bCs/>
          <w:i/>
          <w:iCs/>
          <w:cs/>
        </w:rPr>
        <w:t>‎</w:t>
      </w:r>
      <w:r w:rsidRPr="004F26AF">
        <w:rPr>
          <w:b/>
          <w:bCs/>
          <w:i/>
          <w:iCs/>
        </w:rPr>
        <w:t>30A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 xml:space="preserve">، وافق المؤتمر ‏العالمي للاتصالات الراديوية لعام </w:t>
      </w:r>
      <w:r w:rsidR="001631AD">
        <w:rPr>
          <w:i/>
          <w:iCs/>
        </w:rPr>
        <w:t>2023</w:t>
      </w:r>
      <w:r w:rsidRPr="004F26AF">
        <w:rPr>
          <w:i/>
          <w:iCs/>
          <w:rtl/>
        </w:rPr>
        <w:t xml:space="preserve"> على التدابير التالية:‏</w:t>
      </w:r>
    </w:p>
    <w:p w14:paraId="518C647A" w14:textId="01E99E26" w:rsidR="004F26AF" w:rsidRPr="004F26AF" w:rsidRDefault="004F26AF" w:rsidP="004F26AF">
      <w:pPr>
        <w:spacing w:before="80" w:after="80"/>
        <w:ind w:left="794" w:hanging="794"/>
        <w:rPr>
          <w:i/>
          <w:iCs/>
          <w:rtl/>
        </w:rPr>
      </w:pPr>
      <w:r w:rsidRPr="004F26AF">
        <w:rPr>
          <w:i/>
          <w:iCs/>
          <w:rtl/>
        </w:rPr>
        <w:t>‏ أ )‏</w:t>
      </w:r>
      <w:r w:rsidRPr="004F26AF">
        <w:rPr>
          <w:i/>
          <w:iCs/>
          <w:rtl/>
        </w:rPr>
        <w:tab/>
        <w:t>في حالة تخصيصات خطة الحزم المتعددة، فإذا كانت قيم نسبة الموجة الحاملة إلى التداخل (‏</w:t>
      </w:r>
      <w:r w:rsidRPr="004F26AF">
        <w:rPr>
          <w:i/>
          <w:iCs/>
        </w:rPr>
        <w:t>C/I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>‏) ‏وحيدة المصدر للوصلة الهابطة أعلى من ‏</w:t>
      </w:r>
      <w:r w:rsidRPr="004F26AF">
        <w:rPr>
          <w:i/>
          <w:iCs/>
        </w:rPr>
        <w:t>dB 21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>‏ باستثناء نقطة اختبار واحدة حيث تكون نسبة ‏الموجة الحاملة إلى التداخل وحيدة المصدر أكبر من ‏</w:t>
      </w:r>
      <w:r w:rsidRPr="004F26AF">
        <w:rPr>
          <w:i/>
          <w:iCs/>
        </w:rPr>
        <w:t>dB 18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 xml:space="preserve">، تُعتبر التبليغات المقدمة بموجب القرار </w:t>
      </w:r>
      <w:r w:rsidRPr="004F26AF">
        <w:rPr>
          <w:b/>
          <w:bCs/>
          <w:i/>
          <w:iCs/>
        </w:rPr>
        <w:t>559 (WRC</w:t>
      </w:r>
      <w:r w:rsidRPr="004F26AF">
        <w:rPr>
          <w:b/>
          <w:bCs/>
          <w:i/>
          <w:iCs/>
        </w:rPr>
        <w:noBreakHyphen/>
        <w:t>19)</w:t>
      </w:r>
      <w:r w:rsidRPr="004F26AF">
        <w:rPr>
          <w:b/>
          <w:bCs/>
          <w:i/>
          <w:iCs/>
          <w:cs/>
        </w:rPr>
        <w:t>‎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>‏ متوافقةً مع ما يقابلها من تخصيصات التردد</w:t>
      </w:r>
      <w:r w:rsidRPr="004F26AF">
        <w:rPr>
          <w:rFonts w:hint="cs"/>
          <w:i/>
          <w:iCs/>
          <w:rtl/>
        </w:rPr>
        <w:t>ات</w:t>
      </w:r>
      <w:r w:rsidRPr="004F26AF">
        <w:rPr>
          <w:i/>
          <w:iCs/>
          <w:rtl/>
        </w:rPr>
        <w:t xml:space="preserve"> لخطة الإقليمين </w:t>
      </w:r>
      <w:r w:rsidR="001631AD">
        <w:rPr>
          <w:i/>
          <w:iCs/>
        </w:rPr>
        <w:t>1</w:t>
      </w:r>
      <w:r w:rsidRPr="004F26AF">
        <w:rPr>
          <w:i/>
          <w:iCs/>
          <w:rtl/>
        </w:rPr>
        <w:t xml:space="preserve"> و</w:t>
      </w:r>
      <w:r w:rsidR="001631AD">
        <w:rPr>
          <w:i/>
          <w:iCs/>
        </w:rPr>
        <w:t>3</w:t>
      </w:r>
      <w:r w:rsidRPr="004F26AF">
        <w:rPr>
          <w:i/>
          <w:iCs/>
          <w:rtl/>
        </w:rPr>
        <w:t>. ومن أجل ‏الحفاظ على نفس مستوى الحماية لتخصيصات التردد</w:t>
      </w:r>
      <w:r w:rsidRPr="004F26AF">
        <w:rPr>
          <w:rFonts w:hint="cs"/>
          <w:i/>
          <w:iCs/>
          <w:rtl/>
        </w:rPr>
        <w:t>ات</w:t>
      </w:r>
      <w:r w:rsidRPr="004F26AF">
        <w:rPr>
          <w:i/>
          <w:iCs/>
          <w:rtl/>
        </w:rPr>
        <w:t xml:space="preserve"> لخطة الإقليمين </w:t>
      </w:r>
      <w:r w:rsidR="001631AD">
        <w:rPr>
          <w:i/>
          <w:iCs/>
        </w:rPr>
        <w:t>1</w:t>
      </w:r>
      <w:r w:rsidRPr="004F26AF">
        <w:rPr>
          <w:i/>
          <w:iCs/>
          <w:rtl/>
        </w:rPr>
        <w:t xml:space="preserve"> و</w:t>
      </w:r>
      <w:r w:rsidR="001631AD">
        <w:rPr>
          <w:i/>
          <w:iCs/>
        </w:rPr>
        <w:t>3</w:t>
      </w:r>
      <w:r w:rsidRPr="004F26AF">
        <w:rPr>
          <w:i/>
          <w:iCs/>
          <w:rtl/>
        </w:rPr>
        <w:t xml:space="preserve"> من التبليغات الواردة ‏بموجب المادة </w:t>
      </w:r>
      <w:r w:rsidR="001631AD">
        <w:rPr>
          <w:i/>
          <w:iCs/>
        </w:rPr>
        <w:t>4</w:t>
      </w:r>
      <w:r w:rsidRPr="004F26AF">
        <w:rPr>
          <w:i/>
          <w:iCs/>
          <w:rtl/>
        </w:rPr>
        <w:t xml:space="preserve"> في مثل هذه الحالات المتوافقة، ينبغي عدم تحديث الحالة المرجعية لتخصيصات ‏التردد</w:t>
      </w:r>
      <w:r w:rsidRPr="004F26AF">
        <w:rPr>
          <w:rFonts w:hint="cs"/>
          <w:i/>
          <w:iCs/>
          <w:rtl/>
        </w:rPr>
        <w:t>ات</w:t>
      </w:r>
      <w:r w:rsidRPr="004F26AF">
        <w:rPr>
          <w:i/>
          <w:iCs/>
          <w:rtl/>
        </w:rPr>
        <w:t xml:space="preserve"> لخطة الإقليمين </w:t>
      </w:r>
      <w:r w:rsidR="001631AD">
        <w:rPr>
          <w:i/>
          <w:iCs/>
        </w:rPr>
        <w:t>1</w:t>
      </w:r>
      <w:r w:rsidRPr="004F26AF">
        <w:rPr>
          <w:i/>
          <w:iCs/>
          <w:rtl/>
        </w:rPr>
        <w:t xml:space="preserve"> و</w:t>
      </w:r>
      <w:r w:rsidR="001631AD">
        <w:rPr>
          <w:i/>
          <w:iCs/>
        </w:rPr>
        <w:t>3</w:t>
      </w:r>
      <w:r w:rsidRPr="004F26AF">
        <w:rPr>
          <w:i/>
          <w:iCs/>
          <w:rtl/>
        </w:rPr>
        <w:t xml:space="preserve"> عندما تُدرج في الخطتين تخصيصات تردد</w:t>
      </w:r>
      <w:r w:rsidRPr="004F26AF">
        <w:rPr>
          <w:rFonts w:hint="cs"/>
          <w:i/>
          <w:iCs/>
          <w:rtl/>
        </w:rPr>
        <w:t>ات</w:t>
      </w:r>
      <w:r w:rsidRPr="004F26AF">
        <w:rPr>
          <w:i/>
          <w:iCs/>
          <w:rtl/>
        </w:rPr>
        <w:t xml:space="preserve"> القرار</w:t>
      </w:r>
      <w:r w:rsidRPr="004F26AF">
        <w:rPr>
          <w:rFonts w:hint="cs"/>
          <w:i/>
          <w:iCs/>
          <w:rtl/>
        </w:rPr>
        <w:t> </w:t>
      </w:r>
      <w:r w:rsidRPr="004F26AF">
        <w:rPr>
          <w:b/>
          <w:bCs/>
          <w:i/>
          <w:iCs/>
          <w:rtl/>
        </w:rPr>
        <w:t>‏</w:t>
      </w:r>
      <w:r w:rsidRPr="004F26AF">
        <w:rPr>
          <w:b/>
          <w:bCs/>
          <w:i/>
          <w:iCs/>
          <w:cs/>
        </w:rPr>
        <w:t>‎</w:t>
      </w:r>
      <w:r w:rsidRPr="004F26AF">
        <w:rPr>
          <w:b/>
          <w:bCs/>
          <w:i/>
          <w:iCs/>
        </w:rPr>
        <w:t>559 (WRC</w:t>
      </w:r>
      <w:r w:rsidRPr="004F26AF">
        <w:rPr>
          <w:b/>
          <w:bCs/>
          <w:i/>
          <w:iCs/>
        </w:rPr>
        <w:noBreakHyphen/>
        <w:t>19)</w:t>
      </w:r>
      <w:r w:rsidRPr="004F26AF">
        <w:rPr>
          <w:b/>
          <w:bCs/>
          <w:i/>
          <w:iCs/>
          <w:cs/>
        </w:rPr>
        <w:t>‎</w:t>
      </w:r>
      <w:r w:rsidRPr="004F26AF">
        <w:rPr>
          <w:b/>
          <w:bCs/>
          <w:i/>
          <w:iCs/>
          <w:rtl/>
        </w:rPr>
        <w:t>‏</w:t>
      </w:r>
      <w:r w:rsidRPr="004F26AF">
        <w:rPr>
          <w:i/>
          <w:iCs/>
          <w:rtl/>
        </w:rPr>
        <w:t xml:space="preserve"> ‏الواردة في القائمة.‏</w:t>
      </w:r>
    </w:p>
    <w:p w14:paraId="0B22B730" w14:textId="77777777" w:rsidR="007351C6" w:rsidRDefault="007351C6" w:rsidP="007351C6">
      <w:pPr>
        <w:rPr>
          <w:rtl/>
        </w:rPr>
      </w:pPr>
      <w:r>
        <w:rPr>
          <w:rtl/>
        </w:rPr>
        <w:br w:type="page"/>
      </w:r>
    </w:p>
    <w:p w14:paraId="11F78C31" w14:textId="7E46FB53" w:rsidR="004F26AF" w:rsidRPr="004F26AF" w:rsidRDefault="004F26AF" w:rsidP="004F26AF">
      <w:pPr>
        <w:spacing w:before="80" w:after="80"/>
        <w:ind w:left="794" w:hanging="794"/>
        <w:rPr>
          <w:i/>
          <w:iCs/>
          <w:rtl/>
        </w:rPr>
      </w:pPr>
      <w:r w:rsidRPr="004F26AF">
        <w:rPr>
          <w:i/>
          <w:iCs/>
          <w:rtl/>
        </w:rPr>
        <w:lastRenderedPageBreak/>
        <w:t>ب)‏</w:t>
      </w:r>
      <w:r w:rsidRPr="004F26AF">
        <w:rPr>
          <w:i/>
          <w:iCs/>
          <w:rtl/>
        </w:rPr>
        <w:tab/>
        <w:t xml:space="preserve">في حالة تخصيصات الخطة متعددة الحزم، فإذا كانت قيم نسبة الموجة الحاملة إلى التداخل </w:t>
      </w:r>
      <w:r w:rsidR="007351C6">
        <w:rPr>
          <w:i/>
          <w:iCs/>
        </w:rPr>
        <w:t>)</w:t>
      </w:r>
      <w:r w:rsidRPr="004F26AF">
        <w:rPr>
          <w:i/>
          <w:iCs/>
          <w:rtl/>
        </w:rPr>
        <w:t>‏</w:t>
      </w:r>
      <w:r w:rsidRPr="004F26AF">
        <w:rPr>
          <w:i/>
          <w:iCs/>
        </w:rPr>
        <w:t>C/I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>‏</w:t>
      </w:r>
      <w:r w:rsidR="007351C6">
        <w:rPr>
          <w:i/>
          <w:iCs/>
        </w:rPr>
        <w:t>(</w:t>
      </w:r>
      <w:r w:rsidRPr="004F26AF">
        <w:rPr>
          <w:i/>
          <w:iCs/>
          <w:rtl/>
        </w:rPr>
        <w:t xml:space="preserve"> ‏وحيدة المصدر لوصلة التغذية أعلى من ‏</w:t>
      </w:r>
      <w:r w:rsidRPr="004F26AF">
        <w:rPr>
          <w:i/>
          <w:iCs/>
        </w:rPr>
        <w:t>dB 27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 xml:space="preserve">، تُعتبر التبليغات المقدمة بموجب القرار </w:t>
      </w:r>
      <w:r w:rsidRPr="004F26AF">
        <w:rPr>
          <w:b/>
          <w:bCs/>
          <w:i/>
          <w:iCs/>
        </w:rPr>
        <w:t>559 (WRC</w:t>
      </w:r>
      <w:r w:rsidRPr="004F26AF">
        <w:rPr>
          <w:b/>
          <w:bCs/>
          <w:i/>
          <w:iCs/>
        </w:rPr>
        <w:noBreakHyphen/>
        <w:t>19)</w:t>
      </w:r>
      <w:r w:rsidRPr="004F26AF">
        <w:rPr>
          <w:b/>
          <w:bCs/>
          <w:i/>
          <w:iCs/>
          <w:cs/>
        </w:rPr>
        <w:t>‎</w:t>
      </w:r>
      <w:r w:rsidRPr="004F26AF">
        <w:rPr>
          <w:b/>
          <w:bCs/>
          <w:i/>
          <w:iCs/>
          <w:rtl/>
        </w:rPr>
        <w:t>‏</w:t>
      </w:r>
      <w:r w:rsidRPr="004F26AF">
        <w:rPr>
          <w:i/>
          <w:iCs/>
          <w:rtl/>
        </w:rPr>
        <w:t xml:space="preserve"> متوافقةً مع ما يقابلها من تخصيصات التردد</w:t>
      </w:r>
      <w:r w:rsidRPr="004F26AF">
        <w:rPr>
          <w:rFonts w:hint="cs"/>
          <w:i/>
          <w:iCs/>
          <w:rtl/>
        </w:rPr>
        <w:t>ات</w:t>
      </w:r>
      <w:r w:rsidRPr="004F26AF">
        <w:rPr>
          <w:i/>
          <w:iCs/>
          <w:rtl/>
        </w:rPr>
        <w:t xml:space="preserve"> لخطة الإقليمين </w:t>
      </w:r>
      <w:r w:rsidR="001631AD">
        <w:rPr>
          <w:i/>
          <w:iCs/>
        </w:rPr>
        <w:t>1</w:t>
      </w:r>
      <w:r w:rsidRPr="004F26AF">
        <w:rPr>
          <w:i/>
          <w:iCs/>
          <w:rtl/>
        </w:rPr>
        <w:t xml:space="preserve"> و</w:t>
      </w:r>
      <w:r w:rsidR="001631AD">
        <w:rPr>
          <w:i/>
          <w:iCs/>
        </w:rPr>
        <w:t>3</w:t>
      </w:r>
      <w:r w:rsidRPr="004F26AF">
        <w:rPr>
          <w:i/>
          <w:iCs/>
          <w:rtl/>
        </w:rPr>
        <w:t>. ومن أجل الحفاظ ‏على نفس مستوى الحماية لتخصيصات التردد</w:t>
      </w:r>
      <w:r w:rsidRPr="004F26AF">
        <w:rPr>
          <w:rFonts w:hint="cs"/>
          <w:i/>
          <w:iCs/>
          <w:rtl/>
        </w:rPr>
        <w:t>ات</w:t>
      </w:r>
      <w:r w:rsidRPr="004F26AF">
        <w:rPr>
          <w:i/>
          <w:iCs/>
          <w:rtl/>
        </w:rPr>
        <w:t xml:space="preserve"> لخطة الإقليمين </w:t>
      </w:r>
      <w:r w:rsidR="001631AD">
        <w:rPr>
          <w:i/>
          <w:iCs/>
        </w:rPr>
        <w:t>1</w:t>
      </w:r>
      <w:r w:rsidRPr="004F26AF">
        <w:rPr>
          <w:i/>
          <w:iCs/>
          <w:rtl/>
        </w:rPr>
        <w:t xml:space="preserve"> و</w:t>
      </w:r>
      <w:r w:rsidR="001631AD">
        <w:rPr>
          <w:i/>
          <w:iCs/>
        </w:rPr>
        <w:t>3</w:t>
      </w:r>
      <w:r w:rsidRPr="004F26AF">
        <w:rPr>
          <w:i/>
          <w:iCs/>
          <w:rtl/>
        </w:rPr>
        <w:t xml:space="preserve"> من التبليغات الواردة بموجب ‏المادة </w:t>
      </w:r>
      <w:r w:rsidR="001631AD">
        <w:rPr>
          <w:i/>
          <w:iCs/>
        </w:rPr>
        <w:t>4</w:t>
      </w:r>
      <w:r w:rsidRPr="004F26AF">
        <w:rPr>
          <w:i/>
          <w:iCs/>
          <w:rtl/>
        </w:rPr>
        <w:t xml:space="preserve"> في مثل هذه الحالات المتوافقة، ينبغي عدم تحديث الحالة المرجعية لتخصيصات التردد</w:t>
      </w:r>
      <w:r w:rsidRPr="004F26AF">
        <w:rPr>
          <w:rFonts w:hint="cs"/>
          <w:i/>
          <w:iCs/>
          <w:rtl/>
        </w:rPr>
        <w:t>ات</w:t>
      </w:r>
      <w:r w:rsidRPr="004F26AF">
        <w:rPr>
          <w:i/>
          <w:iCs/>
          <w:rtl/>
        </w:rPr>
        <w:t xml:space="preserve"> ‏لخطة الإقليمين </w:t>
      </w:r>
      <w:r w:rsidR="001631AD">
        <w:rPr>
          <w:i/>
          <w:iCs/>
        </w:rPr>
        <w:t>1</w:t>
      </w:r>
      <w:r w:rsidRPr="004F26AF">
        <w:rPr>
          <w:i/>
          <w:iCs/>
          <w:rtl/>
        </w:rPr>
        <w:t xml:space="preserve"> و</w:t>
      </w:r>
      <w:r w:rsidR="001631AD">
        <w:rPr>
          <w:i/>
          <w:iCs/>
        </w:rPr>
        <w:t>3</w:t>
      </w:r>
      <w:r w:rsidRPr="004F26AF">
        <w:rPr>
          <w:i/>
          <w:iCs/>
          <w:rtl/>
        </w:rPr>
        <w:t xml:space="preserve"> عندما تُدرج في</w:t>
      </w:r>
      <w:r w:rsidR="001631AD">
        <w:rPr>
          <w:rFonts w:hint="cs"/>
          <w:i/>
          <w:iCs/>
          <w:rtl/>
        </w:rPr>
        <w:t> </w:t>
      </w:r>
      <w:r w:rsidRPr="004F26AF">
        <w:rPr>
          <w:i/>
          <w:iCs/>
          <w:rtl/>
        </w:rPr>
        <w:t>الخطتين تخصيصات تردد</w:t>
      </w:r>
      <w:r w:rsidRPr="004F26AF">
        <w:rPr>
          <w:rFonts w:hint="cs"/>
          <w:i/>
          <w:iCs/>
          <w:rtl/>
        </w:rPr>
        <w:t>ات</w:t>
      </w:r>
      <w:r w:rsidRPr="004F26AF">
        <w:rPr>
          <w:i/>
          <w:iCs/>
          <w:rtl/>
        </w:rPr>
        <w:t xml:space="preserve"> القرار </w:t>
      </w:r>
      <w:r w:rsidRPr="004F26AF">
        <w:rPr>
          <w:b/>
          <w:bCs/>
          <w:i/>
          <w:iCs/>
        </w:rPr>
        <w:t>559 (WRC</w:t>
      </w:r>
      <w:r w:rsidRPr="004F26AF">
        <w:rPr>
          <w:b/>
          <w:bCs/>
          <w:i/>
          <w:iCs/>
        </w:rPr>
        <w:noBreakHyphen/>
        <w:t>19)</w:t>
      </w:r>
      <w:r w:rsidRPr="004F26AF">
        <w:rPr>
          <w:b/>
          <w:bCs/>
          <w:i/>
          <w:iCs/>
          <w:cs/>
        </w:rPr>
        <w:t>‎</w:t>
      </w:r>
      <w:r w:rsidRPr="004F26AF">
        <w:rPr>
          <w:b/>
          <w:bCs/>
          <w:i/>
          <w:iCs/>
          <w:rtl/>
        </w:rPr>
        <w:t>‏</w:t>
      </w:r>
      <w:r w:rsidRPr="004F26AF">
        <w:rPr>
          <w:i/>
          <w:iCs/>
          <w:rtl/>
        </w:rPr>
        <w:t xml:space="preserve"> الواردة في ‏القائمة.‏</w:t>
      </w:r>
    </w:p>
    <w:p w14:paraId="60C9EE8B" w14:textId="77777777" w:rsidR="004F26AF" w:rsidRPr="004F26AF" w:rsidRDefault="004F26AF" w:rsidP="004F26AF">
      <w:pPr>
        <w:spacing w:after="120"/>
        <w:rPr>
          <w:i/>
          <w:iCs/>
          <w:rtl/>
        </w:rPr>
      </w:pPr>
      <w:r w:rsidRPr="004F26AF">
        <w:rPr>
          <w:i/>
          <w:iCs/>
          <w:cs/>
        </w:rPr>
        <w:t>‎</w:t>
      </w:r>
      <w:r w:rsidRPr="004F26AF">
        <w:rPr>
          <w:i/>
          <w:iCs/>
        </w:rPr>
        <w:t>5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ab/>
        <w:t>يكلف المكتب بما يلي:‏</w:t>
      </w:r>
    </w:p>
    <w:p w14:paraId="3DD133EC" w14:textId="1864EFAD" w:rsidR="004F26AF" w:rsidRPr="004F26AF" w:rsidRDefault="004F26AF" w:rsidP="004F26AF">
      <w:pPr>
        <w:spacing w:before="80" w:after="80"/>
        <w:ind w:left="794" w:hanging="794"/>
        <w:rPr>
          <w:i/>
          <w:iCs/>
          <w:rtl/>
        </w:rPr>
      </w:pPr>
      <w:r w:rsidRPr="004F26AF">
        <w:rPr>
          <w:i/>
          <w:iCs/>
          <w:rtl/>
        </w:rPr>
        <w:t>‏ أ )‏</w:t>
      </w:r>
      <w:r w:rsidRPr="004F26AF">
        <w:rPr>
          <w:i/>
          <w:iCs/>
          <w:rtl/>
        </w:rPr>
        <w:tab/>
        <w:t xml:space="preserve">استعراض حالة جميع حالات التنسيق المتبقية مع مراعاة جميع المقترحات المذكورة أعلاه بما ‏فيها المقترحات المقدمة من لجنة لوائح الراديو ومكتب الاتصالات الراديوية. وفي هذا الصدد، ‏وبالنسبة لحالات التنسيق المتبقية بموجب الرقم </w:t>
      </w:r>
      <w:r w:rsidR="001631AD">
        <w:rPr>
          <w:i/>
          <w:iCs/>
        </w:rPr>
        <w:t>1.1.4</w:t>
      </w:r>
      <w:r w:rsidRPr="004F26AF">
        <w:rPr>
          <w:i/>
          <w:iCs/>
          <w:rtl/>
        </w:rPr>
        <w:t xml:space="preserve">ب) من التذييل </w:t>
      </w:r>
      <w:r w:rsidRPr="001631AD">
        <w:rPr>
          <w:b/>
          <w:bCs/>
          <w:i/>
          <w:iCs/>
        </w:rPr>
        <w:t>30</w:t>
      </w:r>
      <w:r w:rsidRPr="004F26AF">
        <w:rPr>
          <w:i/>
          <w:iCs/>
          <w:rtl/>
        </w:rPr>
        <w:t xml:space="preserve">، فإذا كانت هناك نقطة ‏اختبار واحدة فقط يحتمل أن تكون قد تأثرت، بعد مراعاة جميع المقترحات المذكورة أعلاه، يُعتبر ‏التنسيق مستكملاً فيما يتعلق بالتخصيصات المتأثرة المدرجة في القائمة في </w:t>
      </w:r>
      <w:r w:rsidR="001631AD">
        <w:rPr>
          <w:i/>
          <w:iCs/>
        </w:rPr>
        <w:t>1</w:t>
      </w:r>
      <w:r w:rsidRPr="004F26AF">
        <w:rPr>
          <w:i/>
          <w:iCs/>
          <w:rtl/>
        </w:rPr>
        <w:t xml:space="preserve"> يناير </w:t>
      </w:r>
      <w:r w:rsidR="001631AD">
        <w:rPr>
          <w:i/>
          <w:iCs/>
        </w:rPr>
        <w:t>2017</w:t>
      </w:r>
      <w:r w:rsidRPr="004F26AF">
        <w:rPr>
          <w:i/>
          <w:iCs/>
          <w:rtl/>
        </w:rPr>
        <w:t xml:space="preserve"> أو بعده؛</w:t>
      </w:r>
    </w:p>
    <w:p w14:paraId="1DC1AE04" w14:textId="320871A9" w:rsidR="004F26AF" w:rsidRPr="004F26AF" w:rsidRDefault="004F26AF" w:rsidP="004F26AF">
      <w:pPr>
        <w:spacing w:before="80" w:after="80"/>
        <w:ind w:left="794" w:hanging="794"/>
        <w:rPr>
          <w:i/>
          <w:iCs/>
          <w:lang w:bidi="ar-EG"/>
        </w:rPr>
      </w:pPr>
      <w:r w:rsidRPr="004F26AF">
        <w:rPr>
          <w:i/>
          <w:iCs/>
          <w:rtl/>
        </w:rPr>
        <w:t>ب)‏</w:t>
      </w:r>
      <w:r w:rsidRPr="004F26AF">
        <w:rPr>
          <w:i/>
          <w:iCs/>
          <w:rtl/>
        </w:rPr>
        <w:tab/>
        <w:t>تطبيق جميع التدابير التي أقرها المؤتمر ‏</w:t>
      </w:r>
      <w:r w:rsidRPr="004F26AF">
        <w:rPr>
          <w:i/>
          <w:iCs/>
        </w:rPr>
        <w:t>WRC</w:t>
      </w:r>
      <w:r w:rsidRPr="004F26AF">
        <w:rPr>
          <w:i/>
          <w:iCs/>
        </w:rPr>
        <w:noBreakHyphen/>
        <w:t>23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 xml:space="preserve">‏ على التبليغات المقدمة بموجب القرار </w:t>
      </w:r>
      <w:r w:rsidRPr="004F26AF">
        <w:rPr>
          <w:b/>
          <w:bCs/>
          <w:i/>
          <w:iCs/>
        </w:rPr>
        <w:t>559 (WRC</w:t>
      </w:r>
      <w:r w:rsidRPr="004F26AF">
        <w:rPr>
          <w:b/>
          <w:bCs/>
          <w:i/>
          <w:iCs/>
        </w:rPr>
        <w:noBreakHyphen/>
        <w:t>19)</w:t>
      </w:r>
      <w:r w:rsidRPr="004F26AF">
        <w:rPr>
          <w:b/>
          <w:bCs/>
          <w:i/>
          <w:iCs/>
          <w:cs/>
        </w:rPr>
        <w:t>‎</w:t>
      </w:r>
      <w:r w:rsidRPr="004F26AF">
        <w:rPr>
          <w:b/>
          <w:bCs/>
          <w:i/>
          <w:iCs/>
          <w:rtl/>
        </w:rPr>
        <w:t>‏</w:t>
      </w:r>
      <w:r w:rsidRPr="004F26AF">
        <w:rPr>
          <w:i/>
          <w:iCs/>
          <w:rtl/>
        </w:rPr>
        <w:t xml:space="preserve"> من ‏إدارات أفغانستان وغينيا الاستوائية ومالطة وسيشيل وعلى التطبيقات المستقبلية للفقرتين ‏‏</w:t>
      </w:r>
      <w:r w:rsidR="001631AD">
        <w:rPr>
          <w:i/>
          <w:iCs/>
        </w:rPr>
        <w:t>26.1.4</w:t>
      </w:r>
      <w:r w:rsidRPr="004F26AF">
        <w:rPr>
          <w:i/>
          <w:iCs/>
          <w:rtl/>
        </w:rPr>
        <w:t xml:space="preserve"> أو </w:t>
      </w:r>
      <w:r w:rsidR="001631AD">
        <w:rPr>
          <w:i/>
          <w:iCs/>
        </w:rPr>
        <w:t>27.1.4</w:t>
      </w:r>
      <w:r w:rsidRPr="004F26AF">
        <w:rPr>
          <w:i/>
          <w:iCs/>
          <w:rtl/>
        </w:rPr>
        <w:t xml:space="preserve"> من المادة </w:t>
      </w:r>
      <w:r w:rsidR="001631AD">
        <w:rPr>
          <w:i/>
          <w:iCs/>
        </w:rPr>
        <w:t>4</w:t>
      </w:r>
      <w:r w:rsidRPr="004F26AF">
        <w:rPr>
          <w:i/>
          <w:iCs/>
          <w:rtl/>
        </w:rPr>
        <w:t xml:space="preserve"> من التذييلين </w:t>
      </w:r>
      <w:r w:rsidRPr="001631AD">
        <w:rPr>
          <w:b/>
          <w:bCs/>
          <w:i/>
          <w:iCs/>
        </w:rPr>
        <w:t>30</w:t>
      </w:r>
      <w:r w:rsidRPr="004F26AF">
        <w:rPr>
          <w:i/>
          <w:iCs/>
          <w:rtl/>
        </w:rPr>
        <w:t xml:space="preserve"> و</w:t>
      </w:r>
      <w:r w:rsidRPr="004F26AF">
        <w:rPr>
          <w:b/>
          <w:bCs/>
          <w:i/>
          <w:iCs/>
          <w:cs/>
        </w:rPr>
        <w:t>‎</w:t>
      </w:r>
      <w:r w:rsidRPr="004F26AF">
        <w:rPr>
          <w:b/>
          <w:bCs/>
          <w:i/>
          <w:iCs/>
        </w:rPr>
        <w:t>30A</w:t>
      </w:r>
      <w:r w:rsidRPr="004F26AF">
        <w:rPr>
          <w:i/>
          <w:iCs/>
          <w:cs/>
        </w:rPr>
        <w:t>‎</w:t>
      </w:r>
      <w:r w:rsidRPr="004F26AF">
        <w:rPr>
          <w:i/>
          <w:iCs/>
          <w:rtl/>
        </w:rPr>
        <w:t>‏ التي لها نفس طبيعة القرار ‏</w:t>
      </w:r>
      <w:r w:rsidRPr="004F26AF">
        <w:rPr>
          <w:i/>
          <w:iCs/>
          <w:cs/>
        </w:rPr>
        <w:t>‎</w:t>
      </w:r>
      <w:r w:rsidRPr="004F26AF">
        <w:rPr>
          <w:b/>
          <w:bCs/>
          <w:i/>
          <w:iCs/>
        </w:rPr>
        <w:t>559 (WRC</w:t>
      </w:r>
      <w:r w:rsidRPr="004F26AF">
        <w:rPr>
          <w:b/>
          <w:bCs/>
          <w:i/>
          <w:iCs/>
        </w:rPr>
        <w:noBreakHyphen/>
        <w:t>19)</w:t>
      </w:r>
      <w:r w:rsidRPr="004F26AF">
        <w:rPr>
          <w:b/>
          <w:bCs/>
          <w:i/>
          <w:iCs/>
          <w:cs/>
        </w:rPr>
        <w:t>‎</w:t>
      </w:r>
      <w:r w:rsidRPr="004F26AF">
        <w:rPr>
          <w:b/>
          <w:bCs/>
          <w:i/>
          <w:iCs/>
          <w:rtl/>
        </w:rPr>
        <w:t>‏</w:t>
      </w:r>
      <w:r w:rsidRPr="004F26AF">
        <w:rPr>
          <w:rFonts w:hint="cs"/>
          <w:i/>
          <w:iCs/>
          <w:rtl/>
        </w:rPr>
        <w:t>.</w:t>
      </w:r>
    </w:p>
    <w:p w14:paraId="4C359064" w14:textId="77777777" w:rsidR="00BF3BC8" w:rsidRPr="001631AD" w:rsidRDefault="006B1956" w:rsidP="002F5B0C">
      <w:pPr>
        <w:spacing w:before="360"/>
        <w:jc w:val="center"/>
      </w:pPr>
      <w:r w:rsidRPr="001631AD">
        <w:rPr>
          <w:rFonts w:hint="cs"/>
          <w:rtl/>
        </w:rPr>
        <w:t>___________</w:t>
      </w:r>
    </w:p>
    <w:p w14:paraId="482EA44B" w14:textId="5CB183C6" w:rsidR="00732D35" w:rsidRDefault="00732D35" w:rsidP="00732D35">
      <w:pPr>
        <w:rPr>
          <w:rtl/>
          <w:lang w:val="en-US"/>
        </w:rPr>
      </w:pPr>
    </w:p>
    <w:p w14:paraId="2CD141A2" w14:textId="77777777" w:rsidR="000B1ED7" w:rsidRDefault="000B1ED7" w:rsidP="00732D35">
      <w:pPr>
        <w:rPr>
          <w:rtl/>
          <w:lang w:val="en-US"/>
        </w:rPr>
      </w:pPr>
    </w:p>
    <w:p w14:paraId="24F814A2" w14:textId="77777777" w:rsidR="000B1ED7" w:rsidRDefault="000B1ED7" w:rsidP="00732D35">
      <w:pPr>
        <w:rPr>
          <w:rtl/>
          <w:lang w:val="en-US"/>
        </w:rPr>
      </w:pPr>
    </w:p>
    <w:p w14:paraId="100758FB" w14:textId="77777777" w:rsidR="000B1ED7" w:rsidRDefault="000B1ED7" w:rsidP="00732D35">
      <w:pPr>
        <w:rPr>
          <w:rtl/>
          <w:lang w:val="en-US"/>
        </w:rPr>
      </w:pPr>
    </w:p>
    <w:p w14:paraId="202B747F" w14:textId="77777777" w:rsidR="000B1ED7" w:rsidRDefault="000B1ED7" w:rsidP="00732D35">
      <w:pPr>
        <w:rPr>
          <w:rtl/>
          <w:lang w:val="en-US"/>
        </w:rPr>
      </w:pPr>
    </w:p>
    <w:p w14:paraId="1182356E" w14:textId="77777777" w:rsidR="000B1ED7" w:rsidRDefault="000B1ED7" w:rsidP="00732D35">
      <w:pPr>
        <w:rPr>
          <w:rtl/>
          <w:lang w:val="en-US"/>
        </w:rPr>
      </w:pPr>
    </w:p>
    <w:p w14:paraId="3627FDB0" w14:textId="77777777" w:rsidR="000B1ED7" w:rsidRDefault="000B1ED7" w:rsidP="00732D35">
      <w:pPr>
        <w:rPr>
          <w:rtl/>
          <w:lang w:val="en-US"/>
        </w:rPr>
      </w:pPr>
    </w:p>
    <w:p w14:paraId="15F5A1A9" w14:textId="77777777" w:rsidR="000B1ED7" w:rsidRDefault="000B1ED7" w:rsidP="00732D35">
      <w:pPr>
        <w:rPr>
          <w:rtl/>
          <w:lang w:val="en-US"/>
        </w:rPr>
      </w:pPr>
    </w:p>
    <w:p w14:paraId="5543E986" w14:textId="77777777" w:rsidR="000B1ED7" w:rsidRDefault="000B1ED7" w:rsidP="00732D35">
      <w:pPr>
        <w:rPr>
          <w:rtl/>
          <w:lang w:val="en-US"/>
        </w:rPr>
      </w:pPr>
    </w:p>
    <w:p w14:paraId="4594290F" w14:textId="77777777" w:rsidR="000B1ED7" w:rsidRDefault="000B1ED7" w:rsidP="00732D35">
      <w:pPr>
        <w:rPr>
          <w:lang w:val="en-US"/>
        </w:rPr>
      </w:pPr>
    </w:p>
    <w:p w14:paraId="21191CC5" w14:textId="77777777" w:rsidR="002F5B0C" w:rsidRDefault="002F5B0C" w:rsidP="00732D35">
      <w:pPr>
        <w:rPr>
          <w:lang w:val="en-US"/>
        </w:rPr>
      </w:pPr>
    </w:p>
    <w:p w14:paraId="4061AA69" w14:textId="77777777" w:rsidR="00732D35" w:rsidRDefault="00732D35" w:rsidP="00732D35">
      <w:pPr>
        <w:spacing w:before="600"/>
        <w:jc w:val="center"/>
        <w:rPr>
          <w:szCs w:val="22"/>
          <w:rtl/>
        </w:rPr>
        <w:sectPr w:rsidR="00732D35" w:rsidSect="003D6FB1">
          <w:headerReference w:type="even" r:id="rId8"/>
          <w:headerReference w:type="default" r:id="rId9"/>
          <w:footerReference w:type="first" r:id="rId10"/>
          <w:pgSz w:w="11907" w:h="16834" w:code="9"/>
          <w:pgMar w:top="1701" w:right="1985" w:bottom="1134" w:left="851" w:header="720" w:footer="482" w:gutter="0"/>
          <w:paperSrc w:first="15" w:other="15"/>
          <w:pgNumType w:start="1"/>
          <w:cols w:space="720"/>
          <w:vAlign w:val="both"/>
          <w:bidi/>
          <w:rtlGutter/>
        </w:sectPr>
      </w:pPr>
    </w:p>
    <w:p w14:paraId="7DD35DD3" w14:textId="77777777" w:rsidR="003D6FB1" w:rsidRPr="00C36D43" w:rsidRDefault="003D6FB1" w:rsidP="00732D35">
      <w:pPr>
        <w:rPr>
          <w:rtl/>
        </w:rPr>
      </w:pPr>
    </w:p>
    <w:sectPr w:rsidR="003D6FB1" w:rsidRPr="00C36D43" w:rsidSect="003D6FB1">
      <w:headerReference w:type="default" r:id="rId11"/>
      <w:pgSz w:w="11907" w:h="16834" w:code="9"/>
      <w:pgMar w:top="1701" w:right="1985" w:bottom="1134" w:left="851" w:header="720" w:footer="482" w:gutter="0"/>
      <w:paperSrc w:first="15" w:other="15"/>
      <w:pgNumType w:start="1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1EBE7" w14:textId="77777777" w:rsidR="00C92856" w:rsidRDefault="00C92856">
      <w:r>
        <w:separator/>
      </w:r>
    </w:p>
  </w:endnote>
  <w:endnote w:type="continuationSeparator" w:id="0">
    <w:p w14:paraId="691BBE23" w14:textId="77777777" w:rsidR="00C92856" w:rsidRDefault="00C92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B6D75" w14:textId="42BCF412" w:rsidR="00C92856" w:rsidRDefault="00644661">
    <w:pPr>
      <w:pStyle w:val="Footer"/>
    </w:pPr>
    <w:fldSimple w:instr=" FILENAME \p \* MERGEFORMAT ">
      <w:r w:rsidR="00426C6B">
        <w:t>M:\COMP_PROD\ITU-R\2025\Publications\Regl_proc\Publication_Edition_2025_2502738-2503093\A\word\36-A1-RES559-a.docx</w:t>
      </w:r>
    </w:fldSimple>
    <w:r w:rsidR="00C92856">
      <w:tab/>
    </w:r>
    <w:r w:rsidR="00C92856">
      <w:fldChar w:fldCharType="begin"/>
    </w:r>
    <w:r w:rsidR="00C92856">
      <w:instrText xml:space="preserve"> savedate \@ dd.MM.yy </w:instrText>
    </w:r>
    <w:r w:rsidR="00C92856">
      <w:fldChar w:fldCharType="separate"/>
    </w:r>
    <w:r w:rsidR="00426C6B">
      <w:t>26.01.26</w:t>
    </w:r>
    <w:r w:rsidR="00C92856">
      <w:fldChar w:fldCharType="end"/>
    </w:r>
    <w:r w:rsidR="00C92856">
      <w:tab/>
    </w:r>
    <w:r w:rsidR="00C92856">
      <w:fldChar w:fldCharType="begin"/>
    </w:r>
    <w:r w:rsidR="00C92856">
      <w:instrText xml:space="preserve"> printdate \@ dd.MM.yy </w:instrText>
    </w:r>
    <w:r w:rsidR="00C92856">
      <w:fldChar w:fldCharType="separate"/>
    </w:r>
    <w:r w:rsidR="00426C6B">
      <w:t>26.01.26</w:t>
    </w:r>
    <w:r w:rsidR="00C9285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1F134" w14:textId="77777777" w:rsidR="00C92856" w:rsidRDefault="00C92856">
      <w:r>
        <w:t>____________________</w:t>
      </w:r>
    </w:p>
  </w:footnote>
  <w:footnote w:type="continuationSeparator" w:id="0">
    <w:p w14:paraId="04C72638" w14:textId="77777777" w:rsidR="00C92856" w:rsidRDefault="00C92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C92856" w:rsidRPr="000F2A0B" w14:paraId="485C99F0" w14:textId="77777777">
      <w:tc>
        <w:tcPr>
          <w:tcW w:w="1701" w:type="dxa"/>
        </w:tcPr>
        <w:p w14:paraId="681BB3AC" w14:textId="77777777" w:rsidR="00C92856" w:rsidRPr="00913BF7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09C8C586" w14:textId="39C02D98" w:rsidR="00C92856" w:rsidRPr="00835B57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sz w:val="21"/>
              <w:szCs w:val="28"/>
              <w:lang w:val="en-US"/>
            </w:rPr>
            <w:t>RES</w:t>
          </w:r>
          <w:r w:rsidR="004F26AF">
            <w:rPr>
              <w:sz w:val="21"/>
              <w:szCs w:val="28"/>
              <w:lang w:val="en-US"/>
            </w:rPr>
            <w:t>559</w:t>
          </w:r>
        </w:p>
      </w:tc>
      <w:tc>
        <w:tcPr>
          <w:tcW w:w="1701" w:type="dxa"/>
        </w:tcPr>
        <w:p w14:paraId="764E58B4" w14:textId="77777777" w:rsidR="00C92856" w:rsidRPr="000F2A0B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6B1956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36ADE5FB" w14:textId="17667343" w:rsidR="00C92856" w:rsidRPr="000F2A0B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6D2238">
            <w:rPr>
              <w:sz w:val="21"/>
              <w:szCs w:val="28"/>
            </w:rPr>
            <w:t>–</w:t>
          </w:r>
        </w:p>
      </w:tc>
    </w:tr>
  </w:tbl>
  <w:p w14:paraId="238A582B" w14:textId="77777777" w:rsidR="00C92856" w:rsidRPr="007358FA" w:rsidRDefault="00C92856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C92856" w:rsidRPr="000F2A0B" w14:paraId="29273C66" w14:textId="77777777">
      <w:trPr>
        <w:jc w:val="right"/>
      </w:trPr>
      <w:tc>
        <w:tcPr>
          <w:tcW w:w="1701" w:type="dxa"/>
        </w:tcPr>
        <w:p w14:paraId="7C284D98" w14:textId="77777777" w:rsidR="00C92856" w:rsidRPr="00913BF7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3135BC3A" w14:textId="372AB8E3" w:rsidR="00C92856" w:rsidRPr="00433E7A" w:rsidRDefault="00C92856" w:rsidP="00732D35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RES</w:t>
          </w:r>
          <w:r w:rsidR="004F26AF">
            <w:rPr>
              <w:sz w:val="21"/>
              <w:szCs w:val="28"/>
              <w:lang w:val="en-US" w:bidi="ar-EG"/>
            </w:rPr>
            <w:t>559</w:t>
          </w:r>
        </w:p>
      </w:tc>
      <w:tc>
        <w:tcPr>
          <w:tcW w:w="1701" w:type="dxa"/>
        </w:tcPr>
        <w:p w14:paraId="7582C838" w14:textId="77777777" w:rsidR="00C92856" w:rsidRPr="000F2A0B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A278FB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354813AA" w14:textId="0BC9CB78" w:rsidR="00C92856" w:rsidRPr="000F2A0B" w:rsidRDefault="00C92856" w:rsidP="00663B7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6D2238">
            <w:rPr>
              <w:sz w:val="21"/>
              <w:szCs w:val="28"/>
            </w:rPr>
            <w:t>–</w:t>
          </w:r>
        </w:p>
      </w:tc>
    </w:tr>
  </w:tbl>
  <w:p w14:paraId="6144CE26" w14:textId="77777777" w:rsidR="00C92856" w:rsidRPr="007358FA" w:rsidRDefault="00C92856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9D667" w14:textId="77777777" w:rsidR="00732D35" w:rsidRPr="00732D35" w:rsidRDefault="00732D35" w:rsidP="00732D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7788531">
    <w:abstractNumId w:val="10"/>
  </w:num>
  <w:num w:numId="2" w16cid:durableId="199515835">
    <w:abstractNumId w:val="6"/>
  </w:num>
  <w:num w:numId="3" w16cid:durableId="1928223887">
    <w:abstractNumId w:val="5"/>
  </w:num>
  <w:num w:numId="4" w16cid:durableId="774910432">
    <w:abstractNumId w:val="4"/>
  </w:num>
  <w:num w:numId="5" w16cid:durableId="1474326688">
    <w:abstractNumId w:val="8"/>
  </w:num>
  <w:num w:numId="6" w16cid:durableId="1082142696">
    <w:abstractNumId w:val="3"/>
  </w:num>
  <w:num w:numId="7" w16cid:durableId="1388067746">
    <w:abstractNumId w:val="2"/>
  </w:num>
  <w:num w:numId="8" w16cid:durableId="213078743">
    <w:abstractNumId w:val="1"/>
  </w:num>
  <w:num w:numId="9" w16cid:durableId="1522235190">
    <w:abstractNumId w:val="0"/>
  </w:num>
  <w:num w:numId="10" w16cid:durableId="156002085">
    <w:abstractNumId w:val="9"/>
  </w:num>
  <w:num w:numId="11" w16cid:durableId="6554993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41E07"/>
    <w:rsid w:val="00087F40"/>
    <w:rsid w:val="000B1ED7"/>
    <w:rsid w:val="000B5BA7"/>
    <w:rsid w:val="000C2E8F"/>
    <w:rsid w:val="000E1B7C"/>
    <w:rsid w:val="000E3372"/>
    <w:rsid w:val="000F2A0B"/>
    <w:rsid w:val="001139B6"/>
    <w:rsid w:val="001147B6"/>
    <w:rsid w:val="00117FBB"/>
    <w:rsid w:val="00130C60"/>
    <w:rsid w:val="00153B34"/>
    <w:rsid w:val="001631AD"/>
    <w:rsid w:val="001C78E3"/>
    <w:rsid w:val="0020710C"/>
    <w:rsid w:val="002123E2"/>
    <w:rsid w:val="002301AE"/>
    <w:rsid w:val="002304FB"/>
    <w:rsid w:val="002319B8"/>
    <w:rsid w:val="002466FF"/>
    <w:rsid w:val="002631B1"/>
    <w:rsid w:val="002C0904"/>
    <w:rsid w:val="002C55F4"/>
    <w:rsid w:val="002D6D41"/>
    <w:rsid w:val="002F5B0C"/>
    <w:rsid w:val="00303CE1"/>
    <w:rsid w:val="00321E5C"/>
    <w:rsid w:val="00360881"/>
    <w:rsid w:val="003A2756"/>
    <w:rsid w:val="003A420B"/>
    <w:rsid w:val="003D6FB1"/>
    <w:rsid w:val="004016A3"/>
    <w:rsid w:val="004036A6"/>
    <w:rsid w:val="00407251"/>
    <w:rsid w:val="00426C6B"/>
    <w:rsid w:val="00433E7A"/>
    <w:rsid w:val="00437FCE"/>
    <w:rsid w:val="0044702B"/>
    <w:rsid w:val="00447C5B"/>
    <w:rsid w:val="00463414"/>
    <w:rsid w:val="00475D9E"/>
    <w:rsid w:val="0049532A"/>
    <w:rsid w:val="004E0E50"/>
    <w:rsid w:val="004F26AF"/>
    <w:rsid w:val="0055056E"/>
    <w:rsid w:val="0056123B"/>
    <w:rsid w:val="00594552"/>
    <w:rsid w:val="005E025F"/>
    <w:rsid w:val="00632471"/>
    <w:rsid w:val="00644661"/>
    <w:rsid w:val="0066056C"/>
    <w:rsid w:val="00663B7D"/>
    <w:rsid w:val="006A69F5"/>
    <w:rsid w:val="006B1956"/>
    <w:rsid w:val="006B3E33"/>
    <w:rsid w:val="006B42DC"/>
    <w:rsid w:val="006B5D10"/>
    <w:rsid w:val="006C1EF7"/>
    <w:rsid w:val="006D2238"/>
    <w:rsid w:val="007003AE"/>
    <w:rsid w:val="00732D35"/>
    <w:rsid w:val="007351C6"/>
    <w:rsid w:val="007358FA"/>
    <w:rsid w:val="007460F7"/>
    <w:rsid w:val="00770B96"/>
    <w:rsid w:val="0078123B"/>
    <w:rsid w:val="007D3612"/>
    <w:rsid w:val="0082019B"/>
    <w:rsid w:val="00835B57"/>
    <w:rsid w:val="00867AB1"/>
    <w:rsid w:val="008811AF"/>
    <w:rsid w:val="00885EC1"/>
    <w:rsid w:val="008B0B84"/>
    <w:rsid w:val="008B631A"/>
    <w:rsid w:val="008C0DDE"/>
    <w:rsid w:val="00913BF7"/>
    <w:rsid w:val="009158D2"/>
    <w:rsid w:val="009204AC"/>
    <w:rsid w:val="009303FF"/>
    <w:rsid w:val="00937F4F"/>
    <w:rsid w:val="009644A9"/>
    <w:rsid w:val="00993C1C"/>
    <w:rsid w:val="009E5C66"/>
    <w:rsid w:val="009E74AE"/>
    <w:rsid w:val="009F171D"/>
    <w:rsid w:val="00A0604B"/>
    <w:rsid w:val="00A23CFF"/>
    <w:rsid w:val="00A278FB"/>
    <w:rsid w:val="00A5449C"/>
    <w:rsid w:val="00A64B91"/>
    <w:rsid w:val="00A7482F"/>
    <w:rsid w:val="00AB1F9A"/>
    <w:rsid w:val="00AC41A3"/>
    <w:rsid w:val="00AD269C"/>
    <w:rsid w:val="00AF44BC"/>
    <w:rsid w:val="00B0263D"/>
    <w:rsid w:val="00B10079"/>
    <w:rsid w:val="00B13C1A"/>
    <w:rsid w:val="00B35ADA"/>
    <w:rsid w:val="00B42079"/>
    <w:rsid w:val="00B765E7"/>
    <w:rsid w:val="00BB1675"/>
    <w:rsid w:val="00BB44A1"/>
    <w:rsid w:val="00BE0D0E"/>
    <w:rsid w:val="00BF3BC8"/>
    <w:rsid w:val="00C2007F"/>
    <w:rsid w:val="00C36D43"/>
    <w:rsid w:val="00C56B96"/>
    <w:rsid w:val="00C92856"/>
    <w:rsid w:val="00C9739B"/>
    <w:rsid w:val="00CA31BF"/>
    <w:rsid w:val="00CA4B7C"/>
    <w:rsid w:val="00CD2902"/>
    <w:rsid w:val="00DA1C47"/>
    <w:rsid w:val="00DC26BB"/>
    <w:rsid w:val="00DE66AC"/>
    <w:rsid w:val="00DE6CD7"/>
    <w:rsid w:val="00DF5487"/>
    <w:rsid w:val="00E003AC"/>
    <w:rsid w:val="00E01834"/>
    <w:rsid w:val="00E03822"/>
    <w:rsid w:val="00E31686"/>
    <w:rsid w:val="00E40169"/>
    <w:rsid w:val="00E7261D"/>
    <w:rsid w:val="00E72AC9"/>
    <w:rsid w:val="00EB09A1"/>
    <w:rsid w:val="00EB4871"/>
    <w:rsid w:val="00EB7F8D"/>
    <w:rsid w:val="00EC59CD"/>
    <w:rsid w:val="00F024F7"/>
    <w:rsid w:val="00F419C1"/>
    <w:rsid w:val="00F6061F"/>
    <w:rsid w:val="00F66464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FEF4CA"/>
  <w15:docId w15:val="{EAB149F2-4620-4410-9A52-6B7D51C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19B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Title"/>
    <w:next w:val="Normalaftertitle"/>
  </w:style>
  <w:style w:type="paragraph" w:customStyle="1" w:styleId="AnnexTitle">
    <w:name w:val="Annex_Title"/>
    <w:basedOn w:val="Normal"/>
    <w:next w:val="Normalaftertitle"/>
    <w:rsid w:val="009E74AE"/>
    <w:pPr>
      <w:keepNext/>
      <w:keepLines/>
      <w:spacing w:before="480"/>
      <w:jc w:val="center"/>
      <w:outlineLvl w:val="0"/>
    </w:pPr>
    <w:rPr>
      <w:rFonts w:ascii="Times New Roman Bold" w:hAnsi="Times New Roman Bold"/>
      <w:b/>
      <w:bCs/>
      <w:sz w:val="28"/>
      <w:szCs w:val="4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rsid w:val="00B35ADA"/>
    <w:pPr>
      <w:spacing w:before="240"/>
      <w:ind w:left="567" w:hanging="567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  <w:link w:val="RestitleChar"/>
    <w:qFormat/>
    <w:rsid w:val="00F66464"/>
    <w:rPr>
      <w:bCs/>
    </w:rPr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qFormat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C36D43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paragraph" w:customStyle="1" w:styleId="2">
    <w:name w:val="وسطي2"/>
    <w:basedOn w:val="Title"/>
    <w:rsid w:val="00C36D43"/>
    <w:rPr>
      <w:sz w:val="24"/>
      <w:szCs w:val="32"/>
    </w:rPr>
  </w:style>
  <w:style w:type="paragraph" w:customStyle="1" w:styleId="enumlev10">
    <w:name w:val="enumlev 1"/>
    <w:basedOn w:val="Normal"/>
    <w:qFormat/>
    <w:rsid w:val="003A2756"/>
    <w:pPr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80"/>
      <w:ind w:left="794" w:hanging="794"/>
      <w:textAlignment w:val="auto"/>
      <w:outlineLvl w:val="0"/>
    </w:pPr>
    <w:rPr>
      <w:rFonts w:ascii="Dubai" w:eastAsiaTheme="minorEastAsia" w:hAnsi="Dubai" w:cs="Dubai"/>
      <w:szCs w:val="22"/>
      <w:lang w:val="en-US" w:eastAsia="zh-CN" w:bidi="ar-SY"/>
    </w:rPr>
  </w:style>
  <w:style w:type="paragraph" w:customStyle="1" w:styleId="Proposal">
    <w:name w:val="Proposal"/>
    <w:basedOn w:val="Normal"/>
    <w:next w:val="Normal"/>
    <w:link w:val="ProposalChar"/>
    <w:qFormat/>
    <w:rsid w:val="00F66464"/>
    <w:pPr>
      <w:keepNext/>
      <w:keepLines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120"/>
      <w:textAlignment w:val="auto"/>
      <w:outlineLvl w:val="0"/>
    </w:pPr>
    <w:rPr>
      <w:rFonts w:ascii="Dubai" w:hAnsi="Dubai" w:cs="Dubai"/>
      <w:b/>
      <w:bCs/>
      <w:szCs w:val="22"/>
      <w:lang w:val="en-US" w:bidi="ar-EG"/>
    </w:rPr>
  </w:style>
  <w:style w:type="paragraph" w:customStyle="1" w:styleId="AnnexNo">
    <w:name w:val="Annex_No"/>
    <w:basedOn w:val="Normal"/>
    <w:link w:val="AnnexNoChar"/>
    <w:qFormat/>
    <w:rsid w:val="00F66464"/>
    <w:pPr>
      <w:keepNext/>
      <w:tabs>
        <w:tab w:val="clear" w:pos="1191"/>
        <w:tab w:val="clear" w:pos="1588"/>
        <w:tab w:val="clear" w:pos="1985"/>
        <w:tab w:val="left" w:pos="567"/>
        <w:tab w:val="left" w:pos="1701"/>
        <w:tab w:val="left" w:pos="2835"/>
      </w:tabs>
      <w:spacing w:before="360" w:after="120"/>
      <w:jc w:val="center"/>
    </w:pPr>
    <w:rPr>
      <w:rFonts w:ascii="Dubai" w:hAnsi="Dubai" w:cs="Dubai"/>
      <w:sz w:val="28"/>
      <w:szCs w:val="28"/>
      <w:lang w:bidi="ar-EG"/>
    </w:rPr>
  </w:style>
  <w:style w:type="character" w:customStyle="1" w:styleId="RestitleChar">
    <w:name w:val="Res_title Char"/>
    <w:basedOn w:val="DefaultParagraphFont"/>
    <w:link w:val="Restitle"/>
    <w:rsid w:val="00F66464"/>
    <w:rPr>
      <w:rFonts w:ascii="Times New Roman Bold" w:hAnsi="Times New Roman Bold" w:cs="Traditional Arabic"/>
      <w:b/>
      <w:bCs/>
      <w:sz w:val="28"/>
      <w:szCs w:val="40"/>
      <w:lang w:val="en-GB" w:eastAsia="en-US"/>
    </w:rPr>
  </w:style>
  <w:style w:type="character" w:styleId="Hyperlink">
    <w:name w:val="Hyperlink"/>
    <w:basedOn w:val="DefaultParagraphFont"/>
    <w:unhideWhenUsed/>
    <w:rsid w:val="009E74AE"/>
    <w:rPr>
      <w:rFonts w:ascii="Times New Roman" w:hAnsi="Times New Roman" w:cs="Traditional Arabic"/>
      <w:color w:val="0000FF" w:themeColor="hyperlink"/>
      <w:sz w:val="22"/>
      <w:szCs w:val="30"/>
      <w:u w:val="single"/>
    </w:rPr>
  </w:style>
  <w:style w:type="character" w:customStyle="1" w:styleId="AnnexNoChar">
    <w:name w:val="Annex_No Char"/>
    <w:link w:val="AnnexNo"/>
    <w:rsid w:val="00F66464"/>
    <w:rPr>
      <w:rFonts w:ascii="Dubai" w:hAnsi="Dubai" w:cs="Dubai"/>
      <w:sz w:val="28"/>
      <w:szCs w:val="28"/>
      <w:lang w:val="en-GB" w:eastAsia="en-US" w:bidi="ar-EG"/>
    </w:rPr>
  </w:style>
  <w:style w:type="character" w:customStyle="1" w:styleId="ProposalChar">
    <w:name w:val="Proposal Char"/>
    <w:basedOn w:val="DefaultParagraphFont"/>
    <w:link w:val="Proposal"/>
    <w:locked/>
    <w:rsid w:val="00F66464"/>
    <w:rPr>
      <w:rFonts w:ascii="Dubai" w:hAnsi="Dubai" w:cs="Dubai"/>
      <w:b/>
      <w:bCs/>
      <w:sz w:val="22"/>
      <w:szCs w:val="22"/>
      <w:lang w:eastAsia="en-US" w:bidi="ar-E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tu.int/md/R23-WRC23-C-0528/e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147</TotalTime>
  <Pages>5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45</cp:revision>
  <cp:lastPrinted>2026-01-26T14:51:00Z</cp:lastPrinted>
  <dcterms:created xsi:type="dcterms:W3CDTF">2012-09-07T12:29:00Z</dcterms:created>
  <dcterms:modified xsi:type="dcterms:W3CDTF">2026-01-26T14:52:00Z</dcterms:modified>
</cp:coreProperties>
</file>