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DAEE" w14:textId="77777777"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5FA5A48A" w14:textId="77777777" w:rsidR="00CD2902" w:rsidRDefault="00CD2902" w:rsidP="00DD7D4F">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w:t>
      </w:r>
      <w:r w:rsidR="00B537E5">
        <w:rPr>
          <w:rFonts w:hint="cs"/>
          <w:b/>
          <w:bCs/>
          <w:sz w:val="28"/>
          <w:szCs w:val="40"/>
          <w:rtl/>
          <w:lang w:bidi="ar-EG"/>
        </w:rPr>
        <w:t>تذييل</w:t>
      </w:r>
      <w:r>
        <w:rPr>
          <w:rFonts w:hint="cs"/>
          <w:b/>
          <w:bCs/>
          <w:sz w:val="28"/>
          <w:szCs w:val="40"/>
          <w:rtl/>
          <w:lang w:bidi="ar-EG"/>
        </w:rPr>
        <w:t xml:space="preserve"> </w:t>
      </w:r>
      <w:r w:rsidR="00DD7D4F">
        <w:rPr>
          <w:b/>
          <w:bCs/>
          <w:sz w:val="28"/>
          <w:szCs w:val="40"/>
          <w:lang w:val="en-US" w:bidi="ar-EG"/>
        </w:rPr>
        <w:t>27</w:t>
      </w:r>
      <w:r>
        <w:rPr>
          <w:rFonts w:hint="cs"/>
          <w:b/>
          <w:bCs/>
          <w:sz w:val="28"/>
          <w:szCs w:val="40"/>
          <w:rtl/>
          <w:lang w:val="en-US" w:bidi="ar-EG"/>
        </w:rPr>
        <w:t xml:space="preserve"> </w:t>
      </w:r>
      <w:r w:rsidR="00B537E5">
        <w:rPr>
          <w:rFonts w:hint="cs"/>
          <w:b/>
          <w:bCs/>
          <w:sz w:val="28"/>
          <w:szCs w:val="40"/>
          <w:rtl/>
          <w:lang w:val="en-US" w:bidi="ar-EG"/>
        </w:rPr>
        <w:t>ل</w:t>
      </w:r>
      <w:r>
        <w:rPr>
          <w:rFonts w:hint="cs"/>
          <w:b/>
          <w:bCs/>
          <w:sz w:val="28"/>
          <w:szCs w:val="40"/>
          <w:rtl/>
          <w:lang w:val="en-US" w:bidi="ar-EG"/>
        </w:rPr>
        <w:t>لوائح الراديو</w:t>
      </w:r>
    </w:p>
    <w:p w14:paraId="70A6384B" w14:textId="77777777"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7AA6B30C" w14:textId="77777777">
        <w:tc>
          <w:tcPr>
            <w:tcW w:w="1275" w:type="dxa"/>
          </w:tcPr>
          <w:p w14:paraId="33CA803F" w14:textId="77777777" w:rsidR="004036A6" w:rsidRPr="00EC59CD" w:rsidRDefault="00DD7D4F" w:rsidP="004917D4">
            <w:pPr>
              <w:tabs>
                <w:tab w:val="clear" w:pos="794"/>
                <w:tab w:val="clear" w:pos="1191"/>
                <w:tab w:val="clear" w:pos="1588"/>
                <w:tab w:val="clear" w:pos="1985"/>
              </w:tabs>
              <w:spacing w:before="0" w:after="40" w:line="280" w:lineRule="exact"/>
              <w:jc w:val="left"/>
              <w:rPr>
                <w:b/>
                <w:bCs/>
                <w:rtl/>
                <w:lang w:val="en-US"/>
              </w:rPr>
            </w:pPr>
            <w:r w:rsidRPr="00CB3CA0">
              <w:rPr>
                <w:lang w:val="en-US" w:bidi="ar-EG"/>
              </w:rPr>
              <w:t>15/</w:t>
            </w:r>
            <w:r>
              <w:rPr>
                <w:b/>
                <w:bCs/>
                <w:lang w:val="en-US" w:bidi="ar-EG"/>
              </w:rPr>
              <w:t>27</w:t>
            </w:r>
          </w:p>
        </w:tc>
      </w:tr>
    </w:tbl>
    <w:p w14:paraId="682FBC1B" w14:textId="77777777" w:rsidR="00FC401D" w:rsidRDefault="00DD7D4F" w:rsidP="00B22DDE">
      <w:pPr>
        <w:pStyle w:val="List2"/>
        <w:tabs>
          <w:tab w:val="clear" w:pos="935"/>
          <w:tab w:val="left" w:pos="707"/>
        </w:tabs>
        <w:spacing w:before="360" w:after="0" w:line="192" w:lineRule="auto"/>
        <w:ind w:left="0" w:firstLine="0"/>
        <w:rPr>
          <w:rFonts w:cs="Traditional Arabic"/>
          <w:rtl/>
        </w:rPr>
      </w:pPr>
      <w:r w:rsidRPr="0064114B">
        <w:rPr>
          <w:rFonts w:cs="Traditional Arabic"/>
          <w:rtl/>
        </w:rPr>
        <w:t xml:space="preserve">يبين هذا الحكم أن استعمال القنوات المشتقة من الترددات المبينة في الرقم </w:t>
      </w:r>
      <w:r w:rsidRPr="00CB3CA0">
        <w:rPr>
          <w:rFonts w:cs="Traditional Arabic"/>
        </w:rPr>
        <w:t>18/</w:t>
      </w:r>
      <w:r w:rsidRPr="00CB3CA0">
        <w:rPr>
          <w:rFonts w:cs="Traditional Arabic"/>
          <w:b/>
          <w:bCs/>
        </w:rPr>
        <w:t>27</w:t>
      </w:r>
      <w:r w:rsidRPr="0064114B">
        <w:rPr>
          <w:rFonts w:cs="Traditional Arabic"/>
          <w:rtl/>
        </w:rPr>
        <w:t xml:space="preserve"> من أجل مختلف أصناف البث غير الصنفين </w:t>
      </w:r>
      <w:r w:rsidRPr="0064114B">
        <w:rPr>
          <w:rFonts w:cs="Traditional Arabic"/>
        </w:rPr>
        <w:t>J3E</w:t>
      </w:r>
      <w:r w:rsidRPr="0064114B">
        <w:rPr>
          <w:rFonts w:cs="Traditional Arabic"/>
          <w:rtl/>
        </w:rPr>
        <w:t xml:space="preserve"> و</w:t>
      </w:r>
      <w:r w:rsidRPr="0064114B">
        <w:rPr>
          <w:rFonts w:cs="Traditional Arabic"/>
        </w:rPr>
        <w:t>H2B</w:t>
      </w:r>
      <w:r w:rsidRPr="0064114B">
        <w:rPr>
          <w:rFonts w:cs="Traditional Arabic"/>
          <w:rtl/>
        </w:rPr>
        <w:t xml:space="preserve"> يخضع لترتيبات خاصة تجرى بين الإدارات المعنية </w:t>
      </w:r>
      <w:r w:rsidR="00E544A0">
        <w:rPr>
          <w:rFonts w:cs="Traditional Arabic" w:hint="cs"/>
          <w:rtl/>
        </w:rPr>
        <w:t>و</w:t>
      </w:r>
      <w:r w:rsidRPr="0064114B">
        <w:rPr>
          <w:rFonts w:cs="Traditional Arabic"/>
          <w:rtl/>
        </w:rPr>
        <w:t>المتأثرة. وفي هذا الخصوص، و</w:t>
      </w:r>
      <w:r>
        <w:rPr>
          <w:rFonts w:cs="Traditional Arabic" w:hint="cs"/>
          <w:rtl/>
        </w:rPr>
        <w:t>مراعاة</w:t>
      </w:r>
      <w:r w:rsidRPr="0064114B">
        <w:rPr>
          <w:rFonts w:cs="Traditional Arabic"/>
          <w:rtl/>
        </w:rPr>
        <w:t xml:space="preserve"> </w:t>
      </w:r>
      <w:r>
        <w:rPr>
          <w:rFonts w:cs="Traditional Arabic" w:hint="cs"/>
          <w:rtl/>
        </w:rPr>
        <w:t>ل</w:t>
      </w:r>
      <w:r w:rsidRPr="0064114B">
        <w:rPr>
          <w:rFonts w:cs="Traditional Arabic"/>
          <w:rtl/>
        </w:rPr>
        <w:t xml:space="preserve">روح القرار </w:t>
      </w:r>
      <w:r w:rsidRPr="0064114B">
        <w:rPr>
          <w:rFonts w:cs="Traditional Arabic"/>
          <w:b/>
          <w:bCs/>
        </w:rPr>
        <w:t>713 (WRC-95)</w:t>
      </w:r>
      <w:r w:rsidR="00B22DDE" w:rsidRPr="00B22DDE">
        <w:rPr>
          <w:rStyle w:val="FootnoteReference"/>
          <w:rtl/>
        </w:rPr>
        <w:footnoteReference w:customMarkFollows="1" w:id="1"/>
        <w:t>*</w:t>
      </w:r>
      <w:r w:rsidR="00E544A0">
        <w:rPr>
          <w:rFonts w:cs="Traditional Arabic" w:hint="cs"/>
          <w:rtl/>
        </w:rPr>
        <w:t>،</w:t>
      </w:r>
      <w:r w:rsidRPr="0064114B">
        <w:rPr>
          <w:rFonts w:cs="Traditional Arabic"/>
          <w:rtl/>
        </w:rPr>
        <w:t xml:space="preserve"> </w:t>
      </w:r>
      <w:r>
        <w:rPr>
          <w:rFonts w:cs="Traditional Arabic" w:hint="cs"/>
          <w:rtl/>
        </w:rPr>
        <w:t>تعتبر اللجنة أي</w:t>
      </w:r>
      <w:r w:rsidRPr="0064114B">
        <w:rPr>
          <w:rFonts w:cs="Traditional Arabic"/>
          <w:rtl/>
        </w:rPr>
        <w:t xml:space="preserve"> إجراء رسمي تقوم به منظمة </w:t>
      </w:r>
      <w:r w:rsidR="00E544A0">
        <w:rPr>
          <w:rFonts w:cs="Traditional Arabic" w:hint="cs"/>
          <w:rtl/>
        </w:rPr>
        <w:t>ا</w:t>
      </w:r>
      <w:r w:rsidRPr="0064114B">
        <w:rPr>
          <w:rFonts w:cs="Traditional Arabic"/>
          <w:rtl/>
        </w:rPr>
        <w:t xml:space="preserve">لطيران المدني </w:t>
      </w:r>
      <w:r w:rsidR="00251F0E">
        <w:rPr>
          <w:rFonts w:cs="Traditional Arabic" w:hint="cs"/>
          <w:rtl/>
        </w:rPr>
        <w:t xml:space="preserve">الدولي </w:t>
      </w:r>
      <w:r w:rsidRPr="0064114B">
        <w:rPr>
          <w:rFonts w:cs="Traditional Arabic"/>
        </w:rPr>
        <w:t>(ICAO)</w:t>
      </w:r>
      <w:r w:rsidRPr="0064114B">
        <w:rPr>
          <w:rFonts w:cs="Traditional Arabic"/>
          <w:rtl/>
        </w:rPr>
        <w:t xml:space="preserve"> ويؤدي إلى وضع معايير وممارسات موصى بها </w:t>
      </w:r>
      <w:r w:rsidRPr="0064114B">
        <w:rPr>
          <w:rFonts w:cs="Traditional Arabic"/>
        </w:rPr>
        <w:t>(SARP)</w:t>
      </w:r>
      <w:r w:rsidRPr="0064114B">
        <w:rPr>
          <w:rFonts w:cs="Traditional Arabic"/>
          <w:rtl/>
        </w:rPr>
        <w:t xml:space="preserve"> توافق علي</w:t>
      </w:r>
      <w:r w:rsidR="005E119B">
        <w:rPr>
          <w:rFonts w:cs="Traditional Arabic"/>
          <w:rtl/>
        </w:rPr>
        <w:t>ها هذه المنظمة طبقاً لإجراءاتها</w:t>
      </w:r>
      <w:r w:rsidRPr="0064114B">
        <w:rPr>
          <w:rFonts w:cs="Traditional Arabic"/>
          <w:rtl/>
        </w:rPr>
        <w:t xml:space="preserve"> وتبلغها إلى الاتحاد الدولي للاتصالات وفقاً لذلك</w:t>
      </w:r>
      <w:r w:rsidR="005E119B">
        <w:rPr>
          <w:rFonts w:cs="Traditional Arabic" w:hint="cs"/>
          <w:rtl/>
        </w:rPr>
        <w:t>،</w:t>
      </w:r>
      <w:r>
        <w:rPr>
          <w:rFonts w:cs="Traditional Arabic" w:hint="cs"/>
          <w:rtl/>
        </w:rPr>
        <w:t xml:space="preserve"> "</w:t>
      </w:r>
      <w:r w:rsidRPr="0064114B">
        <w:rPr>
          <w:rFonts w:cs="Traditional Arabic"/>
          <w:rtl/>
        </w:rPr>
        <w:t>ترتيباً خاصا</w:t>
      </w:r>
      <w:r w:rsidR="00CB3CA0">
        <w:rPr>
          <w:rFonts w:cs="Traditional Arabic" w:hint="cs"/>
          <w:rtl/>
        </w:rPr>
        <w:t>ً</w:t>
      </w:r>
      <w:r w:rsidRPr="0064114B">
        <w:rPr>
          <w:rFonts w:cs="Traditional Arabic"/>
          <w:rtl/>
        </w:rPr>
        <w:t xml:space="preserve"> </w:t>
      </w:r>
      <w:r>
        <w:rPr>
          <w:rFonts w:cs="Traditional Arabic" w:hint="cs"/>
          <w:rtl/>
        </w:rPr>
        <w:t>من جانب</w:t>
      </w:r>
      <w:r w:rsidRPr="0064114B">
        <w:rPr>
          <w:rFonts w:cs="Traditional Arabic"/>
          <w:rtl/>
        </w:rPr>
        <w:t xml:space="preserve"> الإدارات المعنية</w:t>
      </w:r>
      <w:r>
        <w:rPr>
          <w:rFonts w:cs="Traditional Arabic" w:hint="cs"/>
          <w:rtl/>
        </w:rPr>
        <w:t>"</w:t>
      </w:r>
      <w:r w:rsidR="00251F0E">
        <w:rPr>
          <w:rFonts w:cs="Traditional Arabic" w:hint="cs"/>
          <w:rtl/>
        </w:rPr>
        <w:t xml:space="preserve"> </w:t>
      </w:r>
      <w:r w:rsidR="005E119B">
        <w:rPr>
          <w:rFonts w:cs="Traditional Arabic" w:hint="cs"/>
          <w:rtl/>
        </w:rPr>
        <w:t>و</w:t>
      </w:r>
      <w:r w:rsidR="00251F0E">
        <w:rPr>
          <w:rFonts w:cs="Traditional Arabic" w:hint="cs"/>
          <w:rtl/>
        </w:rPr>
        <w:t>إجراءً صحيحاً</w:t>
      </w:r>
      <w:r w:rsidRPr="0064114B">
        <w:rPr>
          <w:rFonts w:cs="Traditional Arabic"/>
          <w:rtl/>
        </w:rPr>
        <w:t>.</w:t>
      </w:r>
    </w:p>
    <w:p w14:paraId="0A50559E" w14:textId="77777777" w:rsidR="00DD7D4F" w:rsidRDefault="00DD7D4F" w:rsidP="00DA33D4">
      <w:pPr>
        <w:pStyle w:val="List2"/>
        <w:tabs>
          <w:tab w:val="clear" w:pos="935"/>
          <w:tab w:val="left" w:pos="707"/>
        </w:tabs>
        <w:spacing w:after="0" w:line="192" w:lineRule="auto"/>
        <w:ind w:left="0" w:firstLine="0"/>
        <w:rPr>
          <w:rFonts w:cs="Traditional Arabic"/>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7012C" w14:paraId="3053A1BB" w14:textId="77777777">
        <w:tc>
          <w:tcPr>
            <w:tcW w:w="1275" w:type="dxa"/>
          </w:tcPr>
          <w:p w14:paraId="46F140E6" w14:textId="77777777" w:rsidR="0057012C" w:rsidRPr="00EC59CD" w:rsidRDefault="008624FE" w:rsidP="005779E6">
            <w:pPr>
              <w:tabs>
                <w:tab w:val="clear" w:pos="794"/>
                <w:tab w:val="clear" w:pos="1191"/>
                <w:tab w:val="clear" w:pos="1588"/>
                <w:tab w:val="clear" w:pos="1985"/>
              </w:tabs>
              <w:spacing w:before="0" w:after="40" w:line="280" w:lineRule="exact"/>
              <w:jc w:val="left"/>
              <w:rPr>
                <w:b/>
                <w:bCs/>
                <w:lang w:val="en-US"/>
              </w:rPr>
            </w:pPr>
            <w:r w:rsidRPr="00CB3CA0">
              <w:rPr>
                <w:lang w:val="en-US" w:bidi="ar-EG"/>
              </w:rPr>
              <w:t>18/</w:t>
            </w:r>
            <w:r>
              <w:rPr>
                <w:b/>
                <w:bCs/>
                <w:lang w:val="en-US" w:bidi="ar-EG"/>
              </w:rPr>
              <w:t>27</w:t>
            </w:r>
          </w:p>
        </w:tc>
      </w:tr>
    </w:tbl>
    <w:p w14:paraId="1370452C" w14:textId="608DEE10" w:rsidR="008624FE" w:rsidRPr="0064114B" w:rsidRDefault="008624FE" w:rsidP="005E119B">
      <w:pPr>
        <w:pStyle w:val="List2"/>
        <w:spacing w:before="400" w:after="0" w:line="192" w:lineRule="auto"/>
        <w:ind w:left="0" w:firstLine="0"/>
        <w:rPr>
          <w:rFonts w:cs="Traditional Arabic"/>
          <w:rtl/>
        </w:rPr>
      </w:pPr>
      <w:r>
        <w:rPr>
          <w:rFonts w:cs="Traditional Arabic"/>
        </w:rPr>
        <w:t>1</w:t>
      </w:r>
      <w:r w:rsidRPr="0064114B">
        <w:rPr>
          <w:rFonts w:cs="Traditional Arabic"/>
          <w:rtl/>
        </w:rPr>
        <w:tab/>
        <w:t xml:space="preserve">إن قائمة </w:t>
      </w:r>
      <w:r w:rsidR="005E119B">
        <w:rPr>
          <w:rFonts w:cs="Traditional Arabic" w:hint="cs"/>
          <w:rtl/>
        </w:rPr>
        <w:t>ال</w:t>
      </w:r>
      <w:r w:rsidRPr="0064114B">
        <w:rPr>
          <w:rFonts w:cs="Traditional Arabic"/>
          <w:rtl/>
        </w:rPr>
        <w:t xml:space="preserve">ترددات الحاملة (المرجعية) </w:t>
      </w:r>
      <w:r>
        <w:rPr>
          <w:rFonts w:cs="Traditional Arabic" w:hint="cs"/>
          <w:rtl/>
        </w:rPr>
        <w:t>المشار</w:t>
      </w:r>
      <w:r w:rsidRPr="0064114B">
        <w:rPr>
          <w:rFonts w:cs="Traditional Arabic"/>
          <w:rtl/>
        </w:rPr>
        <w:t xml:space="preserve"> إليها في هذا الحكم تحتوي على خمس</w:t>
      </w:r>
      <w:r w:rsidR="00112AC6">
        <w:rPr>
          <w:rFonts w:cs="Traditional Arabic" w:hint="cs"/>
          <w:rtl/>
        </w:rPr>
        <w:t>ة</w:t>
      </w:r>
      <w:r w:rsidRPr="0064114B">
        <w:rPr>
          <w:rFonts w:cs="Traditional Arabic"/>
          <w:rtl/>
        </w:rPr>
        <w:t xml:space="preserve"> ترددات (</w:t>
      </w:r>
      <w:r w:rsidRPr="0064114B">
        <w:rPr>
          <w:rFonts w:cs="Traditional Arabic"/>
        </w:rPr>
        <w:t>kHz 21 925</w:t>
      </w:r>
      <w:r w:rsidRPr="0064114B">
        <w:rPr>
          <w:rFonts w:cs="Traditional Arabic"/>
          <w:rtl/>
        </w:rPr>
        <w:t xml:space="preserve"> و</w:t>
      </w:r>
      <w:r w:rsidRPr="0064114B">
        <w:rPr>
          <w:rFonts w:cs="Traditional Arabic"/>
        </w:rPr>
        <w:t>kHz 21 928</w:t>
      </w:r>
      <w:r w:rsidRPr="0064114B">
        <w:rPr>
          <w:rFonts w:cs="Traditional Arabic"/>
          <w:rtl/>
        </w:rPr>
        <w:t xml:space="preserve"> و</w:t>
      </w:r>
      <w:r w:rsidRPr="0064114B">
        <w:rPr>
          <w:rFonts w:cs="Traditional Arabic"/>
        </w:rPr>
        <w:t>kHz 21 931</w:t>
      </w:r>
      <w:r w:rsidRPr="0064114B">
        <w:rPr>
          <w:rFonts w:cs="Traditional Arabic"/>
          <w:rtl/>
        </w:rPr>
        <w:t xml:space="preserve"> و</w:t>
      </w:r>
      <w:r w:rsidRPr="0064114B">
        <w:rPr>
          <w:rFonts w:cs="Traditional Arabic"/>
        </w:rPr>
        <w:t>kHz 21 934</w:t>
      </w:r>
      <w:r w:rsidRPr="0064114B">
        <w:rPr>
          <w:rFonts w:cs="Traditional Arabic"/>
          <w:rtl/>
        </w:rPr>
        <w:t xml:space="preserve"> و</w:t>
      </w:r>
      <w:r w:rsidRPr="0064114B">
        <w:rPr>
          <w:rFonts w:cs="Traditional Arabic"/>
        </w:rPr>
        <w:t>kHz 21 937</w:t>
      </w:r>
      <w:r w:rsidRPr="0064114B">
        <w:rPr>
          <w:rFonts w:cs="Traditional Arabic"/>
          <w:rtl/>
        </w:rPr>
        <w:t>) لم يجر تعيينها إلى أي من مناطق التعيين المعرفة في</w:t>
      </w:r>
      <w:r w:rsidR="00DA33D4">
        <w:rPr>
          <w:rFonts w:cs="Traditional Arabic" w:hint="cs"/>
          <w:rtl/>
        </w:rPr>
        <w:t> </w:t>
      </w:r>
      <w:r w:rsidRPr="0064114B">
        <w:rPr>
          <w:rFonts w:cs="Traditional Arabic"/>
          <w:rtl/>
        </w:rPr>
        <w:t xml:space="preserve">التذييل </w:t>
      </w:r>
      <w:r w:rsidRPr="0064114B">
        <w:rPr>
          <w:rFonts w:cs="Traditional Arabic"/>
          <w:b/>
          <w:bCs/>
        </w:rPr>
        <w:t>27</w:t>
      </w:r>
      <w:r w:rsidRPr="0064114B">
        <w:rPr>
          <w:rFonts w:cs="Traditional Arabic"/>
          <w:rtl/>
        </w:rPr>
        <w:t xml:space="preserve">. وتعتبر اللجنة أن هذه الترددات </w:t>
      </w:r>
      <w:r w:rsidR="003B0F8D">
        <w:rPr>
          <w:rFonts w:cs="Traditional Arabic" w:hint="cs"/>
          <w:rtl/>
        </w:rPr>
        <w:t>متاحة</w:t>
      </w:r>
      <w:r w:rsidRPr="0064114B">
        <w:rPr>
          <w:rFonts w:cs="Traditional Arabic"/>
          <w:rtl/>
        </w:rPr>
        <w:t xml:space="preserve"> لأي إدارة، من أجل أي استعمال </w:t>
      </w:r>
      <w:r w:rsidR="00104B0B">
        <w:rPr>
          <w:rFonts w:cs="Traditional Arabic" w:hint="cs"/>
          <w:rtl/>
        </w:rPr>
        <w:t xml:space="preserve">تراه تلك الإدارة </w:t>
      </w:r>
      <w:r w:rsidRPr="0064114B">
        <w:rPr>
          <w:rFonts w:cs="Traditional Arabic"/>
          <w:rtl/>
        </w:rPr>
        <w:t>مناسب</w:t>
      </w:r>
      <w:r w:rsidR="00104B0B">
        <w:rPr>
          <w:rFonts w:cs="Traditional Arabic" w:hint="cs"/>
          <w:rtl/>
        </w:rPr>
        <w:t>اً</w:t>
      </w:r>
      <w:r w:rsidRPr="0064114B">
        <w:rPr>
          <w:rFonts w:cs="Traditional Arabic"/>
          <w:rtl/>
        </w:rPr>
        <w:t xml:space="preserve">، </w:t>
      </w:r>
      <w:r w:rsidR="00104B0B">
        <w:rPr>
          <w:rFonts w:cs="Traditional Arabic" w:hint="cs"/>
          <w:rtl/>
        </w:rPr>
        <w:t>شريطة أن يكون متماشياً</w:t>
      </w:r>
      <w:r w:rsidRPr="0064114B">
        <w:rPr>
          <w:rFonts w:cs="Traditional Arabic"/>
          <w:rtl/>
        </w:rPr>
        <w:t xml:space="preserve"> مع تعريف الخدمة المتنقلة للطيران </w:t>
      </w:r>
      <w:r w:rsidR="00251F0E">
        <w:rPr>
          <w:rFonts w:cs="Traditional Arabic"/>
        </w:rPr>
        <w:t>(R)</w:t>
      </w:r>
      <w:r w:rsidRPr="0064114B">
        <w:rPr>
          <w:rFonts w:cs="Traditional Arabic"/>
          <w:rtl/>
        </w:rPr>
        <w:t xml:space="preserve"> كما هو مبين في الرقم </w:t>
      </w:r>
      <w:r w:rsidR="00CB3CA0">
        <w:rPr>
          <w:rFonts w:cs="Traditional Arabic"/>
          <w:b/>
          <w:bCs/>
        </w:rPr>
        <w:t>33</w:t>
      </w:r>
      <w:r w:rsidRPr="0064114B">
        <w:rPr>
          <w:rFonts w:cs="Traditional Arabic"/>
          <w:b/>
          <w:bCs/>
        </w:rPr>
        <w:t>.</w:t>
      </w:r>
      <w:r w:rsidR="00CB3CA0">
        <w:rPr>
          <w:rFonts w:cs="Traditional Arabic"/>
          <w:b/>
          <w:bCs/>
        </w:rPr>
        <w:t>1</w:t>
      </w:r>
      <w:r w:rsidR="00104B0B">
        <w:rPr>
          <w:rFonts w:cs="Traditional Arabic" w:hint="cs"/>
          <w:rtl/>
        </w:rPr>
        <w:t>.</w:t>
      </w:r>
    </w:p>
    <w:p w14:paraId="551A7257" w14:textId="5DCAD25B" w:rsidR="008624FE" w:rsidRDefault="008624FE" w:rsidP="00CB3CA0">
      <w:pPr>
        <w:pStyle w:val="List2"/>
        <w:spacing w:before="400" w:after="0" w:line="192" w:lineRule="auto"/>
        <w:ind w:left="0" w:firstLine="0"/>
        <w:rPr>
          <w:rFonts w:cs="Traditional Arabic"/>
          <w:rtl/>
        </w:rPr>
      </w:pPr>
      <w:r>
        <w:rPr>
          <w:rFonts w:cs="Traditional Arabic"/>
        </w:rPr>
        <w:t>2</w:t>
      </w:r>
      <w:r w:rsidRPr="0064114B">
        <w:rPr>
          <w:rFonts w:cs="Traditional Arabic"/>
          <w:rtl/>
        </w:rPr>
        <w:tab/>
        <w:t xml:space="preserve">لن ينظر المكتب في إطار التفحصات المشار إليها في الرقم </w:t>
      </w:r>
      <w:r w:rsidR="00960908">
        <w:rPr>
          <w:rFonts w:cs="Traditional Arabic"/>
          <w:b/>
          <w:bCs/>
        </w:rPr>
        <w:t>34.11</w:t>
      </w:r>
      <w:r w:rsidRPr="0064114B">
        <w:rPr>
          <w:rFonts w:cs="Traditional Arabic"/>
          <w:rtl/>
        </w:rPr>
        <w:t xml:space="preserve"> في بطاقات التبليغ المتعلقة بكل من هذه</w:t>
      </w:r>
      <w:r w:rsidR="00DA33D4">
        <w:rPr>
          <w:rFonts w:cs="Traditional Arabic" w:hint="cs"/>
          <w:rtl/>
        </w:rPr>
        <w:t> </w:t>
      </w:r>
      <w:r w:rsidRPr="0064114B">
        <w:rPr>
          <w:rFonts w:cs="Traditional Arabic"/>
          <w:rtl/>
        </w:rPr>
        <w:t>الترددات</w:t>
      </w:r>
      <w:r w:rsidR="00F720D6">
        <w:rPr>
          <w:rFonts w:cs="Traditional Arabic" w:hint="cs"/>
          <w:rtl/>
        </w:rPr>
        <w:t>،</w:t>
      </w:r>
      <w:r w:rsidRPr="0064114B">
        <w:rPr>
          <w:rFonts w:cs="Traditional Arabic"/>
          <w:rtl/>
        </w:rPr>
        <w:t xml:space="preserve"> إلا من </w:t>
      </w:r>
      <w:r w:rsidR="00960908">
        <w:rPr>
          <w:rFonts w:cs="Traditional Arabic" w:hint="cs"/>
          <w:rtl/>
        </w:rPr>
        <w:t>حيث</w:t>
      </w:r>
      <w:r w:rsidRPr="0064114B">
        <w:rPr>
          <w:rFonts w:cs="Traditional Arabic"/>
          <w:rtl/>
        </w:rPr>
        <w:t xml:space="preserve"> تطابقها مع المبادئ التقنية الواردة في التذييل </w:t>
      </w:r>
      <w:r w:rsidRPr="0064114B">
        <w:rPr>
          <w:rFonts w:cs="Traditional Arabic"/>
          <w:b/>
          <w:bCs/>
        </w:rPr>
        <w:t>27</w:t>
      </w:r>
      <w:r w:rsidRPr="0064114B">
        <w:rPr>
          <w:rFonts w:cs="Traditional Arabic"/>
          <w:rtl/>
        </w:rPr>
        <w:t xml:space="preserve"> (ترتيبات الوضع في قنوات، وعرض النطاق</w:t>
      </w:r>
      <w:r w:rsidR="00960908">
        <w:rPr>
          <w:rFonts w:cs="Traditional Arabic" w:hint="cs"/>
          <w:rtl/>
        </w:rPr>
        <w:t>،</w:t>
      </w:r>
      <w:r w:rsidRPr="0064114B">
        <w:rPr>
          <w:rFonts w:cs="Traditional Arabic"/>
          <w:rtl/>
        </w:rPr>
        <w:t xml:space="preserve"> وصنف </w:t>
      </w:r>
      <w:r w:rsidR="00CB3CA0">
        <w:rPr>
          <w:rFonts w:cs="Traditional Arabic" w:hint="cs"/>
          <w:rtl/>
        </w:rPr>
        <w:t>الإرسال</w:t>
      </w:r>
      <w:r w:rsidR="00960908">
        <w:rPr>
          <w:rFonts w:cs="Traditional Arabic" w:hint="cs"/>
          <w:rtl/>
        </w:rPr>
        <w:t>،</w:t>
      </w:r>
      <w:r w:rsidRPr="0064114B">
        <w:rPr>
          <w:rFonts w:cs="Traditional Arabic"/>
          <w:rtl/>
        </w:rPr>
        <w:t xml:space="preserve"> والقدرة). وسوف يسجل التخصيص في السجل </w:t>
      </w:r>
      <w:r w:rsidR="00960908">
        <w:rPr>
          <w:rFonts w:cs="Traditional Arabic" w:hint="cs"/>
          <w:rtl/>
        </w:rPr>
        <w:t>الأساسي</w:t>
      </w:r>
      <w:r w:rsidRPr="0064114B">
        <w:rPr>
          <w:rFonts w:cs="Traditional Arabic"/>
          <w:rtl/>
        </w:rPr>
        <w:t xml:space="preserve"> حين تؤدي عمليات التفحص إلى نتيجة مؤاتية. وحين لا تكون النتيجة مؤاتية، تتم إعادة البطاقة إلى الإدارة المبلغة، مع تبيان الإجراءات الواجب اتخاذها.</w:t>
      </w:r>
    </w:p>
    <w:p w14:paraId="72A146C6" w14:textId="77777777" w:rsidR="00960908" w:rsidRDefault="00960908" w:rsidP="00960908">
      <w:pPr>
        <w:pStyle w:val="List2"/>
        <w:spacing w:before="400" w:after="0" w:line="192" w:lineRule="auto"/>
        <w:ind w:left="0" w:firstLine="0"/>
        <w:rPr>
          <w:rFonts w:cs="Traditional Arabic"/>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60908" w14:paraId="183AB531" w14:textId="77777777">
        <w:tc>
          <w:tcPr>
            <w:tcW w:w="1275" w:type="dxa"/>
          </w:tcPr>
          <w:p w14:paraId="30250B99" w14:textId="77777777" w:rsidR="00960908" w:rsidRPr="00EC59CD" w:rsidRDefault="00960908" w:rsidP="00960908">
            <w:pPr>
              <w:tabs>
                <w:tab w:val="clear" w:pos="794"/>
                <w:tab w:val="clear" w:pos="1191"/>
                <w:tab w:val="clear" w:pos="1588"/>
                <w:tab w:val="clear" w:pos="1985"/>
              </w:tabs>
              <w:spacing w:before="0" w:after="40" w:line="280" w:lineRule="exact"/>
              <w:jc w:val="left"/>
              <w:rPr>
                <w:b/>
                <w:bCs/>
                <w:lang w:val="en-US"/>
              </w:rPr>
            </w:pPr>
            <w:r w:rsidRPr="00CB3CA0">
              <w:rPr>
                <w:lang w:val="en-US" w:bidi="ar-EG"/>
              </w:rPr>
              <w:t>19/</w:t>
            </w:r>
            <w:r>
              <w:rPr>
                <w:b/>
                <w:bCs/>
                <w:lang w:val="en-US" w:bidi="ar-EG"/>
              </w:rPr>
              <w:t>27</w:t>
            </w:r>
          </w:p>
        </w:tc>
      </w:tr>
    </w:tbl>
    <w:p w14:paraId="49FB946B" w14:textId="1913F79D" w:rsidR="00DA33D4" w:rsidRDefault="00384218" w:rsidP="00DA33D4">
      <w:pPr>
        <w:pStyle w:val="List2"/>
        <w:spacing w:before="400" w:after="0" w:line="192" w:lineRule="auto"/>
        <w:ind w:left="0" w:firstLine="0"/>
        <w:rPr>
          <w:rFonts w:cs="Traditional Arabic"/>
          <w:rtl/>
        </w:rPr>
      </w:pPr>
      <w:r w:rsidRPr="0064114B">
        <w:rPr>
          <w:rFonts w:cs="Traditional Arabic"/>
          <w:rtl/>
        </w:rPr>
        <w:t xml:space="preserve">يحدد هذا الحكم الدور الذي </w:t>
      </w:r>
      <w:r w:rsidR="00764FF6">
        <w:rPr>
          <w:rFonts w:cs="Traditional Arabic" w:hint="cs"/>
          <w:rtl/>
        </w:rPr>
        <w:t>(</w:t>
      </w:r>
      <w:r>
        <w:rPr>
          <w:rFonts w:cs="Traditional Arabic" w:hint="cs"/>
          <w:rtl/>
        </w:rPr>
        <w:t>"</w:t>
      </w:r>
      <w:r w:rsidRPr="0064114B">
        <w:rPr>
          <w:rFonts w:cs="Traditional Arabic"/>
          <w:rtl/>
        </w:rPr>
        <w:t>ينبغي</w:t>
      </w:r>
      <w:r>
        <w:rPr>
          <w:rFonts w:cs="Traditional Arabic" w:hint="cs"/>
          <w:rtl/>
        </w:rPr>
        <w:t>"</w:t>
      </w:r>
      <w:r w:rsidR="00764FF6">
        <w:rPr>
          <w:rFonts w:cs="Traditional Arabic" w:hint="cs"/>
          <w:rtl/>
        </w:rPr>
        <w:t>)</w:t>
      </w:r>
      <w:r w:rsidRPr="0064114B">
        <w:rPr>
          <w:rFonts w:cs="Traditional Arabic"/>
          <w:rtl/>
        </w:rPr>
        <w:t xml:space="preserve"> لمنظمة </w:t>
      </w:r>
      <w:r>
        <w:rPr>
          <w:rFonts w:cs="Traditional Arabic" w:hint="cs"/>
          <w:rtl/>
        </w:rPr>
        <w:t>الطيران المدني الدولي</w:t>
      </w:r>
      <w:r w:rsidRPr="0064114B">
        <w:rPr>
          <w:rFonts w:cs="Traditional Arabic"/>
          <w:rtl/>
        </w:rPr>
        <w:t xml:space="preserve"> أن ت</w:t>
      </w:r>
      <w:r>
        <w:rPr>
          <w:rFonts w:cs="Traditional Arabic" w:hint="cs"/>
          <w:rtl/>
        </w:rPr>
        <w:t>ؤديه</w:t>
      </w:r>
      <w:r w:rsidRPr="0064114B">
        <w:rPr>
          <w:rFonts w:cs="Traditional Arabic"/>
          <w:rtl/>
        </w:rPr>
        <w:t xml:space="preserve"> لدى إجراء التنسيق الطوعي </w:t>
      </w:r>
      <w:r>
        <w:rPr>
          <w:rFonts w:cs="Traditional Arabic" w:hint="cs"/>
          <w:rtl/>
        </w:rPr>
        <w:t>للا</w:t>
      </w:r>
      <w:r w:rsidRPr="0064114B">
        <w:rPr>
          <w:rFonts w:cs="Traditional Arabic"/>
          <w:rtl/>
        </w:rPr>
        <w:t xml:space="preserve">ستخدام التشغيلي للترددات. وتعتبر اللجنة هذا التنسيق بمثابة نشاط داخل هذه المنظمة، يستهدف التوصل إلى اتفاقات تشغيلية بين المشغلين الدوليين (مثلاً ترتيبات التقاسم الزمني). ومن هنا، فإن المكتب لن يأخذ في الاعتبار </w:t>
      </w:r>
      <w:r>
        <w:rPr>
          <w:rFonts w:cs="Traditional Arabic" w:hint="cs"/>
          <w:rtl/>
        </w:rPr>
        <w:t>أي</w:t>
      </w:r>
      <w:r w:rsidRPr="0064114B">
        <w:rPr>
          <w:rFonts w:cs="Traditional Arabic"/>
          <w:rtl/>
        </w:rPr>
        <w:t xml:space="preserve"> اتفاقات بين المشغلين إلا </w:t>
      </w:r>
      <w:r>
        <w:rPr>
          <w:rFonts w:cs="Traditional Arabic" w:hint="cs"/>
          <w:rtl/>
        </w:rPr>
        <w:t>إذا</w:t>
      </w:r>
      <w:r w:rsidRPr="0064114B">
        <w:rPr>
          <w:rFonts w:cs="Traditional Arabic"/>
          <w:rtl/>
        </w:rPr>
        <w:t xml:space="preserve"> تم إبلاغها إلى </w:t>
      </w:r>
      <w:r>
        <w:rPr>
          <w:rFonts w:cs="Traditional Arabic" w:hint="cs"/>
          <w:rtl/>
        </w:rPr>
        <w:t>ال</w:t>
      </w:r>
      <w:r w:rsidRPr="0064114B">
        <w:rPr>
          <w:rFonts w:cs="Traditional Arabic"/>
          <w:rtl/>
        </w:rPr>
        <w:t xml:space="preserve">مكتب عن </w:t>
      </w:r>
      <w:r w:rsidR="00F720D6">
        <w:rPr>
          <w:rFonts w:cs="Traditional Arabic"/>
          <w:rtl/>
        </w:rPr>
        <w:t xml:space="preserve">طريق إدارات الاتصالات الوطنية </w:t>
      </w:r>
      <w:r w:rsidR="00F720D6">
        <w:rPr>
          <w:rFonts w:cs="Traditional Arabic" w:hint="cs"/>
          <w:rtl/>
        </w:rPr>
        <w:t>لهؤلاء المشغلين</w:t>
      </w:r>
      <w:r w:rsidRPr="0064114B">
        <w:rPr>
          <w:rFonts w:cs="Traditional Arabic"/>
          <w:rtl/>
        </w:rPr>
        <w:t>.</w:t>
      </w:r>
    </w:p>
    <w:p w14:paraId="0F04733B" w14:textId="45AF7C5F" w:rsidR="00DA33D4" w:rsidRDefault="00DA33D4" w:rsidP="00DA33D4">
      <w:pPr>
        <w:pStyle w:val="List2"/>
        <w:spacing w:before="400" w:after="0" w:line="192" w:lineRule="auto"/>
        <w:ind w:left="0" w:firstLine="0"/>
        <w:jc w:val="center"/>
        <w:rPr>
          <w:rFonts w:cs="Traditional Arabic"/>
          <w:rtl/>
          <w:lang w:bidi="ar-EG"/>
        </w:rPr>
      </w:pPr>
      <w:r>
        <w:rPr>
          <w:rFonts w:cs="Traditional Arabic" w:hint="cs"/>
          <w:rtl/>
        </w:rPr>
        <w:t>____________</w:t>
      </w:r>
    </w:p>
    <w:p w14:paraId="76D5369F" w14:textId="77777777" w:rsidR="00DA33D4" w:rsidRDefault="00DA33D4" w:rsidP="000F1390">
      <w:pPr>
        <w:spacing w:before="600"/>
        <w:jc w:val="center"/>
        <w:sectPr w:rsidR="00DA33D4" w:rsidSect="00630D26">
          <w:headerReference w:type="even" r:id="rId8"/>
          <w:headerReference w:type="default" r:id="rId9"/>
          <w:footerReference w:type="first" r:id="rId10"/>
          <w:footnotePr>
            <w:pos w:val="beneathText"/>
          </w:footnotePr>
          <w:pgSz w:w="11907" w:h="16834" w:code="9"/>
          <w:pgMar w:top="1701" w:right="1985" w:bottom="1134" w:left="851" w:header="720" w:footer="482" w:gutter="0"/>
          <w:paperSrc w:first="15" w:other="15"/>
          <w:pgNumType w:start="1"/>
          <w:cols w:space="720"/>
          <w:vAlign w:val="both"/>
          <w:bidi/>
          <w:rtlGutter/>
        </w:sectPr>
      </w:pPr>
    </w:p>
    <w:p w14:paraId="631539B8" w14:textId="77777777" w:rsidR="00630D26" w:rsidRDefault="00630D26" w:rsidP="00630D26">
      <w:pPr>
        <w:rPr>
          <w:rtl/>
        </w:rPr>
      </w:pPr>
    </w:p>
    <w:p w14:paraId="405435FD" w14:textId="77777777" w:rsidR="00630D26" w:rsidRDefault="00630D26" w:rsidP="00630D26">
      <w:pPr>
        <w:rPr>
          <w:rtl/>
        </w:rPr>
      </w:pPr>
    </w:p>
    <w:p w14:paraId="79A80532" w14:textId="77777777" w:rsidR="00630D26" w:rsidRDefault="00630D26" w:rsidP="00630D26">
      <w:pPr>
        <w:rPr>
          <w:rtl/>
        </w:rPr>
      </w:pPr>
    </w:p>
    <w:p w14:paraId="3DDC4AA5" w14:textId="77777777" w:rsidR="00630D26" w:rsidRDefault="00630D26" w:rsidP="00630D26">
      <w:pPr>
        <w:rPr>
          <w:rtl/>
        </w:rPr>
      </w:pPr>
    </w:p>
    <w:p w14:paraId="472882F8" w14:textId="77777777" w:rsidR="00630D26" w:rsidRDefault="00630D26" w:rsidP="00630D26">
      <w:pPr>
        <w:rPr>
          <w:rtl/>
        </w:rPr>
      </w:pPr>
    </w:p>
    <w:p w14:paraId="78353490" w14:textId="77777777" w:rsidR="00630D26" w:rsidRDefault="00630D26" w:rsidP="00630D26">
      <w:pPr>
        <w:rPr>
          <w:rtl/>
        </w:rPr>
      </w:pPr>
    </w:p>
    <w:p w14:paraId="2C2E7BAA" w14:textId="77777777" w:rsidR="00630D26" w:rsidRDefault="00630D26" w:rsidP="00630D26">
      <w:pPr>
        <w:rPr>
          <w:rtl/>
        </w:rPr>
      </w:pPr>
    </w:p>
    <w:p w14:paraId="0E4AEC46" w14:textId="77777777" w:rsidR="00630D26" w:rsidRDefault="00630D26" w:rsidP="00630D26">
      <w:pPr>
        <w:rPr>
          <w:rtl/>
        </w:rPr>
      </w:pPr>
    </w:p>
    <w:p w14:paraId="6B56DFCA" w14:textId="77777777" w:rsidR="00630D26" w:rsidRDefault="00630D26" w:rsidP="00630D26">
      <w:pPr>
        <w:rPr>
          <w:rtl/>
        </w:rPr>
      </w:pPr>
    </w:p>
    <w:p w14:paraId="7ED44895" w14:textId="77777777" w:rsidR="00630D26" w:rsidRDefault="00630D26" w:rsidP="00630D26">
      <w:pPr>
        <w:rPr>
          <w:rtl/>
        </w:rPr>
      </w:pPr>
    </w:p>
    <w:p w14:paraId="30F1743D" w14:textId="77777777" w:rsidR="00630D26" w:rsidRDefault="00630D26" w:rsidP="00630D26"/>
    <w:p w14:paraId="3A052898" w14:textId="77777777" w:rsidR="00E53D0E" w:rsidRDefault="00E53D0E" w:rsidP="00630D26">
      <w:pPr>
        <w:rPr>
          <w:rtl/>
        </w:rPr>
      </w:pPr>
    </w:p>
    <w:p w14:paraId="72F3204A" w14:textId="77777777" w:rsidR="00630D26" w:rsidRDefault="00630D26" w:rsidP="00630D26">
      <w:pPr>
        <w:rPr>
          <w:rtl/>
        </w:rPr>
      </w:pPr>
    </w:p>
    <w:p w14:paraId="742AA540" w14:textId="77777777" w:rsidR="00630D26" w:rsidRPr="00B8114E" w:rsidRDefault="00630D26" w:rsidP="00630D26">
      <w:pPr>
        <w:rPr>
          <w:rtl/>
        </w:rPr>
      </w:pPr>
    </w:p>
    <w:sectPr w:rsidR="00630D26" w:rsidRPr="00B8114E" w:rsidSect="00630D26">
      <w:headerReference w:type="default" r:id="rId11"/>
      <w:footnotePr>
        <w:pos w:val="beneathText"/>
      </w:footnotePr>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A9037" w14:textId="77777777" w:rsidR="00AF3BE6" w:rsidRDefault="00AF3BE6">
      <w:r>
        <w:separator/>
      </w:r>
    </w:p>
  </w:endnote>
  <w:endnote w:type="continuationSeparator" w:id="0">
    <w:p w14:paraId="1BDEFB51" w14:textId="77777777" w:rsidR="00AF3BE6" w:rsidRDefault="00AF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5474" w14:textId="690A0F0C" w:rsidR="00AF3BE6" w:rsidRDefault="00870844">
    <w:pPr>
      <w:pStyle w:val="Footer"/>
    </w:pPr>
    <w:fldSimple w:instr=" FILENAME \p \* MERGEFORMAT ">
      <w:r>
        <w:t>M:\COMP_PROD\ITU-R\2024\Publications\Regl_proc\Publication_Edition_2021_2402798_Upd5\Individuel\A\word\21-A1-AP27-a.docx</w:t>
      </w:r>
    </w:fldSimple>
    <w:r w:rsidR="00AF3BE6">
      <w:tab/>
    </w:r>
    <w:r w:rsidR="00AF3BE6">
      <w:fldChar w:fldCharType="begin"/>
    </w:r>
    <w:r w:rsidR="00AF3BE6">
      <w:instrText xml:space="preserve"> savedate \@ dd.MM.yy </w:instrText>
    </w:r>
    <w:r w:rsidR="00AF3BE6">
      <w:fldChar w:fldCharType="separate"/>
    </w:r>
    <w:r w:rsidR="003C15FB">
      <w:t>04.12.24</w:t>
    </w:r>
    <w:r w:rsidR="00AF3BE6">
      <w:fldChar w:fldCharType="end"/>
    </w:r>
    <w:r w:rsidR="00AF3BE6">
      <w:tab/>
    </w:r>
    <w:r w:rsidR="00AF3BE6">
      <w:fldChar w:fldCharType="begin"/>
    </w:r>
    <w:r w:rsidR="00AF3BE6">
      <w:instrText xml:space="preserve"> printdate \@ dd.MM.yy </w:instrText>
    </w:r>
    <w:r w:rsidR="00AF3BE6">
      <w:fldChar w:fldCharType="separate"/>
    </w:r>
    <w:r>
      <w:t>04.12.24</w:t>
    </w:r>
    <w:r w:rsidR="00AF3BE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27785" w14:textId="77777777" w:rsidR="00AF3BE6" w:rsidRDefault="00AF3BE6">
      <w:r>
        <w:t>____________________</w:t>
      </w:r>
    </w:p>
  </w:footnote>
  <w:footnote w:type="continuationSeparator" w:id="0">
    <w:p w14:paraId="4684B888" w14:textId="77777777" w:rsidR="00AF3BE6" w:rsidRDefault="00AF3BE6">
      <w:r>
        <w:continuationSeparator/>
      </w:r>
    </w:p>
  </w:footnote>
  <w:footnote w:id="1">
    <w:p w14:paraId="30013F9C" w14:textId="77777777" w:rsidR="00B22DDE" w:rsidRPr="00B47595" w:rsidRDefault="00B22DDE" w:rsidP="00617D1C">
      <w:pPr>
        <w:pStyle w:val="FootnoteText"/>
        <w:rPr>
          <w:lang w:val="en-US"/>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w:t>
      </w:r>
      <w:r w:rsidR="00617D1C" w:rsidRPr="00E106DB">
        <w:rPr>
          <w:rFonts w:hint="cs"/>
          <w:rtl/>
        </w:rPr>
        <w:t xml:space="preserve">ألغي هذا القرار في المؤتمر </w:t>
      </w:r>
      <w:r w:rsidR="00617D1C" w:rsidRPr="004E2BC7">
        <w:rPr>
          <w:rFonts w:hint="cs"/>
          <w:rtl/>
        </w:rPr>
        <w:t>العالمي</w:t>
      </w:r>
      <w:r w:rsidR="00617D1C" w:rsidRPr="00E106DB">
        <w:rPr>
          <w:rFonts w:hint="cs"/>
          <w:rtl/>
        </w:rPr>
        <w:t xml:space="preserve"> للاتصالات الراديوية لعام </w:t>
      </w:r>
      <w:r w:rsidR="00617D1C">
        <w:t>1997</w:t>
      </w:r>
      <w:r w:rsidR="00617D1C" w:rsidRPr="00E106DB">
        <w:rPr>
          <w:rFonts w:hint="cs"/>
          <w:rtl/>
        </w:rPr>
        <w:t xml:space="preserve"> </w:t>
      </w:r>
      <w:r w:rsidR="00617D1C" w:rsidRPr="00E106DB">
        <w:t>(WRC-</w:t>
      </w:r>
      <w:r w:rsidR="00617D1C">
        <w:t>97</w:t>
      </w:r>
      <w:r w:rsidR="00617D1C" w:rsidRPr="00E106DB">
        <w:t>)</w:t>
      </w:r>
      <w:r w:rsidR="00617D1C" w:rsidRPr="00E106DB">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AF3BE6" w:rsidRPr="000F2A0B" w14:paraId="4A40735B" w14:textId="77777777">
      <w:tc>
        <w:tcPr>
          <w:tcW w:w="1701" w:type="dxa"/>
        </w:tcPr>
        <w:p w14:paraId="6BCDE465" w14:textId="77777777" w:rsidR="00AF3BE6" w:rsidRPr="00913BF7" w:rsidRDefault="00AF3BE6" w:rsidP="00BC0053">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4BFE669" w14:textId="77777777" w:rsidR="00AF3BE6" w:rsidRPr="000F2A0B" w:rsidRDefault="00AF3BE6" w:rsidP="00BC0053">
          <w:pPr>
            <w:pStyle w:val="Header"/>
            <w:spacing w:before="40" w:after="40" w:line="280" w:lineRule="exact"/>
            <w:jc w:val="left"/>
            <w:rPr>
              <w:sz w:val="21"/>
              <w:szCs w:val="28"/>
              <w:rtl/>
            </w:rPr>
          </w:pPr>
          <w:r>
            <w:rPr>
              <w:sz w:val="21"/>
              <w:szCs w:val="28"/>
              <w:lang w:val="en-US" w:bidi="ar-EG"/>
            </w:rPr>
            <w:t>AP27</w:t>
          </w:r>
        </w:p>
      </w:tc>
      <w:tc>
        <w:tcPr>
          <w:tcW w:w="1701" w:type="dxa"/>
        </w:tcPr>
        <w:p w14:paraId="60F71D63" w14:textId="77777777" w:rsidR="00AF3BE6" w:rsidRPr="00D337EA" w:rsidRDefault="00AF3BE6" w:rsidP="00BC0053">
          <w:pPr>
            <w:pStyle w:val="Header"/>
            <w:spacing w:before="40" w:after="40" w:line="280" w:lineRule="exact"/>
            <w:jc w:val="left"/>
            <w:rPr>
              <w:rFonts w:cs="Times New Roman"/>
              <w:sz w:val="22"/>
              <w:szCs w:val="22"/>
              <w:rtl/>
              <w:lang w:val="en-US" w:bidi="ar-EG"/>
            </w:rPr>
          </w:pPr>
          <w:r w:rsidRPr="000F2A0B">
            <w:rPr>
              <w:rFonts w:hint="cs"/>
              <w:sz w:val="21"/>
              <w:szCs w:val="28"/>
              <w:rtl/>
            </w:rPr>
            <w:t xml:space="preserve">الصفحة </w:t>
          </w:r>
          <w:r w:rsidRPr="00D337EA">
            <w:rPr>
              <w:rStyle w:val="PageNumber"/>
              <w:rFonts w:cs="Times New Roman"/>
              <w:sz w:val="22"/>
              <w:szCs w:val="22"/>
            </w:rPr>
            <w:fldChar w:fldCharType="begin"/>
          </w:r>
          <w:r w:rsidRPr="00D337EA">
            <w:rPr>
              <w:rStyle w:val="PageNumber"/>
              <w:rFonts w:cs="Times New Roman"/>
              <w:sz w:val="22"/>
              <w:szCs w:val="22"/>
            </w:rPr>
            <w:instrText xml:space="preserve"> PAGE </w:instrText>
          </w:r>
          <w:r w:rsidRPr="00D337EA">
            <w:rPr>
              <w:rStyle w:val="PageNumber"/>
              <w:rFonts w:cs="Times New Roman"/>
              <w:sz w:val="22"/>
              <w:szCs w:val="22"/>
            </w:rPr>
            <w:fldChar w:fldCharType="separate"/>
          </w:r>
          <w:r w:rsidR="00C55C3D">
            <w:rPr>
              <w:rStyle w:val="PageNumber"/>
              <w:rFonts w:cs="Times New Roman"/>
              <w:noProof/>
              <w:sz w:val="22"/>
              <w:szCs w:val="22"/>
              <w:rtl/>
            </w:rPr>
            <w:t>2</w:t>
          </w:r>
          <w:r w:rsidRPr="00D337EA">
            <w:rPr>
              <w:rStyle w:val="PageNumber"/>
              <w:rFonts w:cs="Times New Roman"/>
              <w:sz w:val="22"/>
              <w:szCs w:val="22"/>
            </w:rPr>
            <w:fldChar w:fldCharType="end"/>
          </w:r>
        </w:p>
      </w:tc>
      <w:tc>
        <w:tcPr>
          <w:tcW w:w="1701" w:type="dxa"/>
        </w:tcPr>
        <w:p w14:paraId="032F579A" w14:textId="77777777" w:rsidR="00AF3BE6" w:rsidRPr="000F2A0B" w:rsidRDefault="00AF3BE6" w:rsidP="00BC0053">
          <w:pPr>
            <w:pStyle w:val="Header"/>
            <w:spacing w:before="40" w:after="40" w:line="280" w:lineRule="exact"/>
            <w:jc w:val="left"/>
            <w:rPr>
              <w:sz w:val="21"/>
              <w:szCs w:val="28"/>
              <w:rtl/>
            </w:rPr>
          </w:pPr>
          <w:r w:rsidRPr="000F2A0B">
            <w:rPr>
              <w:rFonts w:hint="cs"/>
              <w:sz w:val="21"/>
              <w:szCs w:val="28"/>
              <w:rtl/>
            </w:rPr>
            <w:t>المراجعة -</w:t>
          </w:r>
        </w:p>
      </w:tc>
    </w:tr>
  </w:tbl>
  <w:p w14:paraId="25963DAF" w14:textId="77777777" w:rsidR="00AF3BE6" w:rsidRPr="007358FA" w:rsidRDefault="00AF3BE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F3BE6" w:rsidRPr="000F2A0B" w14:paraId="68107929" w14:textId="77777777">
      <w:trPr>
        <w:jc w:val="right"/>
      </w:trPr>
      <w:tc>
        <w:tcPr>
          <w:tcW w:w="1701" w:type="dxa"/>
        </w:tcPr>
        <w:p w14:paraId="3228CDD5" w14:textId="77777777" w:rsidR="00AF3BE6" w:rsidRPr="00913BF7" w:rsidRDefault="00AF3BE6" w:rsidP="00BC0053">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26D3AB2" w14:textId="77777777" w:rsidR="00AF3BE6" w:rsidRPr="00433E7A" w:rsidRDefault="00AF3BE6" w:rsidP="00BC0053">
          <w:pPr>
            <w:pStyle w:val="Header"/>
            <w:spacing w:before="40" w:after="40" w:line="280" w:lineRule="exact"/>
            <w:jc w:val="left"/>
            <w:rPr>
              <w:sz w:val="21"/>
              <w:szCs w:val="28"/>
              <w:lang w:val="en-US" w:bidi="ar-EG"/>
            </w:rPr>
          </w:pPr>
          <w:r>
            <w:rPr>
              <w:sz w:val="21"/>
              <w:szCs w:val="28"/>
              <w:lang w:val="en-US" w:bidi="ar-EG"/>
            </w:rPr>
            <w:t>AP27</w:t>
          </w:r>
        </w:p>
      </w:tc>
      <w:tc>
        <w:tcPr>
          <w:tcW w:w="1701" w:type="dxa"/>
        </w:tcPr>
        <w:p w14:paraId="1371A219" w14:textId="77777777" w:rsidR="00AF3BE6" w:rsidRPr="000F2A0B" w:rsidRDefault="00AF3BE6" w:rsidP="00BC0053">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D337EA">
            <w:rPr>
              <w:rStyle w:val="PageNumber"/>
              <w:rFonts w:cs="Times New Roman"/>
              <w:sz w:val="22"/>
              <w:szCs w:val="22"/>
            </w:rPr>
            <w:fldChar w:fldCharType="begin"/>
          </w:r>
          <w:r w:rsidRPr="00D337EA">
            <w:rPr>
              <w:rStyle w:val="PageNumber"/>
              <w:rFonts w:cs="Times New Roman"/>
              <w:sz w:val="22"/>
              <w:szCs w:val="22"/>
            </w:rPr>
            <w:instrText xml:space="preserve"> PAGE </w:instrText>
          </w:r>
          <w:r w:rsidRPr="00D337EA">
            <w:rPr>
              <w:rStyle w:val="PageNumber"/>
              <w:rFonts w:cs="Times New Roman"/>
              <w:sz w:val="22"/>
              <w:szCs w:val="22"/>
            </w:rPr>
            <w:fldChar w:fldCharType="separate"/>
          </w:r>
          <w:r w:rsidR="00C55C3D">
            <w:rPr>
              <w:rStyle w:val="PageNumber"/>
              <w:rFonts w:cs="Times New Roman"/>
              <w:noProof/>
              <w:sz w:val="22"/>
              <w:szCs w:val="22"/>
              <w:rtl/>
            </w:rPr>
            <w:t>1</w:t>
          </w:r>
          <w:r w:rsidRPr="00D337EA">
            <w:rPr>
              <w:rStyle w:val="PageNumber"/>
              <w:rFonts w:cs="Times New Roman"/>
              <w:sz w:val="22"/>
              <w:szCs w:val="22"/>
            </w:rPr>
            <w:fldChar w:fldCharType="end"/>
          </w:r>
        </w:p>
      </w:tc>
      <w:tc>
        <w:tcPr>
          <w:tcW w:w="1701" w:type="dxa"/>
        </w:tcPr>
        <w:p w14:paraId="09644DFC" w14:textId="47A3046B" w:rsidR="00AF3BE6" w:rsidRPr="000F2A0B" w:rsidRDefault="00AF3BE6" w:rsidP="00BC0053">
          <w:pPr>
            <w:pStyle w:val="Header"/>
            <w:spacing w:before="40" w:after="40" w:line="280" w:lineRule="exact"/>
            <w:jc w:val="left"/>
            <w:rPr>
              <w:sz w:val="21"/>
              <w:szCs w:val="28"/>
              <w:rtl/>
            </w:rPr>
          </w:pPr>
          <w:r w:rsidRPr="000F2A0B">
            <w:rPr>
              <w:rFonts w:hint="cs"/>
              <w:sz w:val="21"/>
              <w:szCs w:val="28"/>
              <w:rtl/>
            </w:rPr>
            <w:t xml:space="preserve">المراجعة </w:t>
          </w:r>
          <w:r w:rsidR="003C15FB">
            <w:rPr>
              <w:sz w:val="21"/>
              <w:szCs w:val="28"/>
            </w:rPr>
            <w:t>–</w:t>
          </w:r>
        </w:p>
      </w:tc>
    </w:tr>
  </w:tbl>
  <w:p w14:paraId="5B051813" w14:textId="77777777" w:rsidR="00AF3BE6" w:rsidRPr="007358FA" w:rsidRDefault="00AF3BE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7DCC" w14:textId="77777777" w:rsidR="00DA33D4" w:rsidRPr="007358FA" w:rsidRDefault="00DA33D4">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62CF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FC9D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782415191">
    <w:abstractNumId w:val="10"/>
  </w:num>
  <w:num w:numId="2" w16cid:durableId="1601646582">
    <w:abstractNumId w:val="6"/>
  </w:num>
  <w:num w:numId="3" w16cid:durableId="1432582110">
    <w:abstractNumId w:val="5"/>
  </w:num>
  <w:num w:numId="4" w16cid:durableId="294408718">
    <w:abstractNumId w:val="4"/>
  </w:num>
  <w:num w:numId="5" w16cid:durableId="770275616">
    <w:abstractNumId w:val="8"/>
  </w:num>
  <w:num w:numId="6" w16cid:durableId="1778482580">
    <w:abstractNumId w:val="3"/>
  </w:num>
  <w:num w:numId="7" w16cid:durableId="909970603">
    <w:abstractNumId w:val="2"/>
  </w:num>
  <w:num w:numId="8" w16cid:durableId="1291672845">
    <w:abstractNumId w:val="1"/>
  </w:num>
  <w:num w:numId="9" w16cid:durableId="713577732">
    <w:abstractNumId w:val="0"/>
  </w:num>
  <w:num w:numId="10" w16cid:durableId="969477393">
    <w:abstractNumId w:val="9"/>
  </w:num>
  <w:num w:numId="11" w16cid:durableId="12233274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0B04"/>
    <w:rsid w:val="00041E07"/>
    <w:rsid w:val="00084D49"/>
    <w:rsid w:val="000E6864"/>
    <w:rsid w:val="000F0070"/>
    <w:rsid w:val="000F1390"/>
    <w:rsid w:val="000F2A0B"/>
    <w:rsid w:val="000F7534"/>
    <w:rsid w:val="00101EF5"/>
    <w:rsid w:val="00104B0B"/>
    <w:rsid w:val="00112AC6"/>
    <w:rsid w:val="001139B6"/>
    <w:rsid w:val="001147B6"/>
    <w:rsid w:val="0013016D"/>
    <w:rsid w:val="00130C60"/>
    <w:rsid w:val="0016270B"/>
    <w:rsid w:val="00174DEE"/>
    <w:rsid w:val="001842AC"/>
    <w:rsid w:val="0019188A"/>
    <w:rsid w:val="001A1F76"/>
    <w:rsid w:val="001A5D21"/>
    <w:rsid w:val="0020710C"/>
    <w:rsid w:val="002301AE"/>
    <w:rsid w:val="002466FF"/>
    <w:rsid w:val="00251F0E"/>
    <w:rsid w:val="002631B1"/>
    <w:rsid w:val="00297522"/>
    <w:rsid w:val="002C0904"/>
    <w:rsid w:val="002C55F4"/>
    <w:rsid w:val="002C6358"/>
    <w:rsid w:val="002D6BB3"/>
    <w:rsid w:val="002D6D41"/>
    <w:rsid w:val="002E6900"/>
    <w:rsid w:val="00301CF4"/>
    <w:rsid w:val="003216A1"/>
    <w:rsid w:val="00321AFC"/>
    <w:rsid w:val="00343301"/>
    <w:rsid w:val="00360881"/>
    <w:rsid w:val="00384218"/>
    <w:rsid w:val="003A7A45"/>
    <w:rsid w:val="003B0F8D"/>
    <w:rsid w:val="003C15FB"/>
    <w:rsid w:val="004003FA"/>
    <w:rsid w:val="0040313D"/>
    <w:rsid w:val="004036A6"/>
    <w:rsid w:val="00433E7A"/>
    <w:rsid w:val="0044327A"/>
    <w:rsid w:val="0044702B"/>
    <w:rsid w:val="00463414"/>
    <w:rsid w:val="00471A7F"/>
    <w:rsid w:val="004917D4"/>
    <w:rsid w:val="004D112F"/>
    <w:rsid w:val="004E2BC7"/>
    <w:rsid w:val="005035EA"/>
    <w:rsid w:val="005169BC"/>
    <w:rsid w:val="0053638B"/>
    <w:rsid w:val="0053647C"/>
    <w:rsid w:val="00544456"/>
    <w:rsid w:val="005463C5"/>
    <w:rsid w:val="00550100"/>
    <w:rsid w:val="0055056E"/>
    <w:rsid w:val="005547C0"/>
    <w:rsid w:val="0057012C"/>
    <w:rsid w:val="005779E6"/>
    <w:rsid w:val="005A454C"/>
    <w:rsid w:val="005D76D8"/>
    <w:rsid w:val="005E119B"/>
    <w:rsid w:val="00617D1C"/>
    <w:rsid w:val="00630D26"/>
    <w:rsid w:val="006539EB"/>
    <w:rsid w:val="0066056C"/>
    <w:rsid w:val="006612A2"/>
    <w:rsid w:val="00663C4A"/>
    <w:rsid w:val="00682C1B"/>
    <w:rsid w:val="00692B03"/>
    <w:rsid w:val="006970C1"/>
    <w:rsid w:val="006B3E33"/>
    <w:rsid w:val="006B42DC"/>
    <w:rsid w:val="006B5D10"/>
    <w:rsid w:val="006C1EF7"/>
    <w:rsid w:val="006D6E63"/>
    <w:rsid w:val="007077C6"/>
    <w:rsid w:val="00721E50"/>
    <w:rsid w:val="007358FA"/>
    <w:rsid w:val="007460F7"/>
    <w:rsid w:val="00764FF6"/>
    <w:rsid w:val="00770B96"/>
    <w:rsid w:val="0078123B"/>
    <w:rsid w:val="00783DF9"/>
    <w:rsid w:val="007872A0"/>
    <w:rsid w:val="007E6E38"/>
    <w:rsid w:val="007F4FDE"/>
    <w:rsid w:val="0084751D"/>
    <w:rsid w:val="008624FE"/>
    <w:rsid w:val="008651C1"/>
    <w:rsid w:val="00867AB1"/>
    <w:rsid w:val="00870844"/>
    <w:rsid w:val="008768B3"/>
    <w:rsid w:val="00885EC1"/>
    <w:rsid w:val="008A1071"/>
    <w:rsid w:val="008B0B84"/>
    <w:rsid w:val="008B3D9F"/>
    <w:rsid w:val="008B631A"/>
    <w:rsid w:val="008D3C5A"/>
    <w:rsid w:val="008D44FF"/>
    <w:rsid w:val="008E6CAE"/>
    <w:rsid w:val="00913BF7"/>
    <w:rsid w:val="009158D2"/>
    <w:rsid w:val="00917890"/>
    <w:rsid w:val="00960908"/>
    <w:rsid w:val="0098604D"/>
    <w:rsid w:val="00993C1C"/>
    <w:rsid w:val="009C47CB"/>
    <w:rsid w:val="009F171D"/>
    <w:rsid w:val="00A0604B"/>
    <w:rsid w:val="00A168C0"/>
    <w:rsid w:val="00A35E7D"/>
    <w:rsid w:val="00A5190F"/>
    <w:rsid w:val="00A55C26"/>
    <w:rsid w:val="00A57EF9"/>
    <w:rsid w:val="00A64B91"/>
    <w:rsid w:val="00A7482F"/>
    <w:rsid w:val="00AA73B5"/>
    <w:rsid w:val="00AB409C"/>
    <w:rsid w:val="00AC41A3"/>
    <w:rsid w:val="00AD269C"/>
    <w:rsid w:val="00AF3BE6"/>
    <w:rsid w:val="00AF44BC"/>
    <w:rsid w:val="00B10079"/>
    <w:rsid w:val="00B22DDE"/>
    <w:rsid w:val="00B2434A"/>
    <w:rsid w:val="00B37CC1"/>
    <w:rsid w:val="00B537E5"/>
    <w:rsid w:val="00B63883"/>
    <w:rsid w:val="00B765E7"/>
    <w:rsid w:val="00B8114E"/>
    <w:rsid w:val="00BC0053"/>
    <w:rsid w:val="00BE0D0E"/>
    <w:rsid w:val="00BE36C1"/>
    <w:rsid w:val="00BF1A95"/>
    <w:rsid w:val="00BF3BC8"/>
    <w:rsid w:val="00C01598"/>
    <w:rsid w:val="00C52174"/>
    <w:rsid w:val="00C526F3"/>
    <w:rsid w:val="00C55C3D"/>
    <w:rsid w:val="00CA31BF"/>
    <w:rsid w:val="00CA4B7C"/>
    <w:rsid w:val="00CB3CA0"/>
    <w:rsid w:val="00CC682F"/>
    <w:rsid w:val="00CD2902"/>
    <w:rsid w:val="00D1706D"/>
    <w:rsid w:val="00D337EA"/>
    <w:rsid w:val="00DA33D4"/>
    <w:rsid w:val="00DB77C8"/>
    <w:rsid w:val="00DD6313"/>
    <w:rsid w:val="00DD7D4F"/>
    <w:rsid w:val="00DE66AC"/>
    <w:rsid w:val="00DE6CD7"/>
    <w:rsid w:val="00DF5487"/>
    <w:rsid w:val="00E003AC"/>
    <w:rsid w:val="00E03822"/>
    <w:rsid w:val="00E05E71"/>
    <w:rsid w:val="00E358E0"/>
    <w:rsid w:val="00E40169"/>
    <w:rsid w:val="00E53D0E"/>
    <w:rsid w:val="00E544A0"/>
    <w:rsid w:val="00E61003"/>
    <w:rsid w:val="00E7261D"/>
    <w:rsid w:val="00E83275"/>
    <w:rsid w:val="00E846EF"/>
    <w:rsid w:val="00EB4871"/>
    <w:rsid w:val="00EB7F8D"/>
    <w:rsid w:val="00EC59CD"/>
    <w:rsid w:val="00F419C1"/>
    <w:rsid w:val="00F44137"/>
    <w:rsid w:val="00F6061F"/>
    <w:rsid w:val="00F63091"/>
    <w:rsid w:val="00F720D6"/>
    <w:rsid w:val="00F86802"/>
    <w:rsid w:val="00FC401D"/>
    <w:rsid w:val="00FE3641"/>
    <w:rsid w:val="00FE61AC"/>
    <w:rsid w:val="00FE72EE"/>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D599B8"/>
  <w15:docId w15:val="{0C6DCD05-EBDC-496A-B6B1-6A177D7D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styleId="ListBullet">
    <w:name w:val="List Bullet"/>
    <w:basedOn w:val="Normal"/>
    <w:rsid w:val="0053647C"/>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customStyle="1" w:styleId="enumlev1">
    <w:name w:val="enumlev1"/>
    <w:basedOn w:val="Normal"/>
    <w:link w:val="enumlev1Char"/>
    <w:rsid w:val="00630D2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B22DD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22DDE"/>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paragraph" w:styleId="ListBullet2">
    <w:name w:val="List Bullet 2"/>
    <w:basedOn w:val="Normal"/>
    <w:rsid w:val="0053647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character" w:customStyle="1" w:styleId="enumlev1Char">
    <w:name w:val="enumlev1 Char"/>
    <w:basedOn w:val="DefaultParagraphFont"/>
    <w:link w:val="enumlev1"/>
    <w:rsid w:val="00630D26"/>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B22DDE"/>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926C8-62F6-43E7-8E3F-C69E5DC25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25</TotalTime>
  <Pages>3</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19</cp:revision>
  <cp:lastPrinted>2024-12-04T06:59:00Z</cp:lastPrinted>
  <dcterms:created xsi:type="dcterms:W3CDTF">2012-09-07T10:02:00Z</dcterms:created>
  <dcterms:modified xsi:type="dcterms:W3CDTF">2025-11-28T06:21:00Z</dcterms:modified>
</cp:coreProperties>
</file>