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EFD" w14:textId="6E24B6B5" w:rsidR="001F53D4" w:rsidRPr="00101E9C" w:rsidRDefault="00101E9C" w:rsidP="00101E9C">
      <w:pPr>
        <w:keepNext/>
        <w:keepLines/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600"/>
        <w:jc w:val="center"/>
        <w:textAlignment w:val="auto"/>
        <w:rPr>
          <w:rFonts w:ascii="Times New Roman Bold" w:eastAsia="SimSun" w:hAnsi="Times New Roman Bold"/>
          <w:b/>
          <w:bCs/>
          <w:sz w:val="32"/>
          <w:szCs w:val="40"/>
          <w:rtl/>
          <w:lang w:eastAsia="zh-CN"/>
        </w:rPr>
      </w:pPr>
      <w:r w:rsidRPr="00101E9C">
        <w:rPr>
          <w:rFonts w:ascii="Times New Roman Bold" w:eastAsia="SimSun" w:hAnsi="Times New Roman Bold"/>
          <w:b/>
          <w:bCs/>
          <w:sz w:val="32"/>
          <w:szCs w:val="40"/>
          <w:rtl/>
          <w:lang w:val="en-US" w:eastAsia="zh-CN"/>
        </w:rPr>
        <w:t>قواعد بشأن وضع أو إعادة وضع شبكات ساتلية متعددة مستقرة بالنسبة إلى الأرض في الخدمة بشكل متزامن باستخدام ساتل واحد</w:t>
      </w:r>
      <w:r w:rsidR="00A07B99" w:rsidRPr="0059651C">
        <w:rPr>
          <w:rStyle w:val="FootnoteReference"/>
          <w:rFonts w:ascii="Dubai" w:eastAsia="SimSun" w:hAnsi="Dubai" w:cs="Dubai"/>
          <w:b/>
          <w:bCs/>
          <w:sz w:val="20"/>
          <w:szCs w:val="20"/>
          <w:rtl/>
          <w:lang w:val="en-US" w:eastAsia="zh-CN"/>
        </w:rPr>
        <w:footnoteReference w:id="1"/>
      </w:r>
    </w:p>
    <w:p w14:paraId="5991873C" w14:textId="77777777" w:rsidR="001F53D4" w:rsidRPr="00B939FD" w:rsidRDefault="001F53D4" w:rsidP="0077073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/>
        <w:autoSpaceDE/>
        <w:autoSpaceDN/>
        <w:adjustRightInd/>
        <w:spacing w:before="360"/>
        <w:textAlignment w:val="auto"/>
        <w:rPr>
          <w:spacing w:val="-4"/>
          <w:rtl/>
          <w:lang w:val="en-US"/>
        </w:rPr>
      </w:pPr>
      <w:r w:rsidRPr="00B939FD">
        <w:rPr>
          <w:rFonts w:hint="cs"/>
          <w:spacing w:val="-4"/>
          <w:rtl/>
          <w:lang w:val="en-US" w:bidi="ar-EG"/>
        </w:rPr>
        <w:t xml:space="preserve">لأغراض تشغيلية مثل خطر التصادم، وعمليات التتبع والقياس والتحكم عن بُعد واتفاقات التنسيق وغيرها، قد يتعين تحريك الساتل قليلاً من موقعه المداري الاسمي (بما في ذلك سماح بمقدار </w:t>
      </w:r>
      <w:r w:rsidRPr="00B939FD">
        <w:rPr>
          <w:spacing w:val="-4"/>
          <w:lang w:val="en-US"/>
        </w:rPr>
        <w:sym w:font="Symbol" w:char="F0B0"/>
      </w:r>
      <w:r w:rsidRPr="00B939FD">
        <w:rPr>
          <w:spacing w:val="-4"/>
          <w:lang w:val="en-US"/>
        </w:rPr>
        <w:t>0,1±</w:t>
      </w:r>
      <w:r w:rsidRPr="00B939FD">
        <w:rPr>
          <w:rFonts w:hint="cs"/>
          <w:spacing w:val="-4"/>
          <w:rtl/>
          <w:lang w:val="en-US"/>
        </w:rPr>
        <w:t xml:space="preserve"> للمحطات الفضائية المحمولة على سواتل مستقرة بالنسبة إلى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rFonts w:hint="cs"/>
          <w:spacing w:val="-4"/>
          <w:rtl/>
          <w:lang w:val="en-US"/>
        </w:rPr>
        <w:t>الأرض في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rFonts w:hint="cs"/>
          <w:spacing w:val="-4"/>
          <w:rtl/>
          <w:lang w:val="en-US"/>
        </w:rPr>
        <w:t>الخدمة الثابتة الساتلية أو الخدمة الإذاعية الساتلية) لتوفير الخدمات اللازمة. وفي تلك الحالة الخاصة بطلب توضيح بموجب الأرقام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b/>
          <w:bCs/>
          <w:spacing w:val="-4"/>
          <w:lang w:val="en-US"/>
        </w:rPr>
        <w:t>44.11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rFonts w:hint="cs"/>
          <w:spacing w:val="-4"/>
          <w:rtl/>
          <w:lang w:val="en-US" w:bidi="ar-EG"/>
        </w:rPr>
        <w:t xml:space="preserve">أو </w:t>
      </w:r>
      <w:r w:rsidRPr="00B939FD">
        <w:rPr>
          <w:b/>
          <w:bCs/>
          <w:spacing w:val="-4"/>
          <w:lang w:val="en-US"/>
        </w:rPr>
        <w:t>44B.11</w:t>
      </w:r>
      <w:r w:rsidRPr="00B939FD">
        <w:rPr>
          <w:rFonts w:hint="cs"/>
          <w:spacing w:val="-4"/>
          <w:rtl/>
          <w:lang w:val="en-US"/>
        </w:rPr>
        <w:t xml:space="preserve"> أو </w:t>
      </w:r>
      <w:r w:rsidRPr="00B939FD">
        <w:rPr>
          <w:b/>
          <w:bCs/>
          <w:spacing w:val="-4"/>
          <w:lang w:val="en-US"/>
        </w:rPr>
        <w:t>49.11</w:t>
      </w:r>
      <w:r w:rsidRPr="00B939FD">
        <w:rPr>
          <w:rFonts w:hint="cs"/>
          <w:spacing w:val="-4"/>
          <w:rtl/>
          <w:lang w:val="en-US" w:bidi="ar-EG"/>
        </w:rPr>
        <w:t xml:space="preserve"> أو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b/>
          <w:bCs/>
          <w:spacing w:val="-4"/>
          <w:lang w:val="en-US"/>
        </w:rPr>
        <w:t>6.13</w:t>
      </w:r>
      <w:r w:rsidRPr="00B939FD">
        <w:rPr>
          <w:rFonts w:hint="cs"/>
          <w:spacing w:val="-4"/>
          <w:rtl/>
          <w:lang w:val="en-US" w:bidi="ar-EG"/>
        </w:rPr>
        <w:t xml:space="preserve"> من لوائح الراديو بخصوص الوضع أو إعادة الوضع في الخدمة أو الاستعمال المستمر للخصائص المبلغة لشبكة ساتلية، قررت اللجنة أن يعتبر المكتب أن أي ساتل موجود على بُعد لا يزيد عن </w:t>
      </w:r>
      <w:r w:rsidRPr="00B939FD">
        <w:rPr>
          <w:spacing w:val="-4"/>
          <w:lang w:val="en-US" w:bidi="ar-EG"/>
        </w:rPr>
        <w:t>0,5</w:t>
      </w:r>
      <w:r w:rsidRPr="00B939FD">
        <w:rPr>
          <w:rFonts w:hint="cs"/>
          <w:spacing w:val="-4"/>
          <w:rtl/>
          <w:lang w:val="en-US" w:bidi="ar-EG"/>
        </w:rPr>
        <w:t xml:space="preserve"> درجة من خط طول الموقع الاسمي للشبكة الساتلية يكون ملبياً لمتطلبات </w:t>
      </w:r>
      <w:r w:rsidRPr="00B939FD">
        <w:rPr>
          <w:rFonts w:hint="cs"/>
          <w:spacing w:val="-4"/>
          <w:rtl/>
          <w:lang w:val="en-US"/>
        </w:rPr>
        <w:t xml:space="preserve">الأرقام </w:t>
      </w:r>
      <w:r w:rsidRPr="00B939FD">
        <w:rPr>
          <w:b/>
          <w:bCs/>
          <w:spacing w:val="-4"/>
          <w:lang w:val="en-US"/>
        </w:rPr>
        <w:t>44.11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rFonts w:hint="cs"/>
          <w:spacing w:val="-4"/>
          <w:rtl/>
          <w:lang w:val="en-US" w:bidi="ar-EG"/>
        </w:rPr>
        <w:t xml:space="preserve">أو </w:t>
      </w:r>
      <w:r w:rsidRPr="00B939FD">
        <w:rPr>
          <w:b/>
          <w:bCs/>
          <w:spacing w:val="-4"/>
          <w:lang w:val="en-US"/>
        </w:rPr>
        <w:t>44B.11</w:t>
      </w:r>
      <w:r w:rsidRPr="00B939FD">
        <w:rPr>
          <w:rFonts w:hint="cs"/>
          <w:spacing w:val="-4"/>
          <w:rtl/>
          <w:lang w:val="en-US"/>
        </w:rPr>
        <w:t xml:space="preserve"> أو </w:t>
      </w:r>
      <w:r w:rsidRPr="00B939FD">
        <w:rPr>
          <w:b/>
          <w:bCs/>
          <w:spacing w:val="-4"/>
          <w:lang w:val="en-US"/>
        </w:rPr>
        <w:t>49.11</w:t>
      </w:r>
      <w:r w:rsidRPr="00B939FD">
        <w:rPr>
          <w:rFonts w:hint="cs"/>
          <w:spacing w:val="-4"/>
          <w:rtl/>
          <w:lang w:val="en-US" w:bidi="ar-EG"/>
        </w:rPr>
        <w:t xml:space="preserve"> أو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b/>
          <w:bCs/>
          <w:spacing w:val="-4"/>
          <w:lang w:val="en-US"/>
        </w:rPr>
        <w:t>6.13</w:t>
      </w:r>
      <w:r w:rsidRPr="00B939FD">
        <w:rPr>
          <w:rFonts w:hint="cs"/>
          <w:spacing w:val="-4"/>
          <w:rtl/>
          <w:lang w:val="en-US"/>
        </w:rPr>
        <w:t>، حسب الاقتضاء، بشرط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rFonts w:hint="cs"/>
          <w:spacing w:val="-4"/>
          <w:rtl/>
          <w:lang w:val="en-US"/>
        </w:rPr>
        <w:t>أن:</w:t>
      </w:r>
    </w:p>
    <w:p w14:paraId="3EFDF525" w14:textId="597A12CB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SY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1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SY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SY"/>
        </w:rPr>
        <w:t>ترتبط المحطة الفضائية ببطاقة تبليغ واحدة أو أكثر عن شبكة ساتلية في الموقع المداري الواحد،</w:t>
      </w:r>
    </w:p>
    <w:p w14:paraId="2FB258F2" w14:textId="35695196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EG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2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SY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SY"/>
        </w:rPr>
        <w:t xml:space="preserve">وأن تكون مزودة بإمكانية الحفاظ على موقعها في حدود </w:t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sym w:font="Symbol" w:char="F0B0"/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t>0,1±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 من موقعها الاسمي،</w:t>
      </w:r>
    </w:p>
    <w:p w14:paraId="680B00D9" w14:textId="53385ED2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EG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3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EG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وعدم التسبب في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تداخلات غير مقبولة إذا تجاوز انزياح الساتل قيمة السماح هذه (حتى </w:t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sym w:font="Symbol" w:char="F0B0"/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t>0,5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 كحد </w:t>
      </w:r>
      <w:proofErr w:type="gramStart"/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أقصى)،</w:t>
      </w:r>
      <w:proofErr w:type="gramEnd"/>
    </w:p>
    <w:p w14:paraId="092C62DF" w14:textId="24F6BC0D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EG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4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EG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وألا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يتسبب هذا التشغيل في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مزيد من التداخلات أو يستلزم المزيد من الحماية أكثر مما 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/>
        </w:rPr>
        <w:t xml:space="preserve">يسببه 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إذا كانت المحطة الفضائية تعمل في حدود قيمة التسامح التي تبلغ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t>0,1±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.</w:t>
      </w:r>
    </w:p>
    <w:p w14:paraId="06D9B6EB" w14:textId="77777777" w:rsidR="001F53D4" w:rsidRPr="001F53D4" w:rsidRDefault="001F53D4" w:rsidP="001F53D4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/>
        <w:autoSpaceDE/>
        <w:autoSpaceDN/>
        <w:adjustRightInd/>
        <w:textAlignment w:val="auto"/>
        <w:rPr>
          <w:rFonts w:ascii="Dubai" w:hAnsi="Dubai" w:cs="Dubai"/>
          <w:szCs w:val="22"/>
          <w:rtl/>
          <w:lang w:val="en-US" w:bidi="ar-EG"/>
        </w:rPr>
      </w:pPr>
      <w:r w:rsidRPr="00B939FD">
        <w:rPr>
          <w:rFonts w:hint="cs"/>
          <w:rtl/>
          <w:lang w:val="en-US" w:bidi="ar-EG"/>
        </w:rPr>
        <w:t xml:space="preserve">وعلاوةً على ذلك، قررت اللجنة ألا يعتبر المكتب أن أي ساتل موجود على مسافة لا تزيد عن </w:t>
      </w:r>
      <w:r w:rsidRPr="00B939FD">
        <w:rPr>
          <w:lang w:val="en-US"/>
        </w:rPr>
        <w:t>0,5</w:t>
      </w:r>
      <w:r w:rsidRPr="00B939FD">
        <w:rPr>
          <w:rFonts w:hint="cs"/>
          <w:rtl/>
          <w:lang w:val="en-US" w:bidi="ar-EG"/>
        </w:rPr>
        <w:t xml:space="preserve"> درجة من عدة مواقع اسمية لشبكات ساتلية يمكن استعمالها للوضع أو إعادة الوضع في الخدمة أو الاستعمال المستمر للخصائص المبلغة لتخصيصات تردد متراكبة لهذه الشبكات الساتلية بموجب </w:t>
      </w:r>
      <w:r w:rsidRPr="00B939FD">
        <w:rPr>
          <w:rFonts w:hint="cs"/>
          <w:rtl/>
          <w:lang w:val="en-US"/>
        </w:rPr>
        <w:t>الأرقام</w:t>
      </w:r>
      <w:r w:rsidRPr="00B939FD">
        <w:rPr>
          <w:rFonts w:hint="eastAsia"/>
          <w:rtl/>
          <w:lang w:val="en-US"/>
        </w:rPr>
        <w:t> </w:t>
      </w:r>
      <w:r w:rsidRPr="00B939FD">
        <w:rPr>
          <w:b/>
          <w:bCs/>
          <w:lang w:val="en-US"/>
        </w:rPr>
        <w:t>44.11</w:t>
      </w:r>
      <w:r w:rsidRPr="00B939FD">
        <w:rPr>
          <w:rFonts w:hint="cs"/>
          <w:rtl/>
          <w:lang w:val="en-US"/>
        </w:rPr>
        <w:t xml:space="preserve"> </w:t>
      </w:r>
      <w:r w:rsidRPr="00B939FD">
        <w:rPr>
          <w:rFonts w:hint="cs"/>
          <w:rtl/>
          <w:lang w:val="en-US" w:bidi="ar-EG"/>
        </w:rPr>
        <w:t>أو</w:t>
      </w:r>
      <w:r w:rsidRPr="00B939FD">
        <w:rPr>
          <w:rFonts w:hint="eastAsia"/>
          <w:rtl/>
          <w:lang w:val="en-US" w:bidi="ar-EG"/>
        </w:rPr>
        <w:t> </w:t>
      </w:r>
      <w:r w:rsidRPr="00B939FD">
        <w:rPr>
          <w:b/>
          <w:bCs/>
          <w:lang w:val="en-US"/>
        </w:rPr>
        <w:t>44B.11</w:t>
      </w:r>
      <w:r w:rsidRPr="00B939FD">
        <w:rPr>
          <w:rFonts w:hint="cs"/>
          <w:rtl/>
          <w:lang w:val="en-US"/>
        </w:rPr>
        <w:t xml:space="preserve"> أو </w:t>
      </w:r>
      <w:r w:rsidRPr="00B939FD">
        <w:rPr>
          <w:b/>
          <w:bCs/>
          <w:lang w:val="en-US"/>
        </w:rPr>
        <w:t>49.11</w:t>
      </w:r>
      <w:r w:rsidRPr="00B939FD">
        <w:rPr>
          <w:rFonts w:hint="cs"/>
          <w:rtl/>
          <w:lang w:val="en-US" w:bidi="ar-EG"/>
        </w:rPr>
        <w:t xml:space="preserve"> أو</w:t>
      </w:r>
      <w:r w:rsidRPr="00B939FD">
        <w:rPr>
          <w:rFonts w:hint="cs"/>
          <w:rtl/>
          <w:lang w:val="en-US"/>
        </w:rPr>
        <w:t xml:space="preserve"> </w:t>
      </w:r>
      <w:r w:rsidRPr="00B939FD">
        <w:rPr>
          <w:b/>
          <w:bCs/>
          <w:lang w:val="en-US"/>
        </w:rPr>
        <w:t>6.13</w:t>
      </w:r>
      <w:r w:rsidRPr="00B939FD">
        <w:rPr>
          <w:rFonts w:hint="cs"/>
          <w:b/>
          <w:bCs/>
          <w:rtl/>
          <w:lang w:val="en-US"/>
        </w:rPr>
        <w:t xml:space="preserve">، </w:t>
      </w:r>
      <w:r w:rsidRPr="00B939FD">
        <w:rPr>
          <w:rFonts w:hint="cs"/>
          <w:rtl/>
          <w:lang w:val="en-US"/>
        </w:rPr>
        <w:t>بشرط ألا تتراكب</w:t>
      </w:r>
      <w:r w:rsidRPr="00B939FD">
        <w:rPr>
          <w:rtl/>
          <w:lang w:val="en-US"/>
        </w:rPr>
        <w:t xml:space="preserve"> عروض نطاق تخصيصات التردد</w:t>
      </w:r>
      <w:r w:rsidRPr="00B939FD">
        <w:rPr>
          <w:rFonts w:hint="cs"/>
          <w:rtl/>
          <w:lang w:val="en-US"/>
        </w:rPr>
        <w:t xml:space="preserve"> </w:t>
      </w:r>
      <w:r w:rsidRPr="00B939FD">
        <w:rPr>
          <w:rtl/>
          <w:lang w:val="en-US"/>
        </w:rPr>
        <w:t xml:space="preserve">هذه </w:t>
      </w:r>
      <w:r w:rsidRPr="00B939FD">
        <w:rPr>
          <w:rFonts w:hint="cs"/>
          <w:rtl/>
          <w:lang w:val="en-US"/>
        </w:rPr>
        <w:t>حصراً.</w:t>
      </w:r>
    </w:p>
    <w:p w14:paraId="7FFEB33E" w14:textId="72776748" w:rsidR="00C33020" w:rsidRPr="00C33020" w:rsidRDefault="00C33020" w:rsidP="00C3302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</w:p>
    <w:p w14:paraId="38B5CAF9" w14:textId="44E76011" w:rsidR="00BF3BC8" w:rsidRPr="006B1956" w:rsidRDefault="006B1956" w:rsidP="00B57F2F">
      <w:pPr>
        <w:tabs>
          <w:tab w:val="clear" w:pos="794"/>
          <w:tab w:val="clear" w:pos="1191"/>
          <w:tab w:val="clear" w:pos="1588"/>
          <w:tab w:val="clear" w:pos="1985"/>
        </w:tabs>
        <w:jc w:val="center"/>
      </w:pPr>
      <w:r w:rsidRPr="006B1956">
        <w:rPr>
          <w:rFonts w:hint="cs"/>
          <w:rtl/>
        </w:rPr>
        <w:t>___________</w:t>
      </w:r>
    </w:p>
    <w:p w14:paraId="7564CB07" w14:textId="2FC035A2" w:rsidR="00A07B99" w:rsidRDefault="00A07B99" w:rsidP="00732D35"/>
    <w:p w14:paraId="7BD6528D" w14:textId="6829EF18" w:rsidR="006069A1" w:rsidRDefault="006069A1" w:rsidP="00732D35"/>
    <w:p w14:paraId="2BC65FEF" w14:textId="745B2318" w:rsidR="006069A1" w:rsidRDefault="006069A1" w:rsidP="00732D35"/>
    <w:p w14:paraId="21BAA334" w14:textId="77777777" w:rsidR="006069A1" w:rsidRDefault="006069A1" w:rsidP="00732D35"/>
    <w:p w14:paraId="0D2E513F" w14:textId="77777777" w:rsidR="00A07B99" w:rsidRDefault="00A07B99" w:rsidP="00732D35"/>
    <w:p w14:paraId="71B5F2DC" w14:textId="36CDB891" w:rsidR="00A07B99" w:rsidRDefault="00A07B99" w:rsidP="00732D35">
      <w:pPr>
        <w:rPr>
          <w:rtl/>
        </w:rPr>
        <w:sectPr w:rsidR="00A07B99" w:rsidSect="003D6FB1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vAlign w:val="both"/>
          <w:bidi/>
          <w:rtlGutter/>
        </w:sectPr>
      </w:pPr>
    </w:p>
    <w:p w14:paraId="313890A5" w14:textId="0D04C49A" w:rsidR="00732D35" w:rsidRDefault="00732D35" w:rsidP="00732D35"/>
    <w:sectPr w:rsidR="00732D35" w:rsidSect="003D6FB1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7CB16" w14:textId="77777777" w:rsidR="00C92856" w:rsidRDefault="00C92856">
      <w:r>
        <w:separator/>
      </w:r>
    </w:p>
  </w:endnote>
  <w:endnote w:type="continuationSeparator" w:id="0">
    <w:p w14:paraId="7DEB2FAE" w14:textId="77777777" w:rsidR="00C92856" w:rsidRDefault="00C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5831" w14:textId="01417882" w:rsidR="00C92856" w:rsidRDefault="00793293">
    <w:pPr>
      <w:pStyle w:val="Footer"/>
    </w:pPr>
    <w:fldSimple w:instr=" FILENAME \p \* MERGEFORMAT ">
      <w:r>
        <w:t>M:\COMP_PROD\ITU-R\2021\Publications\Regl_proc\Publication_Edition_2021_22-00288_Upd2\Individuel\A\word\11b-A1-simultaneous-A.docx</w:t>
      </w:r>
    </w:fldSimple>
    <w:r w:rsidR="00C92856">
      <w:tab/>
    </w:r>
    <w:r w:rsidR="00C92856">
      <w:fldChar w:fldCharType="begin"/>
    </w:r>
    <w:r w:rsidR="00C92856">
      <w:instrText xml:space="preserve"> savedate \@ dd.MM.yy </w:instrText>
    </w:r>
    <w:r w:rsidR="00C92856">
      <w:fldChar w:fldCharType="separate"/>
    </w:r>
    <w:r w:rsidR="001B184F">
      <w:t>31.03.22</w:t>
    </w:r>
    <w:r w:rsidR="00C92856">
      <w:fldChar w:fldCharType="end"/>
    </w:r>
    <w:r w:rsidR="00C92856">
      <w:tab/>
    </w:r>
    <w:r w:rsidR="00C92856">
      <w:fldChar w:fldCharType="begin"/>
    </w:r>
    <w:r w:rsidR="00C92856">
      <w:instrText xml:space="preserve"> printdate \@ dd.MM.yy </w:instrText>
    </w:r>
    <w:r w:rsidR="00C92856">
      <w:fldChar w:fldCharType="separate"/>
    </w:r>
    <w:r>
      <w:t>31.03.22</w:t>
    </w:r>
    <w:r w:rsidR="00C9285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F80B3" w14:textId="77777777" w:rsidR="00C92856" w:rsidRDefault="00C92856">
      <w:r>
        <w:t>____________________</w:t>
      </w:r>
    </w:p>
  </w:footnote>
  <w:footnote w:type="continuationSeparator" w:id="0">
    <w:p w14:paraId="05296746" w14:textId="77777777" w:rsidR="00C92856" w:rsidRDefault="00C92856">
      <w:r>
        <w:continuationSeparator/>
      </w:r>
    </w:p>
  </w:footnote>
  <w:footnote w:id="1">
    <w:p w14:paraId="0BB06CC6" w14:textId="2FD61176" w:rsidR="00A07B99" w:rsidRPr="00B939FD" w:rsidRDefault="00A07B99">
      <w:pPr>
        <w:pStyle w:val="FootnoteText"/>
        <w:rPr>
          <w:sz w:val="20"/>
          <w:szCs w:val="26"/>
          <w:lang w:val="en-US"/>
        </w:rPr>
      </w:pPr>
      <w:r w:rsidRPr="00B939FD">
        <w:rPr>
          <w:rStyle w:val="FootnoteReference"/>
          <w:sz w:val="20"/>
          <w:szCs w:val="26"/>
        </w:rPr>
        <w:footnoteRef/>
      </w:r>
      <w:r w:rsidRPr="00B939FD">
        <w:rPr>
          <w:sz w:val="20"/>
          <w:szCs w:val="26"/>
          <w:rtl/>
        </w:rPr>
        <w:t xml:space="preserve"> انظر أيضاً أحكام الملحق </w:t>
      </w:r>
      <w:r w:rsidR="00450CDE">
        <w:rPr>
          <w:sz w:val="20"/>
          <w:szCs w:val="26"/>
        </w:rPr>
        <w:t>7</w:t>
      </w:r>
      <w:r w:rsidRPr="00B939FD">
        <w:rPr>
          <w:sz w:val="20"/>
          <w:szCs w:val="26"/>
          <w:rtl/>
        </w:rPr>
        <w:t xml:space="preserve"> بشأن "قيود الموقع المداري" في التذييل </w:t>
      </w:r>
      <w:r w:rsidR="00450CDE">
        <w:rPr>
          <w:b/>
          <w:bCs/>
          <w:sz w:val="20"/>
          <w:szCs w:val="26"/>
        </w:rPr>
        <w:t>30</w:t>
      </w:r>
      <w:r w:rsidRPr="00B939FD">
        <w:rPr>
          <w:sz w:val="20"/>
          <w:szCs w:val="26"/>
          <w:rtl/>
        </w:rPr>
        <w:t xml:space="preserve"> والقرار </w:t>
      </w:r>
      <w:r w:rsidRPr="00B939FD">
        <w:rPr>
          <w:b/>
          <w:bCs/>
          <w:sz w:val="20"/>
          <w:szCs w:val="26"/>
        </w:rPr>
        <w:t>548 (Rev.WRC-12)</w:t>
      </w:r>
      <w:r w:rsidRPr="00B939FD">
        <w:rPr>
          <w:sz w:val="20"/>
          <w:szCs w:val="26"/>
          <w:rtl/>
        </w:rPr>
        <w:t xml:space="preserve"> بشأن "تطبيق مفهوم التجميع في التذييلين </w:t>
      </w:r>
      <w:r w:rsidR="00450CDE">
        <w:rPr>
          <w:b/>
          <w:bCs/>
          <w:sz w:val="20"/>
          <w:szCs w:val="26"/>
        </w:rPr>
        <w:t>30</w:t>
      </w:r>
      <w:r w:rsidRPr="00B939FD">
        <w:rPr>
          <w:sz w:val="20"/>
          <w:szCs w:val="26"/>
          <w:rtl/>
        </w:rPr>
        <w:t xml:space="preserve"> و</w:t>
      </w:r>
      <w:r w:rsidRPr="00B939FD">
        <w:rPr>
          <w:b/>
          <w:bCs/>
          <w:sz w:val="20"/>
          <w:szCs w:val="26"/>
        </w:rPr>
        <w:t>30A</w:t>
      </w:r>
      <w:r w:rsidRPr="00B939FD">
        <w:rPr>
          <w:sz w:val="20"/>
          <w:szCs w:val="26"/>
          <w:rtl/>
        </w:rPr>
        <w:t xml:space="preserve"> في الإقليمين </w:t>
      </w:r>
      <w:r w:rsidR="00450CDE">
        <w:rPr>
          <w:sz w:val="20"/>
          <w:szCs w:val="26"/>
        </w:rPr>
        <w:t>1</w:t>
      </w:r>
      <w:r w:rsidRPr="00B939FD">
        <w:rPr>
          <w:sz w:val="20"/>
          <w:szCs w:val="26"/>
          <w:rtl/>
        </w:rPr>
        <w:t xml:space="preserve"> و</w:t>
      </w:r>
      <w:r w:rsidR="00450CDE">
        <w:rPr>
          <w:sz w:val="20"/>
          <w:szCs w:val="26"/>
        </w:rPr>
        <w:t>3</w:t>
      </w:r>
      <w:r w:rsidRPr="00B939FD">
        <w:rPr>
          <w:rFonts w:hint="cs"/>
          <w:sz w:val="20"/>
          <w:szCs w:val="26"/>
          <w:rtl/>
        </w:rPr>
        <w:t>"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3A8BCB69" w14:textId="77777777">
      <w:tc>
        <w:tcPr>
          <w:tcW w:w="1701" w:type="dxa"/>
        </w:tcPr>
        <w:p w14:paraId="570DF026" w14:textId="64BF3FBB" w:rsidR="00C92856" w:rsidRPr="00913BF7" w:rsidRDefault="00C33020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11A</w:t>
          </w:r>
        </w:p>
      </w:tc>
      <w:tc>
        <w:tcPr>
          <w:tcW w:w="1701" w:type="dxa"/>
        </w:tcPr>
        <w:p w14:paraId="4CC2C0AA" w14:textId="17FCD7C1" w:rsidR="00C92856" w:rsidRPr="00835B5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</w:p>
      </w:tc>
      <w:tc>
        <w:tcPr>
          <w:tcW w:w="1701" w:type="dxa"/>
        </w:tcPr>
        <w:p w14:paraId="666611F2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B1956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4CB6919" w14:textId="13D379B9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C33020">
            <w:rPr>
              <w:sz w:val="21"/>
              <w:szCs w:val="28"/>
            </w:rPr>
            <w:t>1</w:t>
          </w:r>
        </w:p>
      </w:tc>
    </w:tr>
  </w:tbl>
  <w:p w14:paraId="20074134" w14:textId="77777777" w:rsidR="00C92856" w:rsidRPr="007358FA" w:rsidRDefault="00C9285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269"/>
      <w:gridCol w:w="2551"/>
      <w:gridCol w:w="1417"/>
      <w:gridCol w:w="1701"/>
    </w:tblGrid>
    <w:tr w:rsidR="00C92856" w:rsidRPr="000F2A0B" w14:paraId="4CD6283A" w14:textId="77777777" w:rsidTr="00101E9C">
      <w:trPr>
        <w:jc w:val="right"/>
      </w:trPr>
      <w:tc>
        <w:tcPr>
          <w:tcW w:w="1269" w:type="dxa"/>
        </w:tcPr>
        <w:p w14:paraId="00BB1F9A" w14:textId="320A35C3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 w:rsidR="00C33020" w:rsidRPr="00101E9C">
            <w:rPr>
              <w:sz w:val="21"/>
              <w:szCs w:val="28"/>
              <w:lang w:val="en-US"/>
            </w:rPr>
            <w:t>1</w:t>
          </w:r>
          <w:r w:rsidRPr="00101E9C">
            <w:rPr>
              <w:sz w:val="21"/>
              <w:szCs w:val="28"/>
              <w:lang w:val="en-US"/>
            </w:rPr>
            <w:t>A</w:t>
          </w:r>
        </w:p>
      </w:tc>
      <w:tc>
        <w:tcPr>
          <w:tcW w:w="2551" w:type="dxa"/>
        </w:tcPr>
        <w:p w14:paraId="25B80EFE" w14:textId="2C6535AE" w:rsidR="00C92856" w:rsidRPr="00101E9C" w:rsidRDefault="00101E9C" w:rsidP="00101E9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bidi="ar-EG"/>
            </w:rPr>
          </w:pPr>
          <w:r w:rsidRPr="00101E9C">
            <w:rPr>
              <w:sz w:val="21"/>
              <w:szCs w:val="28"/>
              <w:rtl/>
              <w:lang w:val="en-US"/>
            </w:rPr>
            <w:t>الوضع في الخدمة بشكل متزامن</w:t>
          </w:r>
        </w:p>
      </w:tc>
      <w:tc>
        <w:tcPr>
          <w:tcW w:w="1417" w:type="dxa"/>
        </w:tcPr>
        <w:p w14:paraId="2123FB05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A278F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C61BE80" w14:textId="3F4B0019" w:rsidR="00C92856" w:rsidRPr="00770730" w:rsidRDefault="00C92856" w:rsidP="00663B7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1B184F">
            <w:rPr>
              <w:sz w:val="21"/>
              <w:szCs w:val="28"/>
              <w:lang w:val="en-US"/>
            </w:rPr>
            <w:t>–</w:t>
          </w:r>
        </w:p>
      </w:tc>
    </w:tr>
  </w:tbl>
  <w:p w14:paraId="4ED214B5" w14:textId="27521A78" w:rsidR="00C92856" w:rsidRDefault="00C9285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8EA6" w14:textId="77777777" w:rsidR="00732D35" w:rsidRPr="00732D35" w:rsidRDefault="00732D35" w:rsidP="00732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9802356">
    <w:abstractNumId w:val="10"/>
  </w:num>
  <w:num w:numId="2" w16cid:durableId="1079062709">
    <w:abstractNumId w:val="6"/>
  </w:num>
  <w:num w:numId="3" w16cid:durableId="1306084896">
    <w:abstractNumId w:val="5"/>
  </w:num>
  <w:num w:numId="4" w16cid:durableId="975795964">
    <w:abstractNumId w:val="4"/>
  </w:num>
  <w:num w:numId="5" w16cid:durableId="68620005">
    <w:abstractNumId w:val="8"/>
  </w:num>
  <w:num w:numId="6" w16cid:durableId="591206111">
    <w:abstractNumId w:val="3"/>
  </w:num>
  <w:num w:numId="7" w16cid:durableId="499126784">
    <w:abstractNumId w:val="2"/>
  </w:num>
  <w:num w:numId="8" w16cid:durableId="1418789222">
    <w:abstractNumId w:val="1"/>
  </w:num>
  <w:num w:numId="9" w16cid:durableId="524055409">
    <w:abstractNumId w:val="0"/>
  </w:num>
  <w:num w:numId="10" w16cid:durableId="127093948">
    <w:abstractNumId w:val="9"/>
  </w:num>
  <w:num w:numId="11" w16cid:durableId="1009066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487"/>
    <w:rsid w:val="00041E07"/>
    <w:rsid w:val="00087F40"/>
    <w:rsid w:val="000C2E8F"/>
    <w:rsid w:val="000F2A0B"/>
    <w:rsid w:val="00101E9C"/>
    <w:rsid w:val="001139B6"/>
    <w:rsid w:val="001147B6"/>
    <w:rsid w:val="00117FBB"/>
    <w:rsid w:val="00130C60"/>
    <w:rsid w:val="001B184F"/>
    <w:rsid w:val="001F53D4"/>
    <w:rsid w:val="0020710C"/>
    <w:rsid w:val="002123E2"/>
    <w:rsid w:val="002301AE"/>
    <w:rsid w:val="002304FB"/>
    <w:rsid w:val="002466FF"/>
    <w:rsid w:val="002631B1"/>
    <w:rsid w:val="002C0904"/>
    <w:rsid w:val="002C55F4"/>
    <w:rsid w:val="002D6D41"/>
    <w:rsid w:val="00300C4C"/>
    <w:rsid w:val="00321E5C"/>
    <w:rsid w:val="00343C06"/>
    <w:rsid w:val="00360881"/>
    <w:rsid w:val="003B1CCA"/>
    <w:rsid w:val="003D6FB1"/>
    <w:rsid w:val="003D7F98"/>
    <w:rsid w:val="004016A3"/>
    <w:rsid w:val="004036A6"/>
    <w:rsid w:val="00433E7A"/>
    <w:rsid w:val="00437FCE"/>
    <w:rsid w:val="0044702B"/>
    <w:rsid w:val="00450CDE"/>
    <w:rsid w:val="00463414"/>
    <w:rsid w:val="0049532A"/>
    <w:rsid w:val="004E0E50"/>
    <w:rsid w:val="0055056E"/>
    <w:rsid w:val="0059651C"/>
    <w:rsid w:val="006069A1"/>
    <w:rsid w:val="00650ED6"/>
    <w:rsid w:val="0066056C"/>
    <w:rsid w:val="00663B7D"/>
    <w:rsid w:val="006817F0"/>
    <w:rsid w:val="006A69F5"/>
    <w:rsid w:val="006B1956"/>
    <w:rsid w:val="006B3E33"/>
    <w:rsid w:val="006B42DC"/>
    <w:rsid w:val="006B5D10"/>
    <w:rsid w:val="006C1EF7"/>
    <w:rsid w:val="007003AE"/>
    <w:rsid w:val="00732D35"/>
    <w:rsid w:val="007358FA"/>
    <w:rsid w:val="007460F7"/>
    <w:rsid w:val="00770730"/>
    <w:rsid w:val="00770B96"/>
    <w:rsid w:val="00772B04"/>
    <w:rsid w:val="0078123B"/>
    <w:rsid w:val="00781F4C"/>
    <w:rsid w:val="00793293"/>
    <w:rsid w:val="007D3612"/>
    <w:rsid w:val="00803CF2"/>
    <w:rsid w:val="00833B50"/>
    <w:rsid w:val="00835B57"/>
    <w:rsid w:val="00867AB1"/>
    <w:rsid w:val="00885EC1"/>
    <w:rsid w:val="008B0B84"/>
    <w:rsid w:val="008B631A"/>
    <w:rsid w:val="008C0DDE"/>
    <w:rsid w:val="00913BF7"/>
    <w:rsid w:val="009158D2"/>
    <w:rsid w:val="009204AC"/>
    <w:rsid w:val="009303FF"/>
    <w:rsid w:val="009644A9"/>
    <w:rsid w:val="00993C1C"/>
    <w:rsid w:val="009C53A7"/>
    <w:rsid w:val="009E5C66"/>
    <w:rsid w:val="009F171D"/>
    <w:rsid w:val="00A0604B"/>
    <w:rsid w:val="00A07B99"/>
    <w:rsid w:val="00A140BA"/>
    <w:rsid w:val="00A278FB"/>
    <w:rsid w:val="00A5449C"/>
    <w:rsid w:val="00A64B91"/>
    <w:rsid w:val="00A7482F"/>
    <w:rsid w:val="00AC41A3"/>
    <w:rsid w:val="00AD269C"/>
    <w:rsid w:val="00AF44BC"/>
    <w:rsid w:val="00B0263D"/>
    <w:rsid w:val="00B10079"/>
    <w:rsid w:val="00B35ADA"/>
    <w:rsid w:val="00B42079"/>
    <w:rsid w:val="00B57F2F"/>
    <w:rsid w:val="00B765E7"/>
    <w:rsid w:val="00B939FD"/>
    <w:rsid w:val="00BB416C"/>
    <w:rsid w:val="00BE0D0E"/>
    <w:rsid w:val="00BF3BC8"/>
    <w:rsid w:val="00C2007F"/>
    <w:rsid w:val="00C33020"/>
    <w:rsid w:val="00C36D43"/>
    <w:rsid w:val="00C92856"/>
    <w:rsid w:val="00CA31BF"/>
    <w:rsid w:val="00CA4B7C"/>
    <w:rsid w:val="00CD2902"/>
    <w:rsid w:val="00D44652"/>
    <w:rsid w:val="00DA1C47"/>
    <w:rsid w:val="00DC26BB"/>
    <w:rsid w:val="00DE66AC"/>
    <w:rsid w:val="00DE6CD7"/>
    <w:rsid w:val="00DF5487"/>
    <w:rsid w:val="00E003AC"/>
    <w:rsid w:val="00E01834"/>
    <w:rsid w:val="00E03822"/>
    <w:rsid w:val="00E31686"/>
    <w:rsid w:val="00E40169"/>
    <w:rsid w:val="00E71162"/>
    <w:rsid w:val="00E7261D"/>
    <w:rsid w:val="00E72AC9"/>
    <w:rsid w:val="00EB09A1"/>
    <w:rsid w:val="00EB4871"/>
    <w:rsid w:val="00EB7F8D"/>
    <w:rsid w:val="00EC59CD"/>
    <w:rsid w:val="00F024F7"/>
    <w:rsid w:val="00F419C1"/>
    <w:rsid w:val="00F6061F"/>
    <w:rsid w:val="00F87F0A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3A0F04"/>
  <w15:docId w15:val="{EAB149F2-4620-4410-9A52-6B7D5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770730"/>
    <w:pPr>
      <w:spacing w:before="80"/>
      <w:ind w:left="567" w:hanging="567"/>
    </w:pPr>
    <w:rPr>
      <w:rFonts w:ascii="Dubai" w:hAnsi="Dubai" w:cs="Dubai"/>
      <w:szCs w:val="22"/>
    </w:r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rsid w:val="00B57F2F"/>
    <w:rPr>
      <w:bCs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36D43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2">
    <w:name w:val="وسطي2"/>
    <w:basedOn w:val="Title"/>
    <w:rsid w:val="00C36D43"/>
    <w:rPr>
      <w:sz w:val="24"/>
      <w:szCs w:val="32"/>
    </w:rPr>
  </w:style>
  <w:style w:type="paragraph" w:customStyle="1" w:styleId="HeaderRegProc">
    <w:name w:val="Header_RegProc"/>
    <w:basedOn w:val="Normal"/>
    <w:rsid w:val="00101E9C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8B749-AF49-46CA-8546-E65C33C6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</TotalTime>
  <Pages>3</Pages>
  <Words>279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7</cp:revision>
  <cp:lastPrinted>2022-03-31T13:31:00Z</cp:lastPrinted>
  <dcterms:created xsi:type="dcterms:W3CDTF">2022-03-31T13:13:00Z</dcterms:created>
  <dcterms:modified xsi:type="dcterms:W3CDTF">2025-11-27T16:19:00Z</dcterms:modified>
</cp:coreProperties>
</file>