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2A448" w14:textId="6866AD64" w:rsidR="001E2E7E" w:rsidRPr="002F0D7D" w:rsidRDefault="001E2E7E" w:rsidP="001E2E7E">
      <w:pPr>
        <w:tabs>
          <w:tab w:val="clear" w:pos="794"/>
          <w:tab w:val="clear" w:pos="1191"/>
          <w:tab w:val="clear" w:pos="1588"/>
          <w:tab w:val="clear" w:pos="1985"/>
        </w:tabs>
        <w:spacing w:before="300"/>
        <w:jc w:val="center"/>
        <w:rPr>
          <w:rFonts w:ascii="Times New Roman Bold" w:hAnsi="Times New Roman Bold"/>
          <w:b/>
          <w:bCs/>
          <w:sz w:val="28"/>
          <w:szCs w:val="40"/>
          <w:lang w:val="en-US" w:bidi="ar-EG"/>
        </w:rPr>
      </w:pPr>
      <w:r w:rsidRPr="002F0D7D">
        <w:rPr>
          <w:rFonts w:ascii="Times New Roman Bold" w:hAnsi="Times New Roman Bold" w:hint="cs"/>
          <w:b/>
          <w:bCs/>
          <w:sz w:val="28"/>
          <w:szCs w:val="40"/>
          <w:rtl/>
          <w:lang w:bidi="ar-EG"/>
        </w:rPr>
        <w:t xml:space="preserve">الجزء </w:t>
      </w:r>
      <w:r>
        <w:rPr>
          <w:rFonts w:ascii="Times New Roman Bold" w:hAnsi="Times New Roman Bold"/>
          <w:b/>
          <w:bCs/>
          <w:sz w:val="28"/>
          <w:szCs w:val="40"/>
          <w:lang w:val="en-US" w:bidi="ar-EG"/>
        </w:rPr>
        <w:t>1</w:t>
      </w:r>
      <w:r w:rsidRPr="002F0D7D">
        <w:rPr>
          <w:rFonts w:ascii="Times New Roman Bold" w:hAnsi="Times New Roman Bold"/>
          <w:b/>
          <w:bCs/>
          <w:sz w:val="28"/>
          <w:szCs w:val="40"/>
          <w:lang w:val="en-US" w:bidi="ar-EG"/>
        </w:rPr>
        <w:t>A</w:t>
      </w:r>
    </w:p>
    <w:p w14:paraId="4725D78C" w14:textId="4EE9D707" w:rsidR="00BE0D0E" w:rsidRDefault="006E4BF1" w:rsidP="00E003AC">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14:paraId="11CAE835" w14:textId="77777777" w:rsidR="006E4BF1" w:rsidRPr="006E4BF1" w:rsidRDefault="006E4BF1" w:rsidP="000E0A79">
      <w:pPr>
        <w:tabs>
          <w:tab w:val="clear" w:pos="794"/>
          <w:tab w:val="clear" w:pos="1191"/>
          <w:tab w:val="clear" w:pos="1588"/>
          <w:tab w:val="clear" w:pos="1985"/>
        </w:tabs>
        <w:spacing w:before="400"/>
        <w:jc w:val="center"/>
        <w:rPr>
          <w:b/>
          <w:bCs/>
          <w:sz w:val="28"/>
          <w:szCs w:val="40"/>
          <w:rtl/>
          <w:lang w:val="en-US" w:bidi="ar-EG"/>
        </w:rPr>
      </w:pPr>
      <w:r>
        <w:rPr>
          <w:rFonts w:hint="cs"/>
          <w:b/>
          <w:bCs/>
          <w:sz w:val="28"/>
          <w:szCs w:val="40"/>
          <w:rtl/>
          <w:lang w:bidi="ar-EG"/>
        </w:rPr>
        <w:t xml:space="preserve">بالمادة </w:t>
      </w:r>
      <w:r>
        <w:rPr>
          <w:b/>
          <w:bCs/>
          <w:sz w:val="28"/>
          <w:szCs w:val="40"/>
          <w:lang w:val="en-US" w:bidi="ar-EG"/>
        </w:rPr>
        <w:t>1</w:t>
      </w:r>
      <w:r>
        <w:rPr>
          <w:rFonts w:hint="cs"/>
          <w:b/>
          <w:bCs/>
          <w:sz w:val="28"/>
          <w:szCs w:val="40"/>
          <w:rtl/>
          <w:lang w:val="en-US" w:bidi="ar-EG"/>
        </w:rPr>
        <w:t xml:space="preserve"> من لوائح الراديو</w:t>
      </w:r>
    </w:p>
    <w:p w14:paraId="303B04A2" w14:textId="77777777" w:rsidR="006B5D10" w:rsidRDefault="006B5D10" w:rsidP="000E0A79">
      <w:pPr>
        <w:tabs>
          <w:tab w:val="clear" w:pos="794"/>
          <w:tab w:val="clear" w:pos="1191"/>
          <w:tab w:val="clear" w:pos="1588"/>
          <w:tab w:val="clear" w:pos="1985"/>
        </w:tabs>
        <w:spacing w:before="56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6056C" w14:paraId="65216DD1" w14:textId="77777777">
        <w:tc>
          <w:tcPr>
            <w:tcW w:w="1275" w:type="dxa"/>
          </w:tcPr>
          <w:p w14:paraId="632D8A59" w14:textId="77777777" w:rsidR="0066056C" w:rsidRPr="00EC59CD" w:rsidRDefault="006B5D10" w:rsidP="00DB11E0">
            <w:pPr>
              <w:tabs>
                <w:tab w:val="clear" w:pos="794"/>
                <w:tab w:val="clear" w:pos="1191"/>
                <w:tab w:val="clear" w:pos="1588"/>
                <w:tab w:val="clear" w:pos="1985"/>
              </w:tabs>
              <w:spacing w:before="40" w:after="40" w:line="280" w:lineRule="exact"/>
              <w:rPr>
                <w:b/>
                <w:bCs/>
                <w:rtl/>
                <w:lang w:val="en-US" w:bidi="ar-EG"/>
              </w:rPr>
            </w:pPr>
            <w:r w:rsidRPr="00EC59CD">
              <w:rPr>
                <w:b/>
                <w:bCs/>
                <w:lang w:val="en-US" w:bidi="ar-EG"/>
              </w:rPr>
              <w:t>23</w:t>
            </w:r>
            <w:r w:rsidR="00C002ED">
              <w:rPr>
                <w:b/>
                <w:bCs/>
                <w:lang w:val="en-US" w:bidi="ar-EG"/>
              </w:rPr>
              <w:t>.1</w:t>
            </w:r>
          </w:p>
        </w:tc>
      </w:tr>
    </w:tbl>
    <w:p w14:paraId="4E7EE3EF" w14:textId="77777777" w:rsidR="006E4BF1" w:rsidRDefault="006E4BF1" w:rsidP="00B57B14">
      <w:pPr>
        <w:rPr>
          <w:rtl/>
          <w:lang w:val="en-US"/>
        </w:rPr>
      </w:pPr>
      <w:r>
        <w:rPr>
          <w:lang w:val="en-US" w:bidi="ar-EG"/>
        </w:rPr>
        <w:t>1</w:t>
      </w:r>
      <w:r>
        <w:rPr>
          <w:rFonts w:hint="cs"/>
          <w:rtl/>
          <w:lang w:val="en-US" w:bidi="ar-EG"/>
        </w:rPr>
        <w:tab/>
      </w:r>
      <w:r w:rsidRPr="00114A6E">
        <w:rPr>
          <w:rtl/>
        </w:rPr>
        <w:t xml:space="preserve">ينص الرقم </w:t>
      </w:r>
      <w:r w:rsidRPr="00114A6E">
        <w:rPr>
          <w:b/>
          <w:bCs/>
        </w:rPr>
        <w:t>23</w:t>
      </w:r>
      <w:r w:rsidR="00C002ED" w:rsidRPr="00114A6E">
        <w:rPr>
          <w:b/>
          <w:bCs/>
        </w:rPr>
        <w:t>.1</w:t>
      </w:r>
      <w:r w:rsidRPr="00114A6E">
        <w:rPr>
          <w:rtl/>
        </w:rPr>
        <w:t xml:space="preserve"> على أن وظائف خدمة العمليات الفضائية (التتبع الفضائي والقياس الفضائي عن بعد والتحكم الفضائي عن بعد) </w:t>
      </w:r>
      <w:r w:rsidRPr="00114A6E">
        <w:rPr>
          <w:rFonts w:hint="cs"/>
          <w:rtl/>
        </w:rPr>
        <w:t>ستقدم</w:t>
      </w:r>
      <w:r w:rsidRPr="00114A6E">
        <w:rPr>
          <w:rtl/>
        </w:rPr>
        <w:t xml:space="preserve"> عادة داخل الخدمة التي تعمل المحطة الفضائية فيها. السؤال الذي يطرح</w:t>
      </w:r>
      <w:r w:rsidRPr="00114A6E">
        <w:rPr>
          <w:rFonts w:hint="cs"/>
          <w:rtl/>
        </w:rPr>
        <w:t xml:space="preserve"> نفسه</w:t>
      </w:r>
      <w:r w:rsidRPr="00114A6E">
        <w:rPr>
          <w:rtl/>
        </w:rPr>
        <w:t xml:space="preserve"> إذاً هو </w:t>
      </w:r>
      <w:r w:rsidRPr="00114A6E">
        <w:rPr>
          <w:rFonts w:hint="cs"/>
          <w:rtl/>
        </w:rPr>
        <w:t xml:space="preserve">مدى ملاءمة اعتبار </w:t>
      </w:r>
      <w:r w:rsidRPr="00114A6E">
        <w:rPr>
          <w:rtl/>
        </w:rPr>
        <w:t xml:space="preserve">بطاقات التبليغ عن تخصيصات التردد </w:t>
      </w:r>
      <w:r w:rsidRPr="00114A6E">
        <w:rPr>
          <w:rFonts w:hint="cs"/>
          <w:rtl/>
        </w:rPr>
        <w:t xml:space="preserve">في حالة </w:t>
      </w:r>
      <w:r w:rsidRPr="00114A6E">
        <w:rPr>
          <w:rtl/>
        </w:rPr>
        <w:t xml:space="preserve">أصناف </w:t>
      </w:r>
      <w:r w:rsidRPr="00114A6E">
        <w:rPr>
          <w:rFonts w:hint="cs"/>
          <w:rtl/>
        </w:rPr>
        <w:t>ال</w:t>
      </w:r>
      <w:r w:rsidRPr="00114A6E">
        <w:rPr>
          <w:rtl/>
        </w:rPr>
        <w:t xml:space="preserve">محطات </w:t>
      </w:r>
      <w:r w:rsidRPr="00114A6E">
        <w:rPr>
          <w:rFonts w:hint="cs"/>
          <w:rtl/>
        </w:rPr>
        <w:t xml:space="preserve">التي تؤدي هذه الوظائف، </w:t>
      </w:r>
      <w:r w:rsidRPr="00114A6E">
        <w:rPr>
          <w:rtl/>
        </w:rPr>
        <w:t>مطابقة لجدول توزيع نطاقات الترددات في الحال</w:t>
      </w:r>
      <w:r w:rsidR="00C002ED" w:rsidRPr="00114A6E">
        <w:rPr>
          <w:rFonts w:hint="cs"/>
          <w:rtl/>
        </w:rPr>
        <w:t>ات</w:t>
      </w:r>
      <w:r w:rsidRPr="00114A6E">
        <w:rPr>
          <w:rtl/>
        </w:rPr>
        <w:t xml:space="preserve"> التي لا يحتوي فيها هذا الجدول على توزيع لخدمة العمليات الفضائية.</w:t>
      </w:r>
    </w:p>
    <w:p w14:paraId="74FB2F13" w14:textId="77777777" w:rsidR="006E4BF1" w:rsidRPr="006E4BF1" w:rsidRDefault="006E4BF1" w:rsidP="00B57B14">
      <w:pPr>
        <w:rPr>
          <w:rtl/>
          <w:lang w:val="en-US" w:bidi="ar-EG"/>
        </w:rPr>
      </w:pPr>
      <w:r>
        <w:rPr>
          <w:lang w:val="en-US"/>
        </w:rPr>
        <w:t>2</w:t>
      </w:r>
      <w:r>
        <w:rPr>
          <w:rFonts w:hint="cs"/>
          <w:rtl/>
          <w:lang w:val="en-US" w:bidi="ar-EG"/>
        </w:rPr>
        <w:tab/>
      </w:r>
      <w:r w:rsidRPr="00A3140B">
        <w:rPr>
          <w:rtl/>
        </w:rPr>
        <w:t>بموجب إجراء</w:t>
      </w:r>
      <w:r w:rsidR="00C002ED">
        <w:rPr>
          <w:rFonts w:hint="cs"/>
          <w:rtl/>
        </w:rPr>
        <w:t>ات</w:t>
      </w:r>
      <w:r w:rsidRPr="00A3140B">
        <w:rPr>
          <w:rtl/>
        </w:rPr>
        <w:t xml:space="preserve"> التفحص الموصوف</w:t>
      </w:r>
      <w:r w:rsidR="00C002ED">
        <w:rPr>
          <w:rFonts w:hint="cs"/>
          <w:rtl/>
        </w:rPr>
        <w:t>ة</w:t>
      </w:r>
      <w:r w:rsidRPr="00A3140B">
        <w:rPr>
          <w:rtl/>
        </w:rPr>
        <w:t xml:space="preserve"> في الرقم </w:t>
      </w:r>
      <w:r w:rsidRPr="00A3140B">
        <w:rPr>
          <w:b/>
          <w:bCs/>
        </w:rPr>
        <w:t>31</w:t>
      </w:r>
      <w:r w:rsidR="00C002ED">
        <w:rPr>
          <w:b/>
          <w:bCs/>
        </w:rPr>
        <w:t>.11</w:t>
      </w:r>
      <w:r w:rsidRPr="00A3140B">
        <w:rPr>
          <w:rtl/>
        </w:rPr>
        <w:t xml:space="preserve"> ستعتبر بطاقات التبليغ المعنية بوظائف العمليات الفضائية مطابقة لجدول توزيع نطاقات الترددات (نتيجة مؤاتية) حين يقع التردد المخصص (ونطاق الترددات المخصص) في نطاق الترددات الموزع على ما يلي:</w:t>
      </w:r>
    </w:p>
    <w:p w14:paraId="6349D147" w14:textId="77777777" w:rsidR="006E4BF1" w:rsidRDefault="006E4BF1" w:rsidP="00B57B14">
      <w:pPr>
        <w:pStyle w:val="enumlev1"/>
        <w:rPr>
          <w:rtl/>
        </w:rPr>
      </w:pPr>
      <w:r>
        <w:rPr>
          <w:rFonts w:hint="cs"/>
          <w:rtl/>
        </w:rPr>
        <w:t>-</w:t>
      </w:r>
      <w:r>
        <w:rPr>
          <w:rFonts w:hint="cs"/>
          <w:rtl/>
        </w:rPr>
        <w:tab/>
      </w:r>
      <w:r w:rsidRPr="00A3140B">
        <w:rPr>
          <w:rtl/>
        </w:rPr>
        <w:t>خدمة العمليات الفضائية، أو</w:t>
      </w:r>
    </w:p>
    <w:p w14:paraId="21EE87DB" w14:textId="77777777" w:rsidR="006E4BF1" w:rsidRDefault="006E4BF1" w:rsidP="00B57B14">
      <w:pPr>
        <w:pStyle w:val="enumlev1"/>
        <w:rPr>
          <w:rtl/>
        </w:rPr>
      </w:pPr>
      <w:r>
        <w:rPr>
          <w:rFonts w:hint="cs"/>
          <w:rtl/>
        </w:rPr>
        <w:t>-</w:t>
      </w:r>
      <w:r>
        <w:rPr>
          <w:rFonts w:hint="cs"/>
          <w:rtl/>
        </w:rPr>
        <w:tab/>
      </w:r>
      <w:r w:rsidRPr="00A3140B">
        <w:rPr>
          <w:rtl/>
        </w:rPr>
        <w:t xml:space="preserve">خدمة رئيسية تعمل المحطة الفضائية فيها (مثل الخدمة الثابتة الساتلية </w:t>
      </w:r>
      <w:r w:rsidRPr="00A3140B">
        <w:t>(FSS)</w:t>
      </w:r>
      <w:r w:rsidRPr="00A3140B">
        <w:rPr>
          <w:rtl/>
        </w:rPr>
        <w:t xml:space="preserve"> والخدمة الإذاعية الساتلية </w:t>
      </w:r>
      <w:r w:rsidRPr="00A3140B">
        <w:t>(BSS)</w:t>
      </w:r>
      <w:r w:rsidRPr="00A3140B">
        <w:rPr>
          <w:rtl/>
        </w:rPr>
        <w:t xml:space="preserve"> والخدمة المتنقلة الساتلية </w:t>
      </w:r>
      <w:r w:rsidR="0037060E">
        <w:rPr>
          <w:lang w:val="en-US"/>
        </w:rPr>
        <w:t>(</w:t>
      </w:r>
      <w:r w:rsidRPr="00A3140B">
        <w:t>(MSS)</w:t>
      </w:r>
      <w:r w:rsidRPr="00A3140B">
        <w:rPr>
          <w:rtl/>
        </w:rPr>
        <w:t>.</w:t>
      </w:r>
    </w:p>
    <w:p w14:paraId="56DEA816" w14:textId="77777777" w:rsidR="006E4BF1" w:rsidRPr="006E4BF1" w:rsidRDefault="006E4BF1" w:rsidP="00B57B14">
      <w:pPr>
        <w:rPr>
          <w:lang w:val="en-US" w:bidi="ar-EG"/>
        </w:rPr>
      </w:pPr>
      <w:r>
        <w:rPr>
          <w:lang w:val="en-US"/>
        </w:rPr>
        <w:t>3</w:t>
      </w:r>
      <w:r>
        <w:rPr>
          <w:lang w:val="en-US"/>
        </w:rPr>
        <w:tab/>
      </w:r>
      <w:r w:rsidRPr="00A3140B">
        <w:rPr>
          <w:rtl/>
        </w:rPr>
        <w:t xml:space="preserve">فيما يخص الحالة التي يقع فيها التردد المخصص المعني بوظائف العمليات الفضائية، في نطاق ترددات موزع لخدمة </w:t>
      </w:r>
      <w:r w:rsidR="00C002ED">
        <w:rPr>
          <w:rFonts w:hint="cs"/>
          <w:rtl/>
        </w:rPr>
        <w:t>ليس للمحطة</w:t>
      </w:r>
      <w:r w:rsidRPr="00A3140B">
        <w:rPr>
          <w:rtl/>
        </w:rPr>
        <w:t xml:space="preserve"> الفضائية فيها وظيفة تشغيلية، ستكون النتيجة</w:t>
      </w:r>
      <w:r>
        <w:rPr>
          <w:rFonts w:hint="cs"/>
          <w:rtl/>
        </w:rPr>
        <w:t xml:space="preserve"> التي يسفر عنها</w:t>
      </w:r>
      <w:r w:rsidRPr="00A3140B">
        <w:rPr>
          <w:rtl/>
        </w:rPr>
        <w:t xml:space="preserve"> الرقم </w:t>
      </w:r>
      <w:r w:rsidRPr="00A3140B">
        <w:rPr>
          <w:b/>
          <w:bCs/>
        </w:rPr>
        <w:t>31</w:t>
      </w:r>
      <w:r w:rsidR="00C002ED">
        <w:rPr>
          <w:b/>
          <w:bCs/>
        </w:rPr>
        <w:t>.11</w:t>
      </w:r>
      <w:r>
        <w:rPr>
          <w:rFonts w:hint="cs"/>
          <w:rtl/>
        </w:rPr>
        <w:t xml:space="preserve"> غير مؤاتية.</w:t>
      </w:r>
    </w:p>
    <w:p w14:paraId="36E3316E" w14:textId="77777777" w:rsidR="006E4BF1" w:rsidRPr="00C002ED" w:rsidRDefault="006E4BF1" w:rsidP="000E0A79">
      <w:pPr>
        <w:tabs>
          <w:tab w:val="clear" w:pos="794"/>
          <w:tab w:val="clear" w:pos="1191"/>
          <w:tab w:val="clear" w:pos="1588"/>
          <w:tab w:val="clear" w:pos="1985"/>
        </w:tabs>
        <w:spacing w:before="560"/>
        <w:rPr>
          <w:sz w:val="10"/>
          <w:szCs w:val="18"/>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E4BF1" w14:paraId="2F28A4DE" w14:textId="77777777">
        <w:tc>
          <w:tcPr>
            <w:tcW w:w="1275" w:type="dxa"/>
          </w:tcPr>
          <w:p w14:paraId="44EC0FD8" w14:textId="77777777" w:rsidR="006E4BF1" w:rsidRPr="00EC59CD" w:rsidRDefault="006E4BF1" w:rsidP="00DB11E0">
            <w:pPr>
              <w:tabs>
                <w:tab w:val="clear" w:pos="794"/>
                <w:tab w:val="clear" w:pos="1191"/>
                <w:tab w:val="clear" w:pos="1588"/>
                <w:tab w:val="clear" w:pos="1985"/>
              </w:tabs>
              <w:spacing w:before="40" w:after="40" w:line="280" w:lineRule="exact"/>
              <w:rPr>
                <w:b/>
                <w:bCs/>
                <w:rtl/>
                <w:lang w:val="en-US" w:bidi="ar-EG"/>
              </w:rPr>
            </w:pPr>
            <w:r>
              <w:rPr>
                <w:b/>
                <w:bCs/>
                <w:lang w:val="en-US" w:bidi="ar-EG"/>
              </w:rPr>
              <w:t>61</w:t>
            </w:r>
            <w:r w:rsidR="00C002ED">
              <w:rPr>
                <w:b/>
                <w:bCs/>
                <w:lang w:val="en-US" w:bidi="ar-EG"/>
              </w:rPr>
              <w:t>.1</w:t>
            </w:r>
          </w:p>
        </w:tc>
      </w:tr>
    </w:tbl>
    <w:p w14:paraId="4549927E" w14:textId="77777777" w:rsidR="006E4BF1" w:rsidRDefault="006E4BF1" w:rsidP="00B57B14">
      <w:pPr>
        <w:rPr>
          <w:lang w:bidi="ar-EG"/>
        </w:rPr>
      </w:pPr>
      <w:r w:rsidRPr="00A3140B">
        <w:rPr>
          <w:rtl/>
        </w:rPr>
        <w:t xml:space="preserve">حين تستعمل خدمات اتصالات راديوية مختلفة المرسلات أو المستقبلات، في موقع معين أو على متن ساتل، فإن هذه الأجهزة تشكل محطات متعددة تقابل كل محطة منها خدمة اتصالات راديوية </w:t>
      </w:r>
      <w:r>
        <w:rPr>
          <w:rFonts w:hint="cs"/>
          <w:rtl/>
        </w:rPr>
        <w:t>منفصلة</w:t>
      </w:r>
      <w:r w:rsidRPr="00A3140B">
        <w:rPr>
          <w:rtl/>
        </w:rPr>
        <w:t xml:space="preserve">. وهذا التمييز أساسي في الاتصالات الراديوية الفضائية حين تستعمل مركبة فضائية وحيدة من أجل خدمات عديدة. (للاطلاع على رموز الأصناف المختلفة للمحطات المستعملة في بطاقات التبليغ من أجل الخدمات التي تعمل فيها محطة ما، </w:t>
      </w:r>
      <w:r>
        <w:rPr>
          <w:rFonts w:hint="cs"/>
          <w:rtl/>
        </w:rPr>
        <w:t>انظر</w:t>
      </w:r>
      <w:r w:rsidRPr="00A3140B">
        <w:rPr>
          <w:rtl/>
        </w:rPr>
        <w:t xml:space="preserve"> الجدول رقم </w:t>
      </w:r>
      <w:r>
        <w:t>3</w:t>
      </w:r>
      <w:r w:rsidRPr="00A3140B">
        <w:rPr>
          <w:rtl/>
        </w:rPr>
        <w:t xml:space="preserve"> الوارد في مقدمة</w:t>
      </w:r>
      <w:r>
        <w:rPr>
          <w:rFonts w:hint="cs"/>
          <w:rtl/>
        </w:rPr>
        <w:t xml:space="preserve"> النشرة الإعلامية الدولية للترددات الصادرة عن مكتب الاتصالات الراديوية </w:t>
      </w:r>
      <w:r w:rsidRPr="00A3140B">
        <w:t>(</w:t>
      </w:r>
      <w:r>
        <w:rPr>
          <w:lang w:val="en-US" w:bidi="ar-EG"/>
        </w:rPr>
        <w:t>BR</w:t>
      </w:r>
      <w:r w:rsidR="00C002ED">
        <w:rPr>
          <w:lang w:val="en-US" w:bidi="ar-EG"/>
        </w:rPr>
        <w:t xml:space="preserve"> </w:t>
      </w:r>
      <w:r>
        <w:rPr>
          <w:lang w:val="en-US" w:bidi="ar-EG"/>
        </w:rPr>
        <w:t>IFIC</w:t>
      </w:r>
      <w:r w:rsidRPr="00A3140B">
        <w:t>)</w:t>
      </w:r>
      <w:r>
        <w:rPr>
          <w:rFonts w:hint="cs"/>
          <w:rtl/>
          <w:lang w:bidi="ar-EG"/>
        </w:rPr>
        <w:t>).</w:t>
      </w:r>
    </w:p>
    <w:p w14:paraId="3285CE4E" w14:textId="77777777" w:rsidR="001E51F9" w:rsidRDefault="001E51F9" w:rsidP="001E51F9">
      <w:pPr>
        <w:rPr>
          <w:lang w:val="en-US"/>
        </w:rPr>
      </w:pPr>
      <w:r>
        <w:rPr>
          <w:rtl/>
          <w:lang w:val="en-US"/>
        </w:rPr>
        <w:br w:type="page"/>
      </w:r>
    </w:p>
    <w:p w14:paraId="52485AB4" w14:textId="77777777" w:rsidR="001E51F9" w:rsidRDefault="001E51F9" w:rsidP="00972E34">
      <w:pPr>
        <w:tabs>
          <w:tab w:val="clear" w:pos="794"/>
          <w:tab w:val="clear" w:pos="1191"/>
          <w:tab w:val="clear" w:pos="1588"/>
          <w:tab w:val="clear" w:pos="1985"/>
        </w:tabs>
        <w:spacing w:before="0"/>
        <w:rPr>
          <w:sz w:val="2"/>
          <w:szCs w:val="2"/>
          <w:rtl/>
          <w:lang w:val="en-US"/>
        </w:rPr>
      </w:pPr>
    </w:p>
    <w:p w14:paraId="3CCC9976" w14:textId="77777777" w:rsidR="00972E34" w:rsidRPr="00972E34" w:rsidRDefault="00972E34" w:rsidP="00972E34">
      <w:pPr>
        <w:tabs>
          <w:tab w:val="clear" w:pos="794"/>
          <w:tab w:val="clear" w:pos="1191"/>
          <w:tab w:val="clear" w:pos="1588"/>
          <w:tab w:val="clear" w:pos="1985"/>
        </w:tabs>
        <w:spacing w:before="0"/>
        <w:rPr>
          <w:sz w:val="2"/>
          <w:szCs w:val="2"/>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275"/>
      </w:tblGrid>
      <w:tr w:rsidR="00972E34" w14:paraId="5C5F847F" w14:textId="77777777" w:rsidTr="00972E34">
        <w:tc>
          <w:tcPr>
            <w:tcW w:w="1275" w:type="dxa"/>
          </w:tcPr>
          <w:p w14:paraId="10281731" w14:textId="77777777" w:rsidR="00972E34" w:rsidRPr="00EC59CD" w:rsidRDefault="00972E34" w:rsidP="00DB11E0">
            <w:pPr>
              <w:tabs>
                <w:tab w:val="clear" w:pos="794"/>
                <w:tab w:val="clear" w:pos="1191"/>
                <w:tab w:val="clear" w:pos="1588"/>
                <w:tab w:val="clear" w:pos="1985"/>
              </w:tabs>
              <w:spacing w:before="40" w:after="40" w:line="280" w:lineRule="exact"/>
              <w:rPr>
                <w:b/>
                <w:bCs/>
                <w:rtl/>
                <w:lang w:val="en-US" w:bidi="ar-EG"/>
              </w:rPr>
            </w:pPr>
            <w:r w:rsidRPr="00972E34">
              <w:rPr>
                <w:b/>
                <w:bCs/>
                <w:lang w:val="en-US" w:bidi="ar-EG"/>
              </w:rPr>
              <w:t>63.1</w:t>
            </w:r>
          </w:p>
        </w:tc>
        <w:tc>
          <w:tcPr>
            <w:tcW w:w="1275" w:type="dxa"/>
            <w:tcBorders>
              <w:top w:val="nil"/>
              <w:bottom w:val="nil"/>
              <w:right w:val="nil"/>
            </w:tcBorders>
          </w:tcPr>
          <w:p w14:paraId="6D0E65AD" w14:textId="77777777" w:rsidR="00972E34" w:rsidRDefault="00972E34" w:rsidP="001C1B37">
            <w:pPr>
              <w:tabs>
                <w:tab w:val="clear" w:pos="794"/>
                <w:tab w:val="clear" w:pos="1191"/>
                <w:tab w:val="clear" w:pos="1588"/>
                <w:tab w:val="clear" w:pos="1985"/>
              </w:tabs>
              <w:spacing w:before="0" w:after="40" w:line="280" w:lineRule="exact"/>
              <w:rPr>
                <w:b/>
                <w:bCs/>
                <w:lang w:val="en-US" w:bidi="ar-EG"/>
              </w:rPr>
            </w:pPr>
          </w:p>
        </w:tc>
      </w:tr>
    </w:tbl>
    <w:p w14:paraId="576AF6A5" w14:textId="77777777" w:rsidR="006E4BF1" w:rsidRDefault="006E4BF1" w:rsidP="00B57B14">
      <w:r w:rsidRPr="0037060E">
        <w:rPr>
          <w:i/>
          <w:iCs/>
          <w:rtl/>
        </w:rPr>
        <w:t>محطة أرضية تُنْقل</w:t>
      </w:r>
      <w:r w:rsidRPr="00A3140B">
        <w:rPr>
          <w:rtl/>
        </w:rPr>
        <w:t xml:space="preserve">: تطلق اللجنة صفة محطة أرضية تُنْقل في الخدمة الثابتة الساتلية (انظر الرقم </w:t>
      </w:r>
      <w:r w:rsidRPr="00A3140B">
        <w:rPr>
          <w:b/>
          <w:bCs/>
        </w:rPr>
        <w:t>21</w:t>
      </w:r>
      <w:r w:rsidR="00C002ED">
        <w:rPr>
          <w:b/>
          <w:bCs/>
        </w:rPr>
        <w:t>.1</w:t>
      </w:r>
      <w:r w:rsidRPr="00A3140B">
        <w:rPr>
          <w:rtl/>
        </w:rPr>
        <w:t>) (أو في أي خدمة فضائية أخرى) على محطة أرضية لا يمكن أن تستعمل إلا في نقاط ثابتة. وبالتالي فإن بطاقة التبليغ عنها تعتبر ناقصة إذا</w:t>
      </w:r>
      <w:r w:rsidR="001C313A">
        <w:rPr>
          <w:rFonts w:hint="cs"/>
          <w:rtl/>
        </w:rPr>
        <w:t> </w:t>
      </w:r>
      <w:r w:rsidRPr="00A3140B">
        <w:rPr>
          <w:rtl/>
        </w:rPr>
        <w:t>لم</w:t>
      </w:r>
      <w:r w:rsidR="009B3898">
        <w:rPr>
          <w:rFonts w:hint="cs"/>
          <w:rtl/>
        </w:rPr>
        <w:t> تتضمن</w:t>
      </w:r>
      <w:r w:rsidRPr="00A3140B">
        <w:rPr>
          <w:rtl/>
        </w:rPr>
        <w:t xml:space="preserve"> الإحداثيات الجغرافية.</w:t>
      </w:r>
    </w:p>
    <w:p w14:paraId="3D84F11B" w14:textId="77777777" w:rsidR="00972E34" w:rsidRPr="00C002ED" w:rsidRDefault="00972E34" w:rsidP="001E51F9">
      <w:pPr>
        <w:tabs>
          <w:tab w:val="clear" w:pos="794"/>
          <w:tab w:val="clear" w:pos="1191"/>
          <w:tab w:val="clear" w:pos="1588"/>
          <w:tab w:val="clear" w:pos="1985"/>
        </w:tabs>
        <w:spacing w:before="0"/>
        <w:rPr>
          <w:sz w:val="10"/>
          <w:szCs w:val="18"/>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972E34" w14:paraId="70D362AE" w14:textId="77777777" w:rsidTr="00972E34">
        <w:tc>
          <w:tcPr>
            <w:tcW w:w="1275" w:type="dxa"/>
          </w:tcPr>
          <w:p w14:paraId="3022787E" w14:textId="77777777" w:rsidR="00972E34" w:rsidRPr="00EC59CD" w:rsidRDefault="00972E34" w:rsidP="00DB11E0">
            <w:pPr>
              <w:tabs>
                <w:tab w:val="clear" w:pos="794"/>
                <w:tab w:val="clear" w:pos="1191"/>
                <w:tab w:val="clear" w:pos="1588"/>
                <w:tab w:val="clear" w:pos="1985"/>
              </w:tabs>
              <w:spacing w:before="40" w:after="40" w:line="280" w:lineRule="exact"/>
              <w:rPr>
                <w:b/>
                <w:bCs/>
                <w:rtl/>
                <w:lang w:val="en-US" w:bidi="ar-EG"/>
              </w:rPr>
            </w:pPr>
            <w:r w:rsidRPr="00972E34">
              <w:rPr>
                <w:b/>
                <w:bCs/>
                <w:lang w:val="en-US" w:bidi="ar-EG"/>
              </w:rPr>
              <w:t>112.1</w:t>
            </w:r>
          </w:p>
        </w:tc>
        <w:tc>
          <w:tcPr>
            <w:tcW w:w="1623" w:type="dxa"/>
            <w:tcBorders>
              <w:top w:val="nil"/>
              <w:bottom w:val="nil"/>
              <w:right w:val="nil"/>
            </w:tcBorders>
          </w:tcPr>
          <w:p w14:paraId="357551E4" w14:textId="77777777" w:rsidR="00972E34" w:rsidRDefault="00972E34" w:rsidP="005C18A3">
            <w:pPr>
              <w:tabs>
                <w:tab w:val="clear" w:pos="794"/>
                <w:tab w:val="clear" w:pos="1191"/>
                <w:tab w:val="clear" w:pos="1588"/>
                <w:tab w:val="clear" w:pos="1985"/>
              </w:tabs>
              <w:spacing w:before="0" w:after="40" w:line="280" w:lineRule="exact"/>
              <w:jc w:val="right"/>
              <w:rPr>
                <w:b/>
                <w:bCs/>
                <w:lang w:val="en-US" w:bidi="ar-EG"/>
              </w:rPr>
            </w:pPr>
          </w:p>
        </w:tc>
      </w:tr>
    </w:tbl>
    <w:p w14:paraId="787D98A8" w14:textId="77777777" w:rsidR="00B22D5D" w:rsidRPr="00B22D5D" w:rsidRDefault="005C18A3" w:rsidP="00B57B14">
      <w:pPr>
        <w:rPr>
          <w:rFonts w:eastAsia="SimSun"/>
          <w:rtl/>
          <w:lang w:val="en-US" w:eastAsia="zh-CN"/>
        </w:rPr>
      </w:pPr>
      <w:r>
        <w:rPr>
          <w:rFonts w:eastAsiaTheme="minorEastAsia"/>
          <w:rtl/>
          <w:lang w:eastAsia="zh-CN"/>
        </w:rPr>
        <w:t xml:space="preserve">وفقاً لهذا التعريف، كل نظام ساتلي يتكون من ساتل واحد فقط يشكل في الوقت نفسه شبكة ساتلية، وحين يتألف النظام من أكثر من ساتل فإن كل جزء من أجزاء النظام يضم ساتلاً واحداً يعد شبكة ساتلية. ويشير عنوان الملحق </w:t>
      </w:r>
      <w:r>
        <w:rPr>
          <w:rFonts w:eastAsiaTheme="minorEastAsia"/>
          <w:lang w:eastAsia="zh-CN"/>
        </w:rPr>
        <w:t>2</w:t>
      </w:r>
      <w:r>
        <w:rPr>
          <w:rFonts w:eastAsiaTheme="minorEastAsia"/>
          <w:rtl/>
          <w:lang w:eastAsia="zh-CN"/>
        </w:rPr>
        <w:t xml:space="preserve"> في التذييل </w:t>
      </w:r>
      <w:r>
        <w:rPr>
          <w:rFonts w:eastAsiaTheme="minorEastAsia"/>
          <w:b/>
          <w:bCs/>
          <w:lang w:eastAsia="zh-CN"/>
        </w:rPr>
        <w:t>4</w:t>
      </w:r>
      <w:r>
        <w:rPr>
          <w:rFonts w:eastAsiaTheme="minorEastAsia"/>
          <w:rtl/>
          <w:lang w:eastAsia="zh-CN"/>
        </w:rPr>
        <w:t xml:space="preserve"> (والعنوانان الفرعيان للفقرتين </w:t>
      </w:r>
      <w:r>
        <w:rPr>
          <w:rFonts w:eastAsiaTheme="minorEastAsia"/>
          <w:lang w:eastAsia="zh-CN"/>
        </w:rPr>
        <w:t>A</w:t>
      </w:r>
      <w:r>
        <w:rPr>
          <w:rFonts w:eastAsiaTheme="minorEastAsia"/>
          <w:rtl/>
          <w:lang w:eastAsia="zh-CN"/>
        </w:rPr>
        <w:t xml:space="preserve"> و</w:t>
      </w:r>
      <w:r>
        <w:rPr>
          <w:rFonts w:eastAsiaTheme="minorEastAsia"/>
          <w:lang w:eastAsia="zh-CN"/>
        </w:rPr>
        <w:t>1A</w:t>
      </w:r>
      <w:r>
        <w:rPr>
          <w:rFonts w:eastAsiaTheme="minorEastAsia"/>
          <w:rtl/>
          <w:lang w:eastAsia="zh-CN"/>
        </w:rPr>
        <w:t xml:space="preserve"> من ذلك الملحق) إلى أن المعلومات الواردة في التذييل المذكور يجب أن تتوفر لكل شبكة من الشبكات الساتلية. ومن ثم يتعيّن تطبيق إجراء النشر المسبق أو التنسيق على كل شبكة ساتلية. ومع أخذ الفقرة </w:t>
      </w:r>
      <w:r>
        <w:rPr>
          <w:rFonts w:eastAsiaTheme="minorEastAsia"/>
          <w:lang w:eastAsia="zh-CN"/>
        </w:rPr>
        <w:t>b.4.A</w:t>
      </w:r>
      <w:r>
        <w:rPr>
          <w:rFonts w:eastAsiaTheme="minorEastAsia"/>
          <w:rtl/>
          <w:lang w:eastAsia="zh-CN"/>
        </w:rPr>
        <w:t xml:space="preserve"> في التذييل </w:t>
      </w:r>
      <w:r>
        <w:rPr>
          <w:rFonts w:eastAsiaTheme="minorEastAsia"/>
          <w:b/>
          <w:bCs/>
          <w:lang w:eastAsia="zh-CN"/>
        </w:rPr>
        <w:t>4</w:t>
      </w:r>
      <w:r>
        <w:rPr>
          <w:rFonts w:eastAsiaTheme="minorEastAsia"/>
          <w:rtl/>
          <w:lang w:eastAsia="zh-CN"/>
        </w:rPr>
        <w:t xml:space="preserve"> في الاعتبار، يمكن أن تغطي بطاقة التبليغ عن شبكة ساتلية غير مستقرة بالنسبة إلى الأرض عدد مستوٍ مداري واحد أو أكثر وعدد ساتل واحد أو أكثر لكل مستوٍ مداري.</w:t>
      </w:r>
    </w:p>
    <w:p w14:paraId="05565128" w14:textId="77777777" w:rsidR="00B22D5D" w:rsidRPr="00B22D5D" w:rsidRDefault="00B22D5D" w:rsidP="00DB11E0">
      <w:pPr>
        <w:rPr>
          <w:rFonts w:eastAsia="SimSun"/>
          <w:rtl/>
          <w:lang w:val="en-US" w:eastAsia="zh-CN"/>
        </w:rPr>
      </w:pPr>
      <w:r w:rsidRPr="00B22D5D">
        <w:rPr>
          <w:rFonts w:eastAsia="SimSun"/>
          <w:rtl/>
          <w:lang w:val="en-US" w:eastAsia="zh-CN"/>
        </w:rPr>
        <w:t>واستناداً إلى ما تقدم:</w:t>
      </w:r>
    </w:p>
    <w:p w14:paraId="5B742334" w14:textId="77777777" w:rsidR="00B22D5D" w:rsidRPr="00B22D5D" w:rsidRDefault="00B22D5D" w:rsidP="006D5822">
      <w:pPr>
        <w:rPr>
          <w:rFonts w:eastAsia="SimSun"/>
          <w:rtl/>
          <w:lang w:val="en-US" w:eastAsia="zh-CN" w:bidi="ar-SY"/>
        </w:rPr>
      </w:pPr>
      <w:r w:rsidRPr="00B22D5D">
        <w:rPr>
          <w:rFonts w:eastAsia="SimSun"/>
          <w:i/>
          <w:iCs/>
          <w:rtl/>
          <w:lang w:val="en-US" w:eastAsia="zh-CN" w:bidi="ar-SY"/>
        </w:rPr>
        <w:t> أ )</w:t>
      </w:r>
      <w:r w:rsidRPr="00B22D5D">
        <w:rPr>
          <w:rFonts w:eastAsia="SimSun"/>
          <w:rtl/>
          <w:lang w:val="en-US" w:eastAsia="zh-CN" w:bidi="ar-SY"/>
        </w:rPr>
        <w:tab/>
      </w:r>
      <w:r w:rsidR="005C18A3">
        <w:rPr>
          <w:rFonts w:eastAsiaTheme="minorEastAsia"/>
          <w:rtl/>
          <w:lang w:eastAsia="zh-CN" w:bidi="ar-SY"/>
        </w:rPr>
        <w:t>أي نظام سواتل مستقرة بالنسبة إلى الأرض يستعمل ساتلاً واحداً ومحطتين أو أكثر من المحطات الأرضية يعتبر شبكة ساتلية؛</w:t>
      </w:r>
    </w:p>
    <w:p w14:paraId="11775A29" w14:textId="77777777" w:rsidR="00B22D5D" w:rsidRPr="00B22D5D" w:rsidRDefault="00B22D5D" w:rsidP="006D5822">
      <w:pPr>
        <w:rPr>
          <w:rFonts w:eastAsia="SimSun"/>
          <w:rtl/>
          <w:lang w:val="en-US" w:eastAsia="zh-CN" w:bidi="ar-SY"/>
        </w:rPr>
      </w:pPr>
      <w:r w:rsidRPr="00B22D5D">
        <w:rPr>
          <w:rFonts w:eastAsia="SimSun"/>
          <w:i/>
          <w:iCs/>
          <w:rtl/>
          <w:lang w:val="en-US" w:eastAsia="zh-CN" w:bidi="ar-SY"/>
        </w:rPr>
        <w:t>ب)</w:t>
      </w:r>
      <w:r w:rsidRPr="00B22D5D">
        <w:rPr>
          <w:rFonts w:eastAsia="SimSun"/>
          <w:rtl/>
          <w:lang w:val="en-US" w:eastAsia="zh-CN" w:bidi="ar-SY"/>
        </w:rPr>
        <w:tab/>
      </w:r>
      <w:r w:rsidR="005C18A3">
        <w:rPr>
          <w:rFonts w:eastAsiaTheme="minorEastAsia"/>
          <w:rtl/>
          <w:lang w:eastAsia="zh-CN" w:bidi="ar-SY"/>
        </w:rPr>
        <w:t>في حالة نظام ساتلي مستقر بالنسبة إلى الأرض تستعمل فيه الوصلة الراديوية بين محطتين أرضيتين ساتلين أو أكثر يقومان بالتواصل عبر وصلات بين السواتل، يعتبر كل ساتل من هذه السواتل مع المحطات الأرضية والفضائية المرتبطة به، حسب الاقتضاء، بمثابة شبكة ساتلية منفصلة. ويتعين التبليغ عن الوصلات التي تربط بين هذه السواتل بالنسبة إلى كل ساتل في النظام؛</w:t>
      </w:r>
    </w:p>
    <w:p w14:paraId="2ACA8953" w14:textId="77777777" w:rsidR="00B22D5D" w:rsidRPr="00B22D5D" w:rsidRDefault="00B22D5D" w:rsidP="006D5822">
      <w:pPr>
        <w:rPr>
          <w:rFonts w:eastAsia="SimSun"/>
          <w:rtl/>
          <w:lang w:val="en-US" w:eastAsia="zh-CN" w:bidi="ar-SY"/>
        </w:rPr>
      </w:pPr>
      <w:r w:rsidRPr="00B22D5D">
        <w:rPr>
          <w:rFonts w:eastAsia="SimSun"/>
          <w:i/>
          <w:iCs/>
          <w:rtl/>
          <w:lang w:val="en-US" w:eastAsia="zh-CN" w:bidi="ar-SY"/>
        </w:rPr>
        <w:t>ج)</w:t>
      </w:r>
      <w:r w:rsidRPr="00B22D5D">
        <w:rPr>
          <w:rFonts w:eastAsia="SimSun"/>
          <w:rtl/>
          <w:lang w:val="en-US" w:eastAsia="zh-CN" w:bidi="ar-SY"/>
        </w:rPr>
        <w:tab/>
      </w:r>
      <w:r w:rsidR="005C18A3">
        <w:rPr>
          <w:rFonts w:eastAsiaTheme="minorEastAsia"/>
          <w:rtl/>
          <w:lang w:eastAsia="zh-CN" w:bidi="ar-SY"/>
        </w:rPr>
        <w:t>نظام ساتلي غير مستقر بالنسبة إلى الأرض يتألف من واحد أو أكثر من المستويات المدارية يوجد في كل منها ساتل واحد أو أكثر، تتماثل فيه الخصائص، يعالج كشبكة ساتلية واحدة. وعند توصيل هذه السواتل غير المستقرة بالنسبة إلى الأرض ببعضها بوصلات تبين السواتل، يمكن التبليغ عن هذه الوصلات على أنها جزء من هذه الشبكة الساتلية؛</w:t>
      </w:r>
    </w:p>
    <w:p w14:paraId="3702F1FF" w14:textId="77777777" w:rsidR="00B22D5D" w:rsidRPr="00B22D5D" w:rsidRDefault="00B22D5D" w:rsidP="006D5822">
      <w:pPr>
        <w:rPr>
          <w:rFonts w:eastAsia="SimSun"/>
          <w:rtl/>
          <w:lang w:val="en-US" w:eastAsia="zh-CN" w:bidi="ar-SY"/>
        </w:rPr>
      </w:pPr>
      <w:r w:rsidRPr="00B22D5D">
        <w:rPr>
          <w:rFonts w:eastAsia="SimSun"/>
          <w:i/>
          <w:iCs/>
          <w:rtl/>
          <w:lang w:val="en-US" w:eastAsia="zh-CN" w:bidi="ar-SY"/>
        </w:rPr>
        <w:t>د )</w:t>
      </w:r>
      <w:r w:rsidRPr="00B22D5D">
        <w:rPr>
          <w:rFonts w:eastAsia="SimSun"/>
          <w:rtl/>
          <w:lang w:val="en-US" w:eastAsia="zh-CN" w:bidi="ar-SY"/>
        </w:rPr>
        <w:tab/>
      </w:r>
      <w:r w:rsidR="005C18A3">
        <w:rPr>
          <w:rFonts w:eastAsiaTheme="minorEastAsia"/>
          <w:rtl/>
          <w:lang w:eastAsia="zh-CN" w:bidi="ar-SY"/>
        </w:rPr>
        <w:t>في حالة نظام ساتلي مختلط يتألف من ساتل واحد مستقر بالنسبة إلى الأرض وعدد من السواتل غير المستقرة بالنسبة إلى الأرض تتواصل من خلال وصلات ساتلية غير مستقرة بالنسبة إلى الأرض/مستقرة بالنسبة إلى الأرض، يعتبر كل ساتل من السواتل المستقرة بالنسبة إلى الأرض والسواتل غير المستقرة بالنسبة إلى الأرض والمحطات الأرضية والفضائية المرتبطة بها، حسب الاقتضاء، شبكات ساتلية منفصلة. ويتم التبليغ عن الوصلات بين السواتل التي توصل السواتل غير المستقرة بالنسبة إلى الأرض بالساتل المستقر بالنسبة إلى الأرض في النظام بالنسبة إلى كل شبكة من الشبكات الساتلية في النظام.</w:t>
      </w:r>
    </w:p>
    <w:p w14:paraId="070A8A00" w14:textId="77777777" w:rsidR="00B22D5D" w:rsidRPr="00B22D5D" w:rsidRDefault="00B22D5D" w:rsidP="006D5822">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i/>
          <w:iCs/>
          <w:rtl/>
          <w:lang w:val="en-US" w:eastAsia="zh-CN" w:bidi="ar-SY"/>
        </w:rPr>
      </w:pPr>
      <w:r w:rsidRPr="00B22D5D">
        <w:rPr>
          <w:rFonts w:eastAsia="SimSun" w:hint="cs"/>
          <w:i/>
          <w:iCs/>
          <w:rtl/>
          <w:lang w:val="en-US" w:eastAsia="zh-CN" w:bidi="ar-SY"/>
        </w:rPr>
        <w:t>(</w:t>
      </w:r>
      <w:r w:rsidRPr="00B22D5D">
        <w:rPr>
          <w:rFonts w:eastAsia="SimSun"/>
          <w:i/>
          <w:iCs/>
          <w:rtl/>
          <w:lang w:val="en-US" w:eastAsia="zh-CN" w:bidi="ar-SY"/>
        </w:rPr>
        <w:t xml:space="preserve">انظر أيضاً التعليقات في </w:t>
      </w:r>
      <w:r w:rsidR="00243C04">
        <w:rPr>
          <w:rFonts w:eastAsia="SimSun" w:hint="cs"/>
          <w:i/>
          <w:iCs/>
          <w:rtl/>
          <w:lang w:val="en-US" w:eastAsia="zh-CN" w:bidi="ar-EG"/>
        </w:rPr>
        <w:t xml:space="preserve">الحاشية </w:t>
      </w:r>
      <w:r w:rsidR="00243C04">
        <w:rPr>
          <w:rFonts w:eastAsia="SimSun"/>
          <w:i/>
          <w:iCs/>
          <w:lang w:val="en-US" w:eastAsia="zh-CN" w:bidi="ar-EG"/>
        </w:rPr>
        <w:t>(*)</w:t>
      </w:r>
      <w:r w:rsidR="00243C04">
        <w:rPr>
          <w:rFonts w:eastAsia="SimSun" w:hint="cs"/>
          <w:i/>
          <w:iCs/>
          <w:rtl/>
          <w:lang w:val="en-US" w:eastAsia="zh-CN" w:bidi="ar-EG"/>
        </w:rPr>
        <w:t xml:space="preserve"> والفقرة</w:t>
      </w:r>
      <w:r w:rsidR="00243C04">
        <w:rPr>
          <w:rFonts w:eastAsia="SimSun" w:hint="cs"/>
          <w:i/>
          <w:iCs/>
          <w:rtl/>
          <w:lang w:eastAsia="zh-CN"/>
        </w:rPr>
        <w:t xml:space="preserve"> </w:t>
      </w:r>
      <w:r w:rsidRPr="00B22D5D">
        <w:rPr>
          <w:rFonts w:eastAsia="SimSun"/>
          <w:i/>
          <w:iCs/>
          <w:lang w:val="en-US" w:eastAsia="zh-CN" w:bidi="ar-SY"/>
        </w:rPr>
        <w:t>2</w:t>
      </w:r>
      <w:r w:rsidRPr="00B22D5D">
        <w:rPr>
          <w:rFonts w:eastAsia="SimSun"/>
          <w:i/>
          <w:iCs/>
          <w:lang w:eastAsia="zh-CN"/>
        </w:rPr>
        <w:t>.4</w:t>
      </w:r>
      <w:r w:rsidRPr="00B22D5D">
        <w:rPr>
          <w:rFonts w:eastAsia="SimSun"/>
          <w:i/>
          <w:iCs/>
          <w:rtl/>
          <w:lang w:val="en-US" w:eastAsia="zh-CN" w:bidi="ar-SY"/>
        </w:rPr>
        <w:t xml:space="preserve"> من القواعد الإجرائية فيما يتعلق بقبول</w:t>
      </w:r>
      <w:r w:rsidRPr="00B22D5D">
        <w:rPr>
          <w:rFonts w:eastAsia="SimSun" w:hint="cs"/>
          <w:i/>
          <w:iCs/>
          <w:rtl/>
          <w:lang w:val="en-US" w:eastAsia="zh-CN" w:bidi="ar-SY"/>
        </w:rPr>
        <w:t xml:space="preserve"> استلام</w:t>
      </w:r>
      <w:r w:rsidRPr="00B22D5D">
        <w:rPr>
          <w:rFonts w:eastAsia="SimSun"/>
          <w:i/>
          <w:iCs/>
          <w:rtl/>
          <w:lang w:val="en-US" w:eastAsia="zh-CN" w:bidi="ar-SY"/>
        </w:rPr>
        <w:t xml:space="preserve"> بطاقات التبليغ)</w:t>
      </w:r>
    </w:p>
    <w:p w14:paraId="3A5CC49E" w14:textId="77777777" w:rsidR="000832BB" w:rsidRDefault="000832BB" w:rsidP="001D7DA4">
      <w:pPr>
        <w:tabs>
          <w:tab w:val="clear" w:pos="794"/>
          <w:tab w:val="clear" w:pos="1191"/>
          <w:tab w:val="clear" w:pos="1588"/>
          <w:tab w:val="clear" w:pos="1985"/>
        </w:tabs>
        <w:spacing w:before="360"/>
        <w:jc w:val="center"/>
      </w:pPr>
      <w:r>
        <w:rPr>
          <w:rFonts w:hint="cs"/>
          <w:rtl/>
        </w:rPr>
        <w:t>___________</w:t>
      </w:r>
    </w:p>
    <w:p w14:paraId="13EFB818" w14:textId="77777777" w:rsidR="00114A6E" w:rsidRDefault="00114A6E" w:rsidP="000832BB">
      <w:pPr>
        <w:rPr>
          <w:rtl/>
        </w:rPr>
      </w:pPr>
    </w:p>
    <w:p w14:paraId="6E762A43" w14:textId="77777777" w:rsidR="004842DF" w:rsidRDefault="004842DF" w:rsidP="001D7DA4">
      <w:pPr>
        <w:tabs>
          <w:tab w:val="clear" w:pos="794"/>
          <w:tab w:val="clear" w:pos="1191"/>
          <w:tab w:val="clear" w:pos="1588"/>
          <w:tab w:val="clear" w:pos="1985"/>
        </w:tabs>
        <w:spacing w:before="0"/>
        <w:jc w:val="center"/>
        <w:rPr>
          <w:rtl/>
        </w:rPr>
        <w:sectPr w:rsidR="004842DF" w:rsidSect="00114A6E">
          <w:headerReference w:type="even" r:id="rId7"/>
          <w:headerReference w:type="default" r:id="rId8"/>
          <w:pgSz w:w="11907" w:h="16834" w:code="9"/>
          <w:pgMar w:top="1701" w:right="1985" w:bottom="1134" w:left="851" w:header="720" w:footer="482" w:gutter="0"/>
          <w:paperSrc w:first="15" w:other="15"/>
          <w:cols w:space="720"/>
          <w:vAlign w:val="both"/>
          <w:bidi/>
          <w:rtlGutter/>
        </w:sectPr>
      </w:pPr>
    </w:p>
    <w:p w14:paraId="4640395C" w14:textId="77777777" w:rsidR="004842DF" w:rsidRPr="000832BB" w:rsidRDefault="004842DF" w:rsidP="000832BB">
      <w:pPr>
        <w:rPr>
          <w:rtl/>
        </w:rPr>
      </w:pPr>
    </w:p>
    <w:sectPr w:rsidR="004842DF" w:rsidRPr="000832BB" w:rsidSect="00114A6E">
      <w:headerReference w:type="default" r:id="rId9"/>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B057C" w14:textId="77777777" w:rsidR="00D112F4" w:rsidRDefault="00D112F4">
      <w:r>
        <w:separator/>
      </w:r>
    </w:p>
  </w:endnote>
  <w:endnote w:type="continuationSeparator" w:id="0">
    <w:p w14:paraId="31113EC6" w14:textId="77777777" w:rsidR="00D112F4" w:rsidRDefault="00D1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140E0" w14:textId="77777777" w:rsidR="00D112F4" w:rsidRDefault="00D112F4">
      <w:r>
        <w:t>____________________</w:t>
      </w:r>
    </w:p>
  </w:footnote>
  <w:footnote w:type="continuationSeparator" w:id="0">
    <w:p w14:paraId="1AF3AAEC" w14:textId="77777777" w:rsidR="00D112F4" w:rsidRDefault="00D11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4842DF" w:rsidRPr="000F2A0B" w14:paraId="536D379B" w14:textId="77777777">
      <w:tc>
        <w:tcPr>
          <w:tcW w:w="1701" w:type="dxa"/>
        </w:tcPr>
        <w:p w14:paraId="4857A807" w14:textId="77777777" w:rsidR="004842DF" w:rsidRPr="00EC5A16" w:rsidRDefault="004842DF" w:rsidP="00370C37">
          <w:pPr>
            <w:pStyle w:val="Header"/>
            <w:spacing w:before="40" w:after="40" w:line="280" w:lineRule="exact"/>
            <w:jc w:val="left"/>
            <w:rPr>
              <w:sz w:val="21"/>
              <w:szCs w:val="28"/>
            </w:rPr>
          </w:pPr>
          <w:r>
            <w:rPr>
              <w:rFonts w:hint="cs"/>
              <w:sz w:val="21"/>
              <w:szCs w:val="28"/>
              <w:rtl/>
            </w:rPr>
            <w:t xml:space="preserve">الجزء </w:t>
          </w:r>
          <w:r w:rsidRPr="00EC5A16">
            <w:rPr>
              <w:sz w:val="21"/>
              <w:szCs w:val="28"/>
            </w:rPr>
            <w:t>1A</w:t>
          </w:r>
        </w:p>
      </w:tc>
      <w:tc>
        <w:tcPr>
          <w:tcW w:w="1701" w:type="dxa"/>
        </w:tcPr>
        <w:p w14:paraId="65D5FBB8" w14:textId="77777777" w:rsidR="004842DF" w:rsidRPr="00EC5A16" w:rsidRDefault="004842DF" w:rsidP="00370C37">
          <w:pPr>
            <w:pStyle w:val="Header"/>
            <w:spacing w:before="40" w:after="40" w:line="280" w:lineRule="exact"/>
            <w:jc w:val="left"/>
            <w:rPr>
              <w:sz w:val="21"/>
              <w:szCs w:val="28"/>
            </w:rPr>
          </w:pPr>
          <w:r w:rsidRPr="00EC5A16">
            <w:rPr>
              <w:sz w:val="21"/>
              <w:szCs w:val="28"/>
            </w:rPr>
            <w:t>AR1</w:t>
          </w:r>
        </w:p>
      </w:tc>
      <w:tc>
        <w:tcPr>
          <w:tcW w:w="1701" w:type="dxa"/>
        </w:tcPr>
        <w:p w14:paraId="5D26A040" w14:textId="77777777" w:rsidR="004842DF" w:rsidRPr="00EC5A16" w:rsidRDefault="004842DF" w:rsidP="00370C37">
          <w:pPr>
            <w:pStyle w:val="Header"/>
            <w:spacing w:before="40" w:after="40" w:line="280" w:lineRule="exact"/>
            <w:jc w:val="left"/>
            <w:rPr>
              <w:sz w:val="21"/>
              <w:szCs w:val="28"/>
              <w:rtl/>
            </w:rPr>
          </w:pPr>
          <w:r w:rsidRPr="000F2A0B">
            <w:rPr>
              <w:rFonts w:hint="cs"/>
              <w:sz w:val="21"/>
              <w:szCs w:val="28"/>
              <w:rtl/>
            </w:rPr>
            <w:t xml:space="preserve">الصفحة </w:t>
          </w:r>
          <w:r w:rsidRPr="00EC5A16">
            <w:rPr>
              <w:rStyle w:val="PageNumber"/>
              <w:sz w:val="21"/>
              <w:szCs w:val="21"/>
            </w:rPr>
            <w:fldChar w:fldCharType="begin"/>
          </w:r>
          <w:r w:rsidRPr="00EC5A16">
            <w:rPr>
              <w:rStyle w:val="PageNumber"/>
              <w:sz w:val="21"/>
              <w:szCs w:val="21"/>
            </w:rPr>
            <w:instrText xml:space="preserve"> PAGE </w:instrText>
          </w:r>
          <w:r w:rsidRPr="00EC5A16">
            <w:rPr>
              <w:rStyle w:val="PageNumber"/>
              <w:sz w:val="21"/>
              <w:szCs w:val="21"/>
            </w:rPr>
            <w:fldChar w:fldCharType="separate"/>
          </w:r>
          <w:r w:rsidR="004D6FB1">
            <w:rPr>
              <w:rStyle w:val="PageNumber"/>
              <w:noProof/>
              <w:sz w:val="21"/>
              <w:szCs w:val="21"/>
              <w:rtl/>
            </w:rPr>
            <w:t>2</w:t>
          </w:r>
          <w:r w:rsidRPr="00EC5A16">
            <w:rPr>
              <w:rStyle w:val="PageNumber"/>
              <w:sz w:val="21"/>
              <w:szCs w:val="21"/>
            </w:rPr>
            <w:fldChar w:fldCharType="end"/>
          </w:r>
        </w:p>
      </w:tc>
      <w:tc>
        <w:tcPr>
          <w:tcW w:w="1701" w:type="dxa"/>
        </w:tcPr>
        <w:p w14:paraId="2DDEB25C" w14:textId="77777777" w:rsidR="004842DF" w:rsidRPr="000F2A0B" w:rsidRDefault="004842DF" w:rsidP="001E51F9">
          <w:pPr>
            <w:pStyle w:val="Header"/>
            <w:spacing w:before="40" w:after="40" w:line="280" w:lineRule="exact"/>
            <w:jc w:val="left"/>
            <w:rPr>
              <w:sz w:val="21"/>
              <w:szCs w:val="28"/>
              <w:rtl/>
            </w:rPr>
          </w:pPr>
          <w:r w:rsidRPr="000F2A0B">
            <w:rPr>
              <w:rFonts w:hint="cs"/>
              <w:sz w:val="21"/>
              <w:szCs w:val="28"/>
              <w:rtl/>
            </w:rPr>
            <w:t xml:space="preserve">المراجعة </w:t>
          </w:r>
          <w:r w:rsidR="001E51F9">
            <w:rPr>
              <w:rFonts w:hint="cs"/>
              <w:sz w:val="21"/>
              <w:szCs w:val="28"/>
              <w:rtl/>
            </w:rPr>
            <w:t>-</w:t>
          </w:r>
        </w:p>
      </w:tc>
    </w:tr>
  </w:tbl>
  <w:p w14:paraId="1FFB1A64" w14:textId="77777777" w:rsidR="004842DF" w:rsidRPr="007358FA" w:rsidRDefault="004842DF"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1E51F9" w:rsidRPr="000F2A0B" w14:paraId="7E1FB437" w14:textId="77777777" w:rsidTr="00523634">
      <w:trPr>
        <w:jc w:val="right"/>
      </w:trPr>
      <w:tc>
        <w:tcPr>
          <w:tcW w:w="1701" w:type="dxa"/>
        </w:tcPr>
        <w:p w14:paraId="74BE8B4E" w14:textId="77777777" w:rsidR="001E51F9" w:rsidRPr="000F2A0B" w:rsidRDefault="001E51F9" w:rsidP="001E51F9">
          <w:pPr>
            <w:pStyle w:val="Header"/>
            <w:spacing w:before="40" w:after="40" w:line="280" w:lineRule="exact"/>
            <w:jc w:val="left"/>
            <w:rPr>
              <w:sz w:val="21"/>
              <w:szCs w:val="28"/>
              <w:rtl/>
              <w:lang w:bidi="ar-EG"/>
            </w:rPr>
          </w:pPr>
          <w:r>
            <w:rPr>
              <w:rFonts w:hint="cs"/>
              <w:sz w:val="21"/>
              <w:szCs w:val="28"/>
              <w:rtl/>
            </w:rPr>
            <w:t xml:space="preserve">الجزء </w:t>
          </w:r>
          <w:r>
            <w:rPr>
              <w:sz w:val="21"/>
              <w:szCs w:val="28"/>
              <w:lang w:val="en-US"/>
            </w:rPr>
            <w:t>1A</w:t>
          </w:r>
        </w:p>
      </w:tc>
      <w:tc>
        <w:tcPr>
          <w:tcW w:w="1701" w:type="dxa"/>
        </w:tcPr>
        <w:p w14:paraId="4CF335D5" w14:textId="77777777" w:rsidR="001E51F9" w:rsidRPr="00982668" w:rsidRDefault="001E51F9" w:rsidP="001E51F9">
          <w:pPr>
            <w:pStyle w:val="Header"/>
            <w:spacing w:before="40" w:after="40" w:line="280" w:lineRule="exact"/>
            <w:jc w:val="left"/>
            <w:rPr>
              <w:sz w:val="21"/>
              <w:szCs w:val="28"/>
              <w:lang w:val="en-US"/>
            </w:rPr>
          </w:pPr>
          <w:r>
            <w:rPr>
              <w:sz w:val="21"/>
              <w:szCs w:val="28"/>
              <w:lang w:val="en-US"/>
            </w:rPr>
            <w:t>AR1</w:t>
          </w:r>
        </w:p>
      </w:tc>
      <w:tc>
        <w:tcPr>
          <w:tcW w:w="1701" w:type="dxa"/>
        </w:tcPr>
        <w:p w14:paraId="29650805" w14:textId="77777777" w:rsidR="001E51F9" w:rsidRPr="000F2A0B" w:rsidRDefault="001E51F9" w:rsidP="001E51F9">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4D6FB1">
            <w:rPr>
              <w:rStyle w:val="PageNumber"/>
              <w:noProof/>
              <w:sz w:val="21"/>
              <w:szCs w:val="21"/>
              <w:rtl/>
            </w:rPr>
            <w:t>1</w:t>
          </w:r>
          <w:r w:rsidRPr="000F2A0B">
            <w:rPr>
              <w:rStyle w:val="PageNumber"/>
              <w:sz w:val="21"/>
              <w:szCs w:val="21"/>
            </w:rPr>
            <w:fldChar w:fldCharType="end"/>
          </w:r>
        </w:p>
      </w:tc>
      <w:tc>
        <w:tcPr>
          <w:tcW w:w="1701" w:type="dxa"/>
        </w:tcPr>
        <w:p w14:paraId="23F160EA" w14:textId="77777777" w:rsidR="001E51F9" w:rsidRPr="000F2A0B" w:rsidRDefault="001E51F9" w:rsidP="001E51F9">
          <w:pPr>
            <w:pStyle w:val="Header"/>
            <w:spacing w:before="40" w:after="40" w:line="280" w:lineRule="exact"/>
            <w:jc w:val="left"/>
            <w:rPr>
              <w:sz w:val="21"/>
              <w:szCs w:val="28"/>
              <w:rtl/>
            </w:rPr>
          </w:pPr>
          <w:r w:rsidRPr="000F2A0B">
            <w:rPr>
              <w:rFonts w:hint="cs"/>
              <w:sz w:val="21"/>
              <w:szCs w:val="28"/>
              <w:rtl/>
            </w:rPr>
            <w:t>المراجعة -</w:t>
          </w:r>
        </w:p>
      </w:tc>
    </w:tr>
  </w:tbl>
  <w:p w14:paraId="21519F90" w14:textId="77777777" w:rsidR="001E51F9" w:rsidRPr="004D6FB1" w:rsidRDefault="001E51F9">
    <w:pPr>
      <w:pStyle w:val="Header"/>
      <w:rPr>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A1C9B" w14:textId="77777777" w:rsidR="004842DF" w:rsidRPr="004842DF" w:rsidRDefault="004842DF" w:rsidP="004842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1175388333">
    <w:abstractNumId w:val="10"/>
  </w:num>
  <w:num w:numId="2" w16cid:durableId="991830645">
    <w:abstractNumId w:val="6"/>
  </w:num>
  <w:num w:numId="3" w16cid:durableId="1765612994">
    <w:abstractNumId w:val="5"/>
  </w:num>
  <w:num w:numId="4" w16cid:durableId="67269694">
    <w:abstractNumId w:val="4"/>
  </w:num>
  <w:num w:numId="5" w16cid:durableId="2018340145">
    <w:abstractNumId w:val="8"/>
  </w:num>
  <w:num w:numId="6" w16cid:durableId="131561951">
    <w:abstractNumId w:val="3"/>
  </w:num>
  <w:num w:numId="7" w16cid:durableId="1071540095">
    <w:abstractNumId w:val="2"/>
  </w:num>
  <w:num w:numId="8" w16cid:durableId="1206717417">
    <w:abstractNumId w:val="1"/>
  </w:num>
  <w:num w:numId="9" w16cid:durableId="1187020658">
    <w:abstractNumId w:val="0"/>
  </w:num>
  <w:num w:numId="10" w16cid:durableId="66802260">
    <w:abstractNumId w:val="9"/>
  </w:num>
  <w:num w:numId="11" w16cid:durableId="21176298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1E07"/>
    <w:rsid w:val="000832BB"/>
    <w:rsid w:val="000955D1"/>
    <w:rsid w:val="000B4908"/>
    <w:rsid w:val="000E0A79"/>
    <w:rsid w:val="000F2A0B"/>
    <w:rsid w:val="001139B6"/>
    <w:rsid w:val="00114A6E"/>
    <w:rsid w:val="00124777"/>
    <w:rsid w:val="00135D48"/>
    <w:rsid w:val="0018175D"/>
    <w:rsid w:val="001C313A"/>
    <w:rsid w:val="001D7DA4"/>
    <w:rsid w:val="001E2E7E"/>
    <w:rsid w:val="001E51F9"/>
    <w:rsid w:val="002301AE"/>
    <w:rsid w:val="00234110"/>
    <w:rsid w:val="00243C04"/>
    <w:rsid w:val="002466FF"/>
    <w:rsid w:val="002631B1"/>
    <w:rsid w:val="002715B5"/>
    <w:rsid w:val="002C0904"/>
    <w:rsid w:val="002C55F4"/>
    <w:rsid w:val="002D6D41"/>
    <w:rsid w:val="002E5666"/>
    <w:rsid w:val="00302F77"/>
    <w:rsid w:val="00335BC9"/>
    <w:rsid w:val="00345822"/>
    <w:rsid w:val="00360881"/>
    <w:rsid w:val="0037060E"/>
    <w:rsid w:val="00370C37"/>
    <w:rsid w:val="00401E44"/>
    <w:rsid w:val="004243C7"/>
    <w:rsid w:val="00463414"/>
    <w:rsid w:val="004842DF"/>
    <w:rsid w:val="004A61BE"/>
    <w:rsid w:val="004C69DD"/>
    <w:rsid w:val="004D6FB1"/>
    <w:rsid w:val="004E6A86"/>
    <w:rsid w:val="005C18A3"/>
    <w:rsid w:val="0060607E"/>
    <w:rsid w:val="00607130"/>
    <w:rsid w:val="006575F0"/>
    <w:rsid w:val="0066056C"/>
    <w:rsid w:val="006B3E33"/>
    <w:rsid w:val="006B5D10"/>
    <w:rsid w:val="006C1EF7"/>
    <w:rsid w:val="006D5822"/>
    <w:rsid w:val="006E4BF1"/>
    <w:rsid w:val="00724758"/>
    <w:rsid w:val="007358FA"/>
    <w:rsid w:val="00770B96"/>
    <w:rsid w:val="0078123B"/>
    <w:rsid w:val="007F7348"/>
    <w:rsid w:val="00801548"/>
    <w:rsid w:val="00867AB1"/>
    <w:rsid w:val="008B0B84"/>
    <w:rsid w:val="008B631A"/>
    <w:rsid w:val="009158D2"/>
    <w:rsid w:val="00972E34"/>
    <w:rsid w:val="00982668"/>
    <w:rsid w:val="00997E6F"/>
    <w:rsid w:val="009B3898"/>
    <w:rsid w:val="009F171D"/>
    <w:rsid w:val="00A0604B"/>
    <w:rsid w:val="00A7482F"/>
    <w:rsid w:val="00AC41A3"/>
    <w:rsid w:val="00AD269C"/>
    <w:rsid w:val="00B22D5D"/>
    <w:rsid w:val="00B57B14"/>
    <w:rsid w:val="00B765E7"/>
    <w:rsid w:val="00B76F73"/>
    <w:rsid w:val="00BE0D0E"/>
    <w:rsid w:val="00BF3BC8"/>
    <w:rsid w:val="00BF5096"/>
    <w:rsid w:val="00C002ED"/>
    <w:rsid w:val="00C27CA9"/>
    <w:rsid w:val="00C7708E"/>
    <w:rsid w:val="00CA4B7C"/>
    <w:rsid w:val="00CB3F69"/>
    <w:rsid w:val="00D112F4"/>
    <w:rsid w:val="00DB11E0"/>
    <w:rsid w:val="00DE6CD7"/>
    <w:rsid w:val="00DF5487"/>
    <w:rsid w:val="00E003AC"/>
    <w:rsid w:val="00E16104"/>
    <w:rsid w:val="00E5025F"/>
    <w:rsid w:val="00E7261D"/>
    <w:rsid w:val="00E94A35"/>
    <w:rsid w:val="00EB4871"/>
    <w:rsid w:val="00EB7F8D"/>
    <w:rsid w:val="00EC59CD"/>
    <w:rsid w:val="00EC5A16"/>
    <w:rsid w:val="00EE63B8"/>
    <w:rsid w:val="00F419C1"/>
    <w:rsid w:val="00F6061F"/>
    <w:rsid w:val="00FC615E"/>
    <w:rsid w:val="00FD57F2"/>
    <w:rsid w:val="00FE36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26C96E"/>
  <w15:docId w15:val="{A11749C3-1BE2-405E-A6A9-56CD14F57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B57B14"/>
    <w:pPr>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56</TotalTime>
  <Pages>3</Pages>
  <Words>588</Words>
  <Characters>3356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32</cp:revision>
  <cp:lastPrinted>2017-04-10T14:02:00Z</cp:lastPrinted>
  <dcterms:created xsi:type="dcterms:W3CDTF">2012-09-07T07:18:00Z</dcterms:created>
  <dcterms:modified xsi:type="dcterms:W3CDTF">2025-12-02T14:49:00Z</dcterms:modified>
</cp:coreProperties>
</file>