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DD59E" w14:textId="77777777" w:rsidR="00A33EDD" w:rsidRPr="00800759" w:rsidRDefault="00A33EDD" w:rsidP="00A33EDD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1134" w:hanging="1134"/>
        <w:jc w:val="center"/>
        <w:outlineLvl w:val="0"/>
        <w:rPr>
          <w:b/>
          <w:bCs/>
          <w:color w:val="000000"/>
          <w:sz w:val="26"/>
          <w:szCs w:val="26"/>
        </w:rPr>
      </w:pPr>
      <w:bookmarkStart w:id="0" w:name="_Toc103501735"/>
      <w:r w:rsidRPr="00800759">
        <w:rPr>
          <w:b/>
          <w:bCs/>
          <w:color w:val="000000"/>
          <w:sz w:val="26"/>
          <w:szCs w:val="26"/>
        </w:rPr>
        <w:t>Правила, касающиеся</w:t>
      </w:r>
      <w:bookmarkEnd w:id="0"/>
    </w:p>
    <w:p w14:paraId="2318FBA5" w14:textId="77777777" w:rsidR="000B6823" w:rsidRPr="00800759" w:rsidRDefault="00A33EDD" w:rsidP="003F1140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480"/>
        <w:ind w:left="1134" w:hanging="1134"/>
        <w:jc w:val="center"/>
        <w:outlineLvl w:val="1"/>
        <w:rPr>
          <w:b/>
          <w:bCs/>
          <w:color w:val="000000"/>
          <w:sz w:val="26"/>
          <w:szCs w:val="26"/>
        </w:rPr>
      </w:pPr>
      <w:bookmarkStart w:id="1" w:name="_Toc103501736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ПРИЛОЖЕНИЯ  </w:t>
      </w:r>
      <w:r w:rsidRPr="00800759">
        <w:rPr>
          <w:rStyle w:val="href2"/>
          <w:b/>
          <w:bCs/>
          <w:sz w:val="26"/>
          <w:szCs w:val="26"/>
        </w:rPr>
        <w:t>4</w:t>
      </w:r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 к </w:t>
      </w:r>
      <w:bookmarkEnd w:id="1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>РР</w:t>
      </w:r>
    </w:p>
    <w:p w14:paraId="107ABC57" w14:textId="77777777" w:rsidR="000B6823" w:rsidRPr="00432F17" w:rsidRDefault="000B6823" w:rsidP="00AE28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56" w:right="7938"/>
        <w:outlineLvl w:val="7"/>
        <w:rPr>
          <w:rFonts w:asciiTheme="majorBidi" w:hAnsiTheme="majorBidi" w:cstheme="majorBidi"/>
          <w:b/>
          <w:bCs/>
          <w:color w:val="000000"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</w:t>
      </w:r>
      <w:r w:rsidR="00243DAD">
        <w:rPr>
          <w:rFonts w:asciiTheme="majorBidi" w:hAnsiTheme="majorBidi" w:cstheme="majorBidi"/>
          <w:b/>
          <w:bCs/>
          <w:color w:val="000000"/>
          <w:szCs w:val="22"/>
        </w:rPr>
        <w:t xml:space="preserve"> 1</w:t>
      </w:r>
    </w:p>
    <w:p w14:paraId="4F980F73" w14:textId="77777777" w:rsidR="000B6823" w:rsidRPr="00800759" w:rsidRDefault="00B74D28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2608"/>
          <w:tab w:val="left" w:pos="3345"/>
        </w:tabs>
        <w:spacing w:before="600"/>
        <w:ind w:left="28" w:right="7647"/>
        <w:outlineLvl w:val="7"/>
        <w:rPr>
          <w:b/>
          <w:bCs/>
          <w:color w:val="000000"/>
          <w:szCs w:val="22"/>
        </w:rPr>
      </w:pPr>
      <w:bookmarkStart w:id="2" w:name="_Toc103501556"/>
      <w:r w:rsidRPr="00800759">
        <w:rPr>
          <w:rFonts w:cs="TimesNewRoman,Bold"/>
          <w:b/>
          <w:bCs/>
          <w:szCs w:val="22"/>
        </w:rPr>
        <w:t>ПУНКТ</w:t>
      </w:r>
      <w:r w:rsidRPr="00800759">
        <w:rPr>
          <w:b/>
          <w:bCs/>
          <w:color w:val="000000"/>
          <w:szCs w:val="22"/>
        </w:rPr>
        <w:t xml:space="preserve"> </w:t>
      </w:r>
      <w:r w:rsidR="00243DAD">
        <w:rPr>
          <w:b/>
          <w:bCs/>
          <w:color w:val="000000"/>
          <w:szCs w:val="22"/>
        </w:rPr>
        <w:t>3A1</w:t>
      </w:r>
    </w:p>
    <w:p w14:paraId="17959150" w14:textId="6483106C" w:rsidR="000B6823" w:rsidRPr="00800759" w:rsidRDefault="000B6823" w:rsidP="006957CF">
      <w:pPr>
        <w:spacing w:before="240"/>
      </w:pPr>
      <w:r w:rsidRPr="00800759">
        <w:t xml:space="preserve">При подаче заявки по процедуре Статьи </w:t>
      </w:r>
      <w:r w:rsidRPr="00800759">
        <w:rPr>
          <w:rFonts w:ascii="TimesNewRoman,Bold" w:hAnsi="TimesNewRoman,Bold" w:cs="TimesNewRoman,Bold"/>
          <w:b/>
          <w:bCs/>
        </w:rPr>
        <w:t>11</w:t>
      </w:r>
      <w:r w:rsidRPr="00CA1440">
        <w:t xml:space="preserve"> </w:t>
      </w:r>
      <w:r w:rsidRPr="00800759">
        <w:t xml:space="preserve">требуется, чтобы администрации предоставляли информацию о позывном сигнале или других используемых опознавательных сигналах, требуемых в соответствии с пп. </w:t>
      </w:r>
      <w:r w:rsidRPr="003F4515">
        <w:rPr>
          <w:b/>
          <w:bCs/>
        </w:rPr>
        <w:t>19.7–19.9</w:t>
      </w:r>
      <w:r w:rsidRPr="003F4515">
        <w:t xml:space="preserve"> и </w:t>
      </w:r>
      <w:r w:rsidRPr="003F4515">
        <w:rPr>
          <w:b/>
          <w:bCs/>
        </w:rPr>
        <w:t>19.29</w:t>
      </w:r>
      <w:r w:rsidRPr="00800759">
        <w:t xml:space="preserve">. Принимая во внимание разнообразие особых соглашений, заключенных между администрациями и относящихся к заявлениям частотных присвоений, Комитет поручил Бюро не проводить систематический контроль позывных сигналов, упомянутых в п. </w:t>
      </w:r>
      <w:r w:rsidRPr="003F4515">
        <w:rPr>
          <w:b/>
          <w:bCs/>
        </w:rPr>
        <w:t>19.29</w:t>
      </w:r>
      <w:r w:rsidRPr="003F4515">
        <w:t xml:space="preserve">, </w:t>
      </w:r>
      <w:r w:rsidRPr="00800759">
        <w:t>во время подтверждения и проверки заявок. Однако если устанавливается несоответствие позывного сигнала международным сериям позывных сигналов, то заявляющая администрация должна быть проинформирована об этом.</w:t>
      </w:r>
    </w:p>
    <w:p w14:paraId="5FF45811" w14:textId="77777777" w:rsidR="000B6823" w:rsidRPr="00432F17" w:rsidRDefault="000B6823" w:rsidP="00432F1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85" w:right="7938"/>
        <w:outlineLvl w:val="7"/>
        <w:rPr>
          <w:rFonts w:asciiTheme="majorBidi" w:hAnsiTheme="majorBidi" w:cstheme="majorBidi"/>
          <w:b/>
          <w:bCs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 2</w:t>
      </w:r>
    </w:p>
    <w:p w14:paraId="3BE3723F" w14:textId="77777777" w:rsidR="00432F17" w:rsidRDefault="00432F17" w:rsidP="00AE28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71"/>
          <w:tab w:val="left" w:pos="2268"/>
        </w:tabs>
        <w:spacing w:before="200"/>
        <w:ind w:left="42"/>
        <w:jc w:val="left"/>
        <w:rPr>
          <w:b/>
          <w:bCs/>
        </w:rPr>
      </w:pPr>
      <w:r w:rsidRPr="00833E27">
        <w:rPr>
          <w:b/>
          <w:bCs/>
        </w:rPr>
        <w:t xml:space="preserve">Обязательство выполнения пункта 1.4 раздела </w:t>
      </w:r>
      <w:r w:rsidRPr="00833E27">
        <w:rPr>
          <w:b/>
          <w:bCs/>
          <w:i/>
          <w:iCs/>
        </w:rPr>
        <w:t xml:space="preserve">решает </w:t>
      </w:r>
      <w:r w:rsidRPr="00833E27">
        <w:rPr>
          <w:b/>
          <w:bCs/>
        </w:rPr>
        <w:t>Резолюции 156 (ВКР-15)</w:t>
      </w:r>
    </w:p>
    <w:p w14:paraId="1FA2AE36" w14:textId="77777777" w:rsidR="00432F17" w:rsidRPr="00833E27" w:rsidRDefault="00432F17" w:rsidP="00432F17">
      <w:pPr>
        <w:rPr>
          <w:bCs/>
        </w:rPr>
      </w:pPr>
      <w:r w:rsidRPr="00833E27">
        <w:t xml:space="preserve">Комитет отметил, что в пункте 1.5 раздела </w:t>
      </w:r>
      <w:r w:rsidRPr="00833E27">
        <w:rPr>
          <w:i/>
          <w:iCs/>
        </w:rPr>
        <w:t xml:space="preserve">решает </w:t>
      </w:r>
      <w:r w:rsidRPr="00833E27">
        <w:t>Резолюции </w:t>
      </w:r>
      <w:r w:rsidRPr="00833E27">
        <w:rPr>
          <w:b/>
          <w:bCs/>
        </w:rPr>
        <w:t>156 (ВКР-15)</w:t>
      </w:r>
      <w:r w:rsidRPr="00833E27">
        <w:t xml:space="preserve"> содержится требование к администрациям представлять в Бюро обязательство о выполнении пункта 1.4 раздела </w:t>
      </w:r>
      <w:r w:rsidRPr="00833E27">
        <w:rPr>
          <w:i/>
          <w:iCs/>
        </w:rPr>
        <w:t>решает</w:t>
      </w:r>
      <w:r w:rsidRPr="00833E27">
        <w:t xml:space="preserve"> указанной Резолюции.</w:t>
      </w:r>
      <w:r w:rsidRPr="00833E27">
        <w:rPr>
          <w:bCs/>
        </w:rPr>
        <w:t xml:space="preserve"> Комитет отметил далее, что этот элемент данных является обязательными </w:t>
      </w:r>
      <w:r w:rsidRPr="00833E27">
        <w:rPr>
          <w:color w:val="000000"/>
        </w:rPr>
        <w:t xml:space="preserve">в случае заявления или координации </w:t>
      </w:r>
      <w:r w:rsidRPr="00833E27">
        <w:t>геостационарной</w:t>
      </w:r>
      <w:r w:rsidRPr="00833E27">
        <w:rPr>
          <w:color w:val="000000"/>
        </w:rPr>
        <w:t xml:space="preserve"> спутниковой сети, использующей полосы частот</w:t>
      </w:r>
      <w:r w:rsidRPr="00833E27">
        <w:t xml:space="preserve"> 19,7–20,2 ГГц и 29,5–30,0 ГГц для земных станций, находящихся в движении и осуществляющих связь в фиксированной спутниковой службе.</w:t>
      </w:r>
    </w:p>
    <w:p w14:paraId="3F02007E" w14:textId="77777777" w:rsidR="00432F17" w:rsidRPr="00833E27" w:rsidRDefault="00432F17" w:rsidP="00432F17">
      <w:r w:rsidRPr="00833E27">
        <w:t>Однако этот элемент данных отсутствует в Приложении </w:t>
      </w:r>
      <w:r w:rsidRPr="00833E27">
        <w:rPr>
          <w:b/>
          <w:bCs/>
        </w:rPr>
        <w:t>4</w:t>
      </w:r>
      <w:r w:rsidRPr="00833E27">
        <w:t>. Для того чтобы исправить данное несоответствие, Комитет принял решение о том, что администрация должна представлять, в дополнение к соответствующим характеристикам, перечисленным в Приложении </w:t>
      </w:r>
      <w:r w:rsidRPr="00833E27">
        <w:rPr>
          <w:b/>
        </w:rPr>
        <w:t>4</w:t>
      </w:r>
      <w:r w:rsidRPr="00833E27">
        <w:t xml:space="preserve">, и в соответствии с пунктом 1.5 раздела </w:t>
      </w:r>
      <w:r w:rsidRPr="00833E27">
        <w:rPr>
          <w:i/>
          <w:iCs/>
        </w:rPr>
        <w:t xml:space="preserve">решает </w:t>
      </w:r>
      <w:r w:rsidRPr="00833E27">
        <w:t>Резолюции </w:t>
      </w:r>
      <w:r w:rsidRPr="00833E27">
        <w:rPr>
          <w:b/>
          <w:bCs/>
        </w:rPr>
        <w:t>156</w:t>
      </w:r>
      <w:r w:rsidRPr="00833E27">
        <w:t xml:space="preserve"> </w:t>
      </w:r>
      <w:r w:rsidRPr="00833E27">
        <w:rPr>
          <w:b/>
          <w:bCs/>
        </w:rPr>
        <w:t>(ВКР-15)</w:t>
      </w:r>
      <w:r w:rsidRPr="00833E27">
        <w:t xml:space="preserve">, обязательство выполнять пункт 1.4 раздела </w:t>
      </w:r>
      <w:r w:rsidRPr="00833E27">
        <w:rPr>
          <w:i/>
          <w:iCs/>
        </w:rPr>
        <w:t>решает</w:t>
      </w:r>
      <w:r w:rsidRPr="00833E27">
        <w:t xml:space="preserve"> указанной Резолюции. Бюро далее будет учитывать этот элемент данных при выполнении проверки полноты представленных данных и при рассмотрении в соответствии с пп. </w:t>
      </w:r>
      <w:r w:rsidRPr="00833E27">
        <w:rPr>
          <w:b/>
          <w:bCs/>
        </w:rPr>
        <w:t>9.35</w:t>
      </w:r>
      <w:r w:rsidRPr="00833E27">
        <w:t xml:space="preserve"> и </w:t>
      </w:r>
      <w:r w:rsidRPr="00833E27">
        <w:rPr>
          <w:b/>
          <w:bCs/>
        </w:rPr>
        <w:t>11.31</w:t>
      </w:r>
      <w:r w:rsidRPr="00833E27">
        <w:t xml:space="preserve"> Регламента радиосвязи.</w:t>
      </w:r>
    </w:p>
    <w:p w14:paraId="4AD9C86D" w14:textId="77777777" w:rsidR="00AE28B7" w:rsidRDefault="00AE28B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14:paraId="1FEAD198" w14:textId="77777777" w:rsidR="00432F17" w:rsidRPr="00432F17" w:rsidRDefault="00432F17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</w:pPr>
      <w:r w:rsidRPr="00432F17">
        <w:rPr>
          <w:b/>
          <w:bCs/>
          <w:color w:val="000000"/>
        </w:rPr>
        <w:lastRenderedPageBreak/>
        <w:t>A.17.d</w:t>
      </w:r>
    </w:p>
    <w:p w14:paraId="0E777F73" w14:textId="77777777" w:rsidR="00432F17" w:rsidRPr="00833E27" w:rsidRDefault="00432F17" w:rsidP="00432F17">
      <w:pPr>
        <w:rPr>
          <w:rFonts w:eastAsia="SimSun"/>
        </w:rPr>
      </w:pPr>
      <w:r w:rsidRPr="00833E27">
        <w:rPr>
          <w:rFonts w:eastAsia="SimSun"/>
        </w:rPr>
        <w:t>ВКР-15 внесла изменения в пункт A.17.d, с тем чтобы предусмотреть представление средней плотности потока мощности (п.п.м.), создаваемой у поверхности Земли любым датчиком на борту космического корабля, для полосы частот 9900–10 400 МГц для спутниковой системы, работающей в спутниковой службе исследования Земли (активной), как определено в Таблице </w:t>
      </w:r>
      <w:r w:rsidRPr="003B7A3B">
        <w:rPr>
          <w:rFonts w:eastAsia="SimSun"/>
          <w:b/>
          <w:bCs/>
        </w:rPr>
        <w:t>21-4</w:t>
      </w:r>
      <w:r w:rsidRPr="00833E27">
        <w:rPr>
          <w:rFonts w:eastAsia="SimSun"/>
        </w:rPr>
        <w:t>. В силу того, что предельные значения зависят от углов прихода, для каждого угла прихода должна быть представлена средняя п.п.м. Формула для определения средней п.п.м., данная в Таблице </w:t>
      </w:r>
      <w:r w:rsidRPr="003B7A3B">
        <w:rPr>
          <w:rFonts w:eastAsia="SimSun"/>
          <w:b/>
          <w:bCs/>
        </w:rPr>
        <w:t>21-4</w:t>
      </w:r>
      <w:r w:rsidRPr="00833E27">
        <w:rPr>
          <w:rFonts w:eastAsia="SimSun"/>
        </w:rPr>
        <w:t>, приведена в п. </w:t>
      </w:r>
      <w:r w:rsidRPr="00833E27">
        <w:rPr>
          <w:rFonts w:eastAsia="SimSun"/>
          <w:b/>
          <w:bCs/>
        </w:rPr>
        <w:t>21.16.8</w:t>
      </w:r>
      <w:r w:rsidRPr="00833E27">
        <w:rPr>
          <w:rFonts w:eastAsia="SimSun"/>
        </w:rPr>
        <w:t>. Бюро может рассчитывать среднюю плотность потока мощности на основании углов прихода, если представлена информация о необходимой ширине полосы (пункт C.7a), которая не требуется в настоящее время для активных или пассивных датчиков. Информация о необходимой ширине полосы также требуется для Бюро в целях рассмотрения соответствия представленных частотных присвоений п. </w:t>
      </w:r>
      <w:r w:rsidRPr="00833E27">
        <w:rPr>
          <w:rFonts w:eastAsia="SimSun"/>
          <w:b/>
          <w:bCs/>
        </w:rPr>
        <w:t>5.474A</w:t>
      </w:r>
      <w:r w:rsidRPr="00833E27">
        <w:rPr>
          <w:rFonts w:eastAsia="SimSun"/>
        </w:rPr>
        <w:t>.</w:t>
      </w:r>
    </w:p>
    <w:p w14:paraId="19612058" w14:textId="77777777" w:rsidR="00432F17" w:rsidRPr="00833E27" w:rsidRDefault="00432F17" w:rsidP="00AE28B7">
      <w:pPr>
        <w:rPr>
          <w:rFonts w:eastAsia="SimSun"/>
        </w:rPr>
      </w:pPr>
      <w:r w:rsidRPr="00833E27">
        <w:rPr>
          <w:rFonts w:eastAsia="SimSun"/>
        </w:rPr>
        <w:t xml:space="preserve">В связи с вышеизложенным Комитет принял решение о том, что администрации должны представлять в дополнение </w:t>
      </w:r>
      <w:r w:rsidRPr="00833E27">
        <w:t>к соответствующим характеристикам, перечисленным в Приложении </w:t>
      </w:r>
      <w:r w:rsidRPr="00833E27">
        <w:rPr>
          <w:b/>
        </w:rPr>
        <w:t>4</w:t>
      </w:r>
      <w:r w:rsidRPr="00833E27">
        <w:t>, информацию о ширине полосы излучений</w:t>
      </w:r>
      <w:r w:rsidRPr="00833E27">
        <w:rPr>
          <w:rFonts w:eastAsia="SimSun"/>
        </w:rPr>
        <w:t xml:space="preserve"> SAR в пункте C.7.a (необходимая ширина полосы) для активных датчиков, работающих в спутниковой службе исследования Земли (активной) в полосе частот 9900–10 400 МГц, вместо представления средней п.п.м. </w:t>
      </w:r>
      <w:r w:rsidRPr="00833E27">
        <w:t>Бюро далее будет учитывать этот элемент данных при рассмотрении в соответствии с п. </w:t>
      </w:r>
      <w:r w:rsidRPr="00833E27">
        <w:rPr>
          <w:b/>
          <w:bCs/>
        </w:rPr>
        <w:t>11.31</w:t>
      </w:r>
      <w:r w:rsidRPr="00833E27">
        <w:t xml:space="preserve"> Регламента радиосвязи.</w:t>
      </w:r>
      <w:r>
        <w:t xml:space="preserve"> </w:t>
      </w:r>
    </w:p>
    <w:p w14:paraId="3E2280F9" w14:textId="77777777" w:rsidR="000B6823" w:rsidRPr="00800759" w:rsidRDefault="000B6823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>A.</w:t>
      </w:r>
      <w:r w:rsidRPr="00AE28B7">
        <w:rPr>
          <w:b/>
          <w:bCs/>
          <w:color w:val="000000"/>
        </w:rPr>
        <w:t>18</w:t>
      </w:r>
      <w:r w:rsidRPr="00800759">
        <w:rPr>
          <w:b/>
          <w:bCs/>
          <w:color w:val="000000"/>
          <w:szCs w:val="22"/>
        </w:rPr>
        <w:t xml:space="preserve">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4CBAA25A" w14:textId="77777777" w:rsidR="00A33EDD" w:rsidRPr="00800759" w:rsidRDefault="00A33EDD" w:rsidP="00A33EDD">
      <w:pPr>
        <w:rPr>
          <w:rStyle w:val="Appref0"/>
          <w:color w:val="000000"/>
          <w:szCs w:val="22"/>
        </w:rPr>
      </w:pPr>
      <w:bookmarkStart w:id="3" w:name="_Toc103501557"/>
      <w:bookmarkEnd w:id="2"/>
      <w:r w:rsidRPr="00800759">
        <w:rPr>
          <w:color w:val="000000"/>
          <w:szCs w:val="22"/>
        </w:rPr>
        <w:t xml:space="preserve">Комитет отметил, что описание Дополнения 2 к Приложению </w:t>
      </w:r>
      <w:r w:rsidRPr="00800759">
        <w:rPr>
          <w:rStyle w:val="Appref"/>
          <w:b/>
          <w:color w:val="000000"/>
          <w:szCs w:val="22"/>
        </w:rPr>
        <w:t>4</w:t>
      </w:r>
      <w:r w:rsidRPr="00800759">
        <w:rPr>
          <w:rStyle w:val="Appref0"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>§</w:t>
      </w:r>
      <w:r w:rsidRPr="00800759">
        <w:rPr>
          <w:rStyle w:val="Appref0"/>
          <w:b/>
          <w:color w:val="000000"/>
          <w:szCs w:val="22"/>
        </w:rPr>
        <w:t> </w:t>
      </w:r>
      <w:r w:rsidRPr="00800759">
        <w:rPr>
          <w:rStyle w:val="Appref0"/>
          <w:color w:val="000000"/>
          <w:szCs w:val="22"/>
        </w:rPr>
        <w:t xml:space="preserve">A.18 </w:t>
      </w:r>
      <w:r w:rsidRPr="00800759">
        <w:rPr>
          <w:rStyle w:val="Appref0"/>
          <w:i/>
          <w:color w:val="000000"/>
          <w:szCs w:val="22"/>
        </w:rPr>
        <w:t>a)</w:t>
      </w:r>
      <w:r w:rsidRPr="00800759">
        <w:rPr>
          <w:rStyle w:val="Appref0"/>
          <w:color w:val="000000"/>
          <w:szCs w:val="22"/>
        </w:rPr>
        <w:t xml:space="preserve"> соответствует обязательству, требуемому от администрации в случае возможной связи воздушных земных станций вторичной </w:t>
      </w:r>
      <w:r w:rsidRPr="00800759">
        <w:rPr>
          <w:color w:val="000000"/>
          <w:szCs w:val="22"/>
        </w:rPr>
        <w:t>воздушной подвижной спутниковой службы с космическими станциями фиксированной спутниковой службы</w:t>
      </w:r>
      <w:r w:rsidRPr="00800759">
        <w:rPr>
          <w:rStyle w:val="Appref0"/>
          <w:color w:val="000000"/>
          <w:szCs w:val="22"/>
        </w:rPr>
        <w:t>, в соответствии с п. </w:t>
      </w:r>
      <w:r w:rsidRPr="00800759">
        <w:rPr>
          <w:rStyle w:val="Artref"/>
          <w:b/>
          <w:color w:val="000000"/>
          <w:szCs w:val="22"/>
        </w:rPr>
        <w:t>5.504A</w:t>
      </w:r>
      <w:r w:rsidRPr="00800759">
        <w:rPr>
          <w:rStyle w:val="Appref0"/>
          <w:color w:val="000000"/>
          <w:szCs w:val="22"/>
        </w:rPr>
        <w:t>. Комитет далее отметил, что этот элемент данных является обязательным в случае заявления или координации геостационарной или не геостационарной спутниковой сети.</w:t>
      </w:r>
    </w:p>
    <w:p w14:paraId="2EF344FE" w14:textId="7C2FFF02" w:rsidR="00A33EDD" w:rsidRPr="00800759" w:rsidRDefault="00E13FB4" w:rsidP="00A33EDD">
      <w:pPr>
        <w:rPr>
          <w:color w:val="000000"/>
          <w:szCs w:val="22"/>
        </w:rPr>
      </w:pPr>
      <w:r>
        <w:rPr>
          <w:rStyle w:val="Appref0"/>
          <w:color w:val="000000"/>
          <w:szCs w:val="22"/>
        </w:rPr>
        <w:t>Однако</w:t>
      </w:r>
      <w:r w:rsidR="00A33EDD" w:rsidRPr="00800759">
        <w:rPr>
          <w:rStyle w:val="Appref0"/>
          <w:color w:val="000000"/>
          <w:szCs w:val="22"/>
        </w:rPr>
        <w:t xml:space="preserve"> этот элемент данных необходим также для выполнения проверки по п. </w:t>
      </w:r>
      <w:r w:rsidR="00A33EDD" w:rsidRPr="00800759">
        <w:rPr>
          <w:rStyle w:val="Artref"/>
          <w:b/>
          <w:color w:val="000000"/>
          <w:szCs w:val="22"/>
        </w:rPr>
        <w:t>11.31</w:t>
      </w:r>
      <w:r w:rsidR="00A33EDD" w:rsidRPr="00800759">
        <w:rPr>
          <w:rStyle w:val="Appref0"/>
          <w:color w:val="000000"/>
          <w:szCs w:val="22"/>
        </w:rPr>
        <w:t xml:space="preserve"> соответствия положениям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rStyle w:val="Appref0"/>
          <w:b/>
          <w:color w:val="000000"/>
          <w:szCs w:val="22"/>
        </w:rPr>
        <w:t xml:space="preserve"> </w:t>
      </w:r>
      <w:r w:rsidR="00A33EDD" w:rsidRPr="00800759">
        <w:rPr>
          <w:rStyle w:val="Appref0"/>
          <w:color w:val="000000"/>
          <w:szCs w:val="22"/>
        </w:rPr>
        <w:t xml:space="preserve">заявления воздушной земной станции вторичной </w:t>
      </w:r>
      <w:r w:rsidR="00A33EDD" w:rsidRPr="00800759">
        <w:rPr>
          <w:color w:val="000000"/>
          <w:szCs w:val="22"/>
        </w:rPr>
        <w:t>воздушной подвижной спутниковой службы, работающей с космической станцией фиксированной спутниковой службы</w:t>
      </w:r>
      <w:r w:rsidR="00A33EDD" w:rsidRPr="00800759">
        <w:rPr>
          <w:rStyle w:val="Appref0"/>
          <w:color w:val="000000"/>
          <w:szCs w:val="22"/>
        </w:rPr>
        <w:t xml:space="preserve">. Это требование, вероятно, было по невнимательности упущено на </w:t>
      </w:r>
      <w:r w:rsidR="00A33EDD" w:rsidRPr="00800759">
        <w:rPr>
          <w:color w:val="000000"/>
          <w:szCs w:val="22"/>
        </w:rPr>
        <w:t>ВКР</w:t>
      </w:r>
      <w:r w:rsidR="00A33EDD" w:rsidRPr="00800759">
        <w:rPr>
          <w:color w:val="000000"/>
          <w:szCs w:val="22"/>
        </w:rPr>
        <w:noBreakHyphen/>
        <w:t>03.</w:t>
      </w:r>
    </w:p>
    <w:p w14:paraId="45AA8623" w14:textId="77777777" w:rsidR="00A33EDD" w:rsidRDefault="00E13FB4" w:rsidP="00A33EDD">
      <w:pPr>
        <w:rPr>
          <w:color w:val="000000"/>
          <w:szCs w:val="22"/>
        </w:rPr>
      </w:pPr>
      <w:r>
        <w:rPr>
          <w:color w:val="000000"/>
          <w:szCs w:val="22"/>
        </w:rPr>
        <w:t>Для того</w:t>
      </w:r>
      <w:r w:rsidR="00A33EDD" w:rsidRPr="00800759">
        <w:rPr>
          <w:color w:val="000000"/>
          <w:szCs w:val="22"/>
        </w:rPr>
        <w:t xml:space="preserve"> чтобы исправить это противоречие, Комитет решил, что администрации, при подаче заявления по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color w:val="000000"/>
          <w:szCs w:val="22"/>
        </w:rPr>
        <w:t xml:space="preserve"> с информацией о </w:t>
      </w:r>
      <w:r w:rsidR="00A33EDD" w:rsidRPr="00800759">
        <w:rPr>
          <w:rStyle w:val="Appref0"/>
          <w:color w:val="000000"/>
          <w:szCs w:val="22"/>
        </w:rPr>
        <w:t xml:space="preserve">воздушной земной станции вторичной </w:t>
      </w:r>
      <w:r w:rsidR="00A33EDD" w:rsidRPr="00800759">
        <w:rPr>
          <w:color w:val="000000"/>
          <w:szCs w:val="22"/>
        </w:rPr>
        <w:t xml:space="preserve">воздушной подвижной спутниковой службы, работающей с  космической станцией фиксированной спутниковой службы, должны будут представлять в дополнение к соответствующим характеристикам, перечисленным в Приложении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, элемент данных, описанный в § </w:t>
      </w:r>
      <w:r w:rsidR="00A33EDD" w:rsidRPr="00800759">
        <w:rPr>
          <w:rStyle w:val="Appref0"/>
          <w:color w:val="000000"/>
          <w:szCs w:val="22"/>
        </w:rPr>
        <w:t xml:space="preserve">A.18 </w:t>
      </w:r>
      <w:r w:rsidR="00A33EDD" w:rsidRPr="00800759">
        <w:rPr>
          <w:rStyle w:val="Appref0"/>
          <w:i/>
          <w:color w:val="000000"/>
          <w:szCs w:val="22"/>
        </w:rPr>
        <w:t xml:space="preserve">a) </w:t>
      </w:r>
      <w:r w:rsidR="00A33EDD" w:rsidRPr="00800759">
        <w:rPr>
          <w:color w:val="000000"/>
          <w:szCs w:val="22"/>
        </w:rPr>
        <w:t xml:space="preserve">Дополнения 2 к Приложению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. Бюро будет учитывать этот элемент данных § A.18 </w:t>
      </w:r>
      <w:r w:rsidR="00A33EDD" w:rsidRPr="00800759">
        <w:rPr>
          <w:i/>
          <w:color w:val="000000"/>
          <w:szCs w:val="22"/>
        </w:rPr>
        <w:t>a)</w:t>
      </w:r>
      <w:r w:rsidR="00A33EDD" w:rsidRPr="00800759">
        <w:rPr>
          <w:color w:val="000000"/>
          <w:szCs w:val="22"/>
        </w:rPr>
        <w:t xml:space="preserve"> при проверке полноты представленной информации.</w:t>
      </w:r>
    </w:p>
    <w:p w14:paraId="39E8B998" w14:textId="77777777" w:rsidR="00E95AC7" w:rsidRDefault="00E95AC7" w:rsidP="00A33EDD">
      <w:pPr>
        <w:rPr>
          <w:color w:val="000000"/>
          <w:szCs w:val="22"/>
        </w:rPr>
      </w:pPr>
    </w:p>
    <w:p w14:paraId="3024BDA2" w14:textId="77777777" w:rsidR="00E95AC7" w:rsidRDefault="00E95AC7" w:rsidP="00A33EDD">
      <w:pPr>
        <w:rPr>
          <w:color w:val="000000"/>
          <w:szCs w:val="22"/>
        </w:rPr>
      </w:pPr>
    </w:p>
    <w:bookmarkEnd w:id="3"/>
    <w:p w14:paraId="0C8BB949" w14:textId="77777777" w:rsidR="00AE28B7" w:rsidRDefault="00AE28B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14:paraId="674FD94B" w14:textId="77777777" w:rsidR="00A33EDD" w:rsidRPr="00800759" w:rsidRDefault="00A33EDD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lastRenderedPageBreak/>
        <w:t xml:space="preserve">B.4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7D4FFFCA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 xml:space="preserve">При представлении заявки с применением процедур Статей </w:t>
      </w:r>
      <w:r w:rsidRPr="00800759">
        <w:rPr>
          <w:rFonts w:eastAsia="SimSun"/>
          <w:b/>
          <w:color w:val="000000"/>
          <w:lang w:eastAsia="zh-CN"/>
        </w:rPr>
        <w:t>9</w:t>
      </w:r>
      <w:r w:rsidRPr="00800759">
        <w:rPr>
          <w:rFonts w:eastAsia="SimSun"/>
          <w:color w:val="000000"/>
          <w:szCs w:val="22"/>
          <w:lang w:eastAsia="zh-CN"/>
        </w:rPr>
        <w:t xml:space="preserve"> или </w:t>
      </w:r>
      <w:r w:rsidRPr="00800759">
        <w:rPr>
          <w:rFonts w:eastAsia="SimSun"/>
          <w:b/>
          <w:color w:val="000000"/>
          <w:lang w:eastAsia="zh-CN"/>
        </w:rPr>
        <w:t>11</w:t>
      </w:r>
      <w:r w:rsidRPr="00800759">
        <w:rPr>
          <w:rFonts w:eastAsia="SimSun"/>
          <w:color w:val="000000"/>
          <w:szCs w:val="22"/>
          <w:lang w:eastAsia="zh-CN"/>
        </w:rPr>
        <w:t xml:space="preserve">, для лучшего описания диаграммы плотности потока мощности на поверхности Земли, образующейся в результате излучения космической станции, расположенной на борту спутника НГСО на круговой орбите, вместе с прочей информацией, содержащейся в Приложении </w:t>
      </w:r>
      <w:r w:rsidRPr="00800759">
        <w:rPr>
          <w:rFonts w:eastAsia="SimSun"/>
          <w:b/>
          <w:color w:val="000000"/>
          <w:szCs w:val="22"/>
          <w:lang w:eastAsia="zh-CN"/>
        </w:rPr>
        <w:t>4</w:t>
      </w:r>
      <w:r w:rsidRPr="00800759">
        <w:rPr>
          <w:rFonts w:eastAsia="SimSun"/>
          <w:color w:val="000000"/>
          <w:szCs w:val="22"/>
          <w:lang w:eastAsia="zh-CN"/>
        </w:rPr>
        <w:t>,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может быть представлена следующая необязательная информация:</w:t>
      </w:r>
    </w:p>
    <w:p w14:paraId="0114D7A8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b/>
          <w:color w:val="000000"/>
          <w:szCs w:val="22"/>
          <w:lang w:eastAsia="zh-CN"/>
        </w:rPr>
        <w:t>§ B.4 </w:t>
      </w:r>
      <w:r w:rsidRPr="00800759">
        <w:rPr>
          <w:rFonts w:eastAsia="SimSun"/>
          <w:b/>
          <w:i/>
          <w:color w:val="000000"/>
          <w:szCs w:val="22"/>
          <w:lang w:eastAsia="zh-CN"/>
        </w:rPr>
        <w:t>a)</w:t>
      </w:r>
      <w:r w:rsidRPr="00800759">
        <w:rPr>
          <w:rFonts w:eastAsia="SimSun"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Дополнения 2A к Приложению </w:t>
      </w:r>
      <w:r w:rsidRPr="00800759">
        <w:rPr>
          <w:rFonts w:eastAsia="SimSun"/>
          <w:b/>
          <w:color w:val="000000"/>
          <w:lang w:eastAsia="zh-CN"/>
        </w:rPr>
        <w:t>4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(характеристики антенны космической станции НГСО)</w:t>
      </w:r>
    </w:p>
    <w:p w14:paraId="17A1F17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pacing w:val="-4"/>
          <w:szCs w:val="22"/>
          <w:lang w:eastAsia="zh-CN"/>
        </w:rPr>
      </w:pPr>
      <w:r w:rsidRPr="00800759">
        <w:rPr>
          <w:rFonts w:eastAsia="SimSun"/>
          <w:color w:val="000000"/>
          <w:spacing w:val="-4"/>
          <w:szCs w:val="22"/>
          <w:lang w:eastAsia="zh-CN"/>
        </w:rPr>
        <w:t>1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ab/>
        <w:t xml:space="preserve">В дополнение к информации, содержащейся в настоящее время в  Приложении </w:t>
      </w:r>
      <w:r w:rsidRPr="00800759">
        <w:rPr>
          <w:rFonts w:eastAsia="SimSun"/>
          <w:b/>
          <w:color w:val="000000"/>
          <w:spacing w:val="-4"/>
          <w:szCs w:val="22"/>
          <w:lang w:eastAsia="zh-CN"/>
        </w:rPr>
        <w:t>4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>, и которая должна представляться согласно этому пункту, указать, в зависимости от случая:</w:t>
      </w:r>
    </w:p>
    <w:p w14:paraId="3AB94D3B" w14:textId="77777777" w:rsidR="00A33EDD" w:rsidRPr="00800759" w:rsidRDefault="002A4912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pacing w:val="-4"/>
          <w:szCs w:val="22"/>
        </w:rPr>
      </w:pPr>
      <w:r>
        <w:rPr>
          <w:color w:val="000000"/>
          <w:spacing w:val="-4"/>
          <w:szCs w:val="22"/>
        </w:rPr>
        <w:t>1.1</w:t>
      </w:r>
      <w:r>
        <w:rPr>
          <w:color w:val="000000"/>
          <w:spacing w:val="-4"/>
          <w:szCs w:val="22"/>
        </w:rPr>
        <w:tab/>
        <w:t xml:space="preserve">Для </w:t>
      </w:r>
      <w:r w:rsidR="00A33EDD" w:rsidRPr="00800759">
        <w:rPr>
          <w:color w:val="000000"/>
          <w:spacing w:val="-4"/>
          <w:szCs w:val="22"/>
        </w:rPr>
        <w:t>передающей космической станции, расположенной на борту спутника НГСО на круговой орбите, которая предназначена для связи с земными станциями через передающую антенну, ориентированную в направлении, которое фиксировано по отношению к спутнику, максимальное изотропное усиление (дБи) и контуры коэффициента усиления, вычерчиваемые в радиальной проекции от спутника на плоскость, перпендикулярную оси, проходящей через центр Земли к спутнику.  Контуры коэффициентов усиления космической станции вычерчиваются в виде изолиний изотропного усиления, соответствующих по крайней мере уменьшению усиления на 2, 4, 6, 10 и 20 дБ, а затем, если необходимо, с интервалом в 10 дБ, относительно максимального усиления антенны, когда любой из этих контуров полностью или частично расположен в пределах видимости Земли с данного спутника НГСО;</w:t>
      </w:r>
    </w:p>
    <w:p w14:paraId="71D49E1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zCs w:val="22"/>
        </w:rPr>
      </w:pPr>
      <w:r w:rsidRPr="00800759">
        <w:rPr>
          <w:color w:val="000000"/>
          <w:szCs w:val="22"/>
        </w:rPr>
        <w:t>1.2</w:t>
      </w:r>
      <w:r w:rsidRPr="00800759">
        <w:rPr>
          <w:color w:val="000000"/>
          <w:szCs w:val="22"/>
        </w:rPr>
        <w:tab/>
        <w:t>В случае космической станции, использующей управляемый луч и расположенной на борту спутника НГСО на круговой орбите, следующие данные о характеристиках излучения антенны:</w:t>
      </w:r>
    </w:p>
    <w:p w14:paraId="04C1F629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 xml:space="preserve">если эффективная зона прицеливания (п. 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идентична глобальной или почти глобальной зоне обслуживания, предоставить только максимальное изотропное усиление антенны (дБи), применяемое ко всем точкам на поверхности Земли;</w:t>
      </w:r>
    </w:p>
    <w:p w14:paraId="200D24B1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>если эффективная зона прицеливания (см. п. 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меньше глобальной или почти глобальной зоны обслуживания, предоставить максимальное изотропное усиление и контуры эффективного усиления (см. п. </w:t>
      </w:r>
      <w:r w:rsidRPr="00800759">
        <w:rPr>
          <w:b/>
          <w:color w:val="000000"/>
        </w:rPr>
        <w:t>1.176</w:t>
      </w:r>
      <w:r w:rsidRPr="00800759">
        <w:rPr>
          <w:color w:val="000000"/>
          <w:szCs w:val="22"/>
        </w:rPr>
        <w:t>), как определено выше.</w:t>
      </w:r>
    </w:p>
    <w:p w14:paraId="33454AB5" w14:textId="72F2C538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2</w:t>
      </w:r>
      <w:r w:rsidRPr="00800759">
        <w:rPr>
          <w:rFonts w:eastAsia="SimSun"/>
          <w:color w:val="000000"/>
          <w:szCs w:val="22"/>
          <w:lang w:eastAsia="zh-CN"/>
        </w:rPr>
        <w:tab/>
      </w:r>
      <w:r w:rsidRPr="00E65CFD">
        <w:rPr>
          <w:color w:val="000000"/>
          <w:szCs w:val="22"/>
        </w:rPr>
        <w:t>Дополнительная</w:t>
      </w:r>
      <w:r w:rsidRPr="00800759">
        <w:rPr>
          <w:rFonts w:eastAsia="SimSun"/>
          <w:color w:val="000000"/>
          <w:szCs w:val="22"/>
          <w:lang w:eastAsia="zh-CN"/>
        </w:rPr>
        <w:t xml:space="preserve"> информация, подробно описанная в § 1.1 и 1.2, выше, рассматривается как необязательная. При рассмотрении такого случая Бюро использует для расчета значений плотности потока мощности более подробную информацию, если она имеется; если же нет, то расчет производится как в настоящее время и основывается на максимальной передаваемой э.и.и.м.</w:t>
      </w:r>
    </w:p>
    <w:p w14:paraId="044FC245" w14:textId="77777777" w:rsidR="00A33EDD" w:rsidRDefault="00D925D1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________________</w:t>
      </w:r>
    </w:p>
    <w:p w14:paraId="02DC939B" w14:textId="77777777" w:rsidR="00911200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6317602C" w14:textId="77777777" w:rsidR="00911200" w:rsidRPr="00800759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12D1610A" w14:textId="77777777" w:rsidR="00E95AC7" w:rsidRDefault="00E95AC7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  <w:sectPr w:rsidR="00E95AC7" w:rsidSect="00AE28B7">
          <w:headerReference w:type="even" r:id="rId7"/>
          <w:headerReference w:type="default" r:id="rId8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14:paraId="05847A14" w14:textId="77777777" w:rsidR="007B3335" w:rsidRPr="00800759" w:rsidRDefault="007B3335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</w:pPr>
    </w:p>
    <w:sectPr w:rsidR="007B3335" w:rsidRPr="00800759" w:rsidSect="00E95AC7">
      <w:headerReference w:type="default" r:id="rId9"/>
      <w:pgSz w:w="11901" w:h="16840" w:code="9"/>
      <w:pgMar w:top="1701" w:right="851" w:bottom="1134" w:left="1985" w:header="720" w:footer="720" w:gutter="0"/>
      <w:pgNumType w:start="1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7F15B" w14:textId="77777777" w:rsidR="009B6FC2" w:rsidRDefault="009B6FC2">
      <w:r>
        <w:separator/>
      </w:r>
    </w:p>
  </w:endnote>
  <w:endnote w:type="continuationSeparator" w:id="0">
    <w:p w14:paraId="38D72AAE" w14:textId="77777777" w:rsidR="009B6FC2" w:rsidRDefault="009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C02A5" w14:textId="77777777" w:rsidR="009B6FC2" w:rsidRDefault="009B6FC2">
      <w:r>
        <w:t>____________________</w:t>
      </w:r>
    </w:p>
  </w:footnote>
  <w:footnote w:type="continuationSeparator" w:id="0">
    <w:p w14:paraId="5712F71D" w14:textId="77777777" w:rsidR="009B6FC2" w:rsidRDefault="009B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CA7CAB" w14:paraId="55F55C4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25307D" w14:textId="77777777" w:rsidR="00E64DB1" w:rsidRPr="00CA7CAB" w:rsidRDefault="00E64DB1" w:rsidP="00E65CFD">
          <w:pPr>
            <w:pStyle w:val="HeaderRegProc"/>
          </w:pPr>
          <w:r w:rsidRPr="00CA7CAB"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C1D84B" w14:textId="37ED7DA5" w:rsidR="00E64DB1" w:rsidRPr="00CA7CAB" w:rsidRDefault="00E64DB1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60822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38784" w14:textId="77777777" w:rsidR="00E64DB1" w:rsidRPr="00E64DB1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AE28B7" w:rsidRPr="002658C7">
            <w:rPr>
              <w:rStyle w:val="PageNumber"/>
              <w:bCs w:val="0"/>
              <w:lang w:val="ru-RU"/>
            </w:rPr>
            <w:fldChar w:fldCharType="begin"/>
          </w:r>
          <w:r w:rsidR="00AE28B7"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="00AE28B7"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2</w:t>
          </w:r>
          <w:r w:rsidR="00AE28B7"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2BDB9" w14:textId="77777777" w:rsidR="00E64DB1" w:rsidRPr="00432F17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40E1727F" w14:textId="77777777" w:rsidR="00E64DB1" w:rsidRPr="00F006C6" w:rsidRDefault="00E64DB1" w:rsidP="00F006C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2658C7" w14:paraId="15FF03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39E8EB" w14:textId="77777777" w:rsidR="00E64DB1" w:rsidRPr="002658C7" w:rsidRDefault="00E64DB1" w:rsidP="00CA7CAB">
          <w:pPr>
            <w:pStyle w:val="HeaderRegProc"/>
            <w:spacing w:before="0"/>
          </w:pPr>
          <w:r w:rsidRPr="002658C7"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A9395E" w14:textId="128EDBF1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60822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0A9542" w14:textId="77777777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0CAABE" w14:textId="77777777" w:rsidR="00E64DB1" w:rsidRPr="002658C7" w:rsidRDefault="00E64DB1" w:rsidP="00CA7CAB">
          <w:pPr>
            <w:pStyle w:val="HeaderRegProc"/>
            <w:spacing w:before="0"/>
            <w:rPr>
              <w:lang w:val="en-US"/>
            </w:rPr>
          </w:pPr>
          <w:r w:rsidRPr="002658C7">
            <w:rPr>
              <w:lang w:val="ru-RU"/>
            </w:rPr>
            <w:t>Пересм.</w:t>
          </w:r>
          <w:r w:rsidR="00AE28B7">
            <w:rPr>
              <w:lang w:val="en-US"/>
            </w:rPr>
            <w:t>-</w:t>
          </w:r>
        </w:p>
      </w:tc>
    </w:tr>
  </w:tbl>
  <w:p w14:paraId="733551F5" w14:textId="77777777" w:rsidR="00E64DB1" w:rsidRPr="000525F7" w:rsidRDefault="00E64DB1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39CF4" w14:textId="77777777" w:rsidR="00E95AC7" w:rsidRPr="00E95AC7" w:rsidRDefault="00E95AC7" w:rsidP="00E95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56542"/>
    <w:rsid w:val="00062851"/>
    <w:rsid w:val="00075DA5"/>
    <w:rsid w:val="00085FB7"/>
    <w:rsid w:val="00092BFF"/>
    <w:rsid w:val="000A2D21"/>
    <w:rsid w:val="000B6823"/>
    <w:rsid w:val="000C1B11"/>
    <w:rsid w:val="000D58AF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C0F31"/>
    <w:rsid w:val="001D05C4"/>
    <w:rsid w:val="001E0B44"/>
    <w:rsid w:val="001E15AA"/>
    <w:rsid w:val="001E608D"/>
    <w:rsid w:val="00210B45"/>
    <w:rsid w:val="00214054"/>
    <w:rsid w:val="002259B2"/>
    <w:rsid w:val="00227F65"/>
    <w:rsid w:val="00240A2A"/>
    <w:rsid w:val="00243DAD"/>
    <w:rsid w:val="0025274D"/>
    <w:rsid w:val="00252908"/>
    <w:rsid w:val="00262F06"/>
    <w:rsid w:val="00264FD2"/>
    <w:rsid w:val="002658C7"/>
    <w:rsid w:val="0026691A"/>
    <w:rsid w:val="00282B30"/>
    <w:rsid w:val="002945C6"/>
    <w:rsid w:val="002A1B34"/>
    <w:rsid w:val="002A4912"/>
    <w:rsid w:val="002C43AE"/>
    <w:rsid w:val="002D2060"/>
    <w:rsid w:val="002D2A6D"/>
    <w:rsid w:val="002D381F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6796B"/>
    <w:rsid w:val="0039109D"/>
    <w:rsid w:val="003913AB"/>
    <w:rsid w:val="003B7A3B"/>
    <w:rsid w:val="003D34A8"/>
    <w:rsid w:val="003D3993"/>
    <w:rsid w:val="003E50BD"/>
    <w:rsid w:val="003E7862"/>
    <w:rsid w:val="003F1140"/>
    <w:rsid w:val="003F322B"/>
    <w:rsid w:val="003F4515"/>
    <w:rsid w:val="00402142"/>
    <w:rsid w:val="004057ED"/>
    <w:rsid w:val="004065CE"/>
    <w:rsid w:val="00410882"/>
    <w:rsid w:val="00415574"/>
    <w:rsid w:val="00427533"/>
    <w:rsid w:val="00432F17"/>
    <w:rsid w:val="00445CD9"/>
    <w:rsid w:val="0044612F"/>
    <w:rsid w:val="0044634B"/>
    <w:rsid w:val="00447061"/>
    <w:rsid w:val="004525A4"/>
    <w:rsid w:val="00453D5B"/>
    <w:rsid w:val="00462343"/>
    <w:rsid w:val="00463503"/>
    <w:rsid w:val="00482598"/>
    <w:rsid w:val="00483571"/>
    <w:rsid w:val="00484FF0"/>
    <w:rsid w:val="0049248E"/>
    <w:rsid w:val="004A5AB1"/>
    <w:rsid w:val="004C1881"/>
    <w:rsid w:val="004C4472"/>
    <w:rsid w:val="004F26AE"/>
    <w:rsid w:val="004F4F89"/>
    <w:rsid w:val="00500D97"/>
    <w:rsid w:val="005129F7"/>
    <w:rsid w:val="00524B6F"/>
    <w:rsid w:val="00527D4F"/>
    <w:rsid w:val="00543777"/>
    <w:rsid w:val="005453F5"/>
    <w:rsid w:val="00554DCF"/>
    <w:rsid w:val="00563E76"/>
    <w:rsid w:val="00564E21"/>
    <w:rsid w:val="005753D9"/>
    <w:rsid w:val="00581C5B"/>
    <w:rsid w:val="00584776"/>
    <w:rsid w:val="00590498"/>
    <w:rsid w:val="00595800"/>
    <w:rsid w:val="005A363E"/>
    <w:rsid w:val="005A3FC8"/>
    <w:rsid w:val="005A424E"/>
    <w:rsid w:val="005B19A5"/>
    <w:rsid w:val="005C6C75"/>
    <w:rsid w:val="005E4C42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957CF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3D38"/>
    <w:rsid w:val="007B3335"/>
    <w:rsid w:val="007B47F2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13BA4"/>
    <w:rsid w:val="008348B6"/>
    <w:rsid w:val="00834CA2"/>
    <w:rsid w:val="00842A21"/>
    <w:rsid w:val="00843B98"/>
    <w:rsid w:val="00844941"/>
    <w:rsid w:val="00855B23"/>
    <w:rsid w:val="00876234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F4E4F"/>
    <w:rsid w:val="008F6B27"/>
    <w:rsid w:val="00900C30"/>
    <w:rsid w:val="00906A23"/>
    <w:rsid w:val="00911200"/>
    <w:rsid w:val="00924F00"/>
    <w:rsid w:val="00925B6B"/>
    <w:rsid w:val="00932F09"/>
    <w:rsid w:val="00934AE3"/>
    <w:rsid w:val="0093557C"/>
    <w:rsid w:val="0093776F"/>
    <w:rsid w:val="00942FCF"/>
    <w:rsid w:val="00960822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6FC2"/>
    <w:rsid w:val="009C51AC"/>
    <w:rsid w:val="009C5CD3"/>
    <w:rsid w:val="009E14F3"/>
    <w:rsid w:val="009E1957"/>
    <w:rsid w:val="009E3D92"/>
    <w:rsid w:val="009F2165"/>
    <w:rsid w:val="00A006AC"/>
    <w:rsid w:val="00A06093"/>
    <w:rsid w:val="00A0675B"/>
    <w:rsid w:val="00A16D91"/>
    <w:rsid w:val="00A24287"/>
    <w:rsid w:val="00A2430C"/>
    <w:rsid w:val="00A33EDD"/>
    <w:rsid w:val="00A35B01"/>
    <w:rsid w:val="00A36B5F"/>
    <w:rsid w:val="00A40AFD"/>
    <w:rsid w:val="00A50590"/>
    <w:rsid w:val="00A50D36"/>
    <w:rsid w:val="00A61A0A"/>
    <w:rsid w:val="00A77197"/>
    <w:rsid w:val="00A82E4C"/>
    <w:rsid w:val="00A94B7A"/>
    <w:rsid w:val="00AA0DF3"/>
    <w:rsid w:val="00AA4A39"/>
    <w:rsid w:val="00AA5A3A"/>
    <w:rsid w:val="00AB07C5"/>
    <w:rsid w:val="00AB3490"/>
    <w:rsid w:val="00AD3710"/>
    <w:rsid w:val="00AE04BF"/>
    <w:rsid w:val="00AE28B7"/>
    <w:rsid w:val="00AE3A59"/>
    <w:rsid w:val="00AE52B4"/>
    <w:rsid w:val="00AF42D4"/>
    <w:rsid w:val="00B00896"/>
    <w:rsid w:val="00B11C15"/>
    <w:rsid w:val="00B22C65"/>
    <w:rsid w:val="00B51B84"/>
    <w:rsid w:val="00B57344"/>
    <w:rsid w:val="00B63B51"/>
    <w:rsid w:val="00B666B3"/>
    <w:rsid w:val="00B74D28"/>
    <w:rsid w:val="00B80198"/>
    <w:rsid w:val="00B83D00"/>
    <w:rsid w:val="00B87E04"/>
    <w:rsid w:val="00BA6818"/>
    <w:rsid w:val="00BB2E76"/>
    <w:rsid w:val="00BE6F7C"/>
    <w:rsid w:val="00BF3BA8"/>
    <w:rsid w:val="00BF5B89"/>
    <w:rsid w:val="00BF7B7B"/>
    <w:rsid w:val="00C0390F"/>
    <w:rsid w:val="00C139B1"/>
    <w:rsid w:val="00C228D1"/>
    <w:rsid w:val="00C23345"/>
    <w:rsid w:val="00C331BB"/>
    <w:rsid w:val="00C42FFF"/>
    <w:rsid w:val="00C4409B"/>
    <w:rsid w:val="00C44941"/>
    <w:rsid w:val="00C53D96"/>
    <w:rsid w:val="00C71582"/>
    <w:rsid w:val="00C83B92"/>
    <w:rsid w:val="00C86061"/>
    <w:rsid w:val="00CA1440"/>
    <w:rsid w:val="00CA1B5B"/>
    <w:rsid w:val="00CA662D"/>
    <w:rsid w:val="00CA7CAB"/>
    <w:rsid w:val="00CB465E"/>
    <w:rsid w:val="00CC6941"/>
    <w:rsid w:val="00CC7870"/>
    <w:rsid w:val="00CD00EE"/>
    <w:rsid w:val="00CD32E3"/>
    <w:rsid w:val="00CF4764"/>
    <w:rsid w:val="00D00541"/>
    <w:rsid w:val="00D057A1"/>
    <w:rsid w:val="00D133B7"/>
    <w:rsid w:val="00D1560D"/>
    <w:rsid w:val="00D16379"/>
    <w:rsid w:val="00D177FA"/>
    <w:rsid w:val="00D3196C"/>
    <w:rsid w:val="00D35752"/>
    <w:rsid w:val="00D45E13"/>
    <w:rsid w:val="00D463D0"/>
    <w:rsid w:val="00D56143"/>
    <w:rsid w:val="00D61395"/>
    <w:rsid w:val="00D71CA8"/>
    <w:rsid w:val="00D744B4"/>
    <w:rsid w:val="00D76B91"/>
    <w:rsid w:val="00D76EAD"/>
    <w:rsid w:val="00D908A4"/>
    <w:rsid w:val="00D925D1"/>
    <w:rsid w:val="00DA3AD0"/>
    <w:rsid w:val="00DA6263"/>
    <w:rsid w:val="00DB394D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13FB4"/>
    <w:rsid w:val="00E2464F"/>
    <w:rsid w:val="00E62019"/>
    <w:rsid w:val="00E64DB1"/>
    <w:rsid w:val="00E65CFD"/>
    <w:rsid w:val="00E913F9"/>
    <w:rsid w:val="00E916EC"/>
    <w:rsid w:val="00E95AC7"/>
    <w:rsid w:val="00EA37FA"/>
    <w:rsid w:val="00EA6052"/>
    <w:rsid w:val="00EB447C"/>
    <w:rsid w:val="00EB6BB5"/>
    <w:rsid w:val="00EC4860"/>
    <w:rsid w:val="00EC5A54"/>
    <w:rsid w:val="00EC710F"/>
    <w:rsid w:val="00ED4B29"/>
    <w:rsid w:val="00EE5F12"/>
    <w:rsid w:val="00EE6767"/>
    <w:rsid w:val="00EF5689"/>
    <w:rsid w:val="00F006C6"/>
    <w:rsid w:val="00F05B23"/>
    <w:rsid w:val="00F07CDF"/>
    <w:rsid w:val="00F1429B"/>
    <w:rsid w:val="00F26A3F"/>
    <w:rsid w:val="00F36E0D"/>
    <w:rsid w:val="00F37AB9"/>
    <w:rsid w:val="00F53A73"/>
    <w:rsid w:val="00F571A5"/>
    <w:rsid w:val="00F7483C"/>
    <w:rsid w:val="00F928B8"/>
    <w:rsid w:val="00F94D03"/>
    <w:rsid w:val="00FB2A0A"/>
    <w:rsid w:val="00FB51E9"/>
    <w:rsid w:val="00FC140E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333C179E"/>
  <w15:docId w15:val="{8604FEF8-AB3C-4147-B606-45E22788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20</cp:revision>
  <cp:lastPrinted>2021-05-19T07:13:00Z</cp:lastPrinted>
  <dcterms:created xsi:type="dcterms:W3CDTF">2016-11-21T08:58:00Z</dcterms:created>
  <dcterms:modified xsi:type="dcterms:W3CDTF">2021-05-19T07:14:00Z</dcterms:modified>
</cp:coreProperties>
</file>