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EBCB6" w14:textId="77777777" w:rsidR="00685F37" w:rsidRPr="00C70342" w:rsidRDefault="00685F37" w:rsidP="00C70342">
      <w:pPr>
        <w:pStyle w:val="Heading1"/>
        <w:spacing w:before="300"/>
        <w:ind w:left="0" w:firstLine="0"/>
        <w:jc w:val="center"/>
        <w:rPr>
          <w:lang w:val="fr-FR"/>
        </w:rPr>
      </w:pPr>
      <w:r w:rsidRPr="00C70342">
        <w:rPr>
          <w:lang w:val="fr-FR"/>
        </w:rPr>
        <w:t>Règles relatives à la</w:t>
      </w:r>
    </w:p>
    <w:p w14:paraId="6BDA996F" w14:textId="72D85DAA" w:rsidR="00685F37" w:rsidRPr="00C70342" w:rsidRDefault="00F72E88" w:rsidP="00F72E88">
      <w:pPr>
        <w:pStyle w:val="Heading2"/>
        <w:ind w:left="0" w:firstLine="0"/>
        <w:jc w:val="center"/>
        <w:rPr>
          <w:lang w:val="fr-FR"/>
        </w:rPr>
      </w:pPr>
      <w:r w:rsidRPr="00F72E88">
        <w:rPr>
          <w:lang w:val="fr-FR"/>
        </w:rPr>
        <w:t>RÉSOLUTION 49 (Rév.CMR-15)</w:t>
      </w:r>
      <w:r w:rsidR="00836C7A">
        <w:rPr>
          <w:rStyle w:val="FootnoteReference"/>
          <w:lang w:val="fr-FR"/>
        </w:rPr>
        <w:footnoteReference w:customMarkFollows="1" w:id="1"/>
        <w:t>*</w:t>
      </w:r>
    </w:p>
    <w:p w14:paraId="3C3D3953" w14:textId="77777777" w:rsidR="00685F37" w:rsidRPr="00F72E88" w:rsidRDefault="00F72E88" w:rsidP="00C70342">
      <w:pPr>
        <w:pStyle w:val="Heading1"/>
        <w:ind w:left="0" w:firstLine="0"/>
        <w:jc w:val="center"/>
        <w:rPr>
          <w:lang w:val="fr-CH"/>
        </w:rPr>
      </w:pPr>
      <w:bookmarkStart w:id="0" w:name="_Toc445304436"/>
      <w:bookmarkStart w:id="1" w:name="_Toc445304104"/>
      <w:r w:rsidRPr="00F72E88">
        <w:rPr>
          <w:lang w:val="fr-CH"/>
        </w:rPr>
        <w:t>Procédure administrative du principe de diligence due applicable</w:t>
      </w:r>
      <w:r w:rsidRPr="00F72E88">
        <w:rPr>
          <w:lang w:val="fr-CH"/>
        </w:rPr>
        <w:br/>
        <w:t>à certains services de radiocommunication par satellite</w:t>
      </w:r>
      <w:bookmarkEnd w:id="0"/>
      <w:bookmarkEnd w:id="1"/>
    </w:p>
    <w:p w14:paraId="13CD04B0" w14:textId="77777777" w:rsidR="00F72E88" w:rsidRPr="00F72E88" w:rsidRDefault="00F72E88" w:rsidP="00F72E88">
      <w:pPr>
        <w:rPr>
          <w:lang w:val="fr-CH"/>
        </w:rPr>
      </w:pPr>
      <w:r w:rsidRPr="00F72E88">
        <w:rPr>
          <w:lang w:val="fr-CH"/>
        </w:rPr>
        <w:t xml:space="preserve">Conformément au point 1 du </w:t>
      </w:r>
      <w:r w:rsidRPr="00F72E88">
        <w:rPr>
          <w:i/>
          <w:iCs/>
          <w:lang w:val="fr-CH"/>
        </w:rPr>
        <w:t>décide</w:t>
      </w:r>
      <w:r w:rsidRPr="00F72E88">
        <w:rPr>
          <w:lang w:val="fr-CH"/>
        </w:rPr>
        <w:t xml:space="preserve"> de cette Résolution, la procédure administrative du principe de diligence due exposée dans l'Annexe 1 de la présente Résolution doit être appliquée à compter du 22 novembre 1997 à un réseau à satellite ou à un système à satellites du service fixe par satellite, du service mobile par satellite ou du service de radiodiffusion par satellite pour lequel les renseignements relatifs à la publication anticipée ont été publiés au titre du numéro </w:t>
      </w:r>
      <w:r w:rsidRPr="00F72E88">
        <w:rPr>
          <w:b/>
          <w:bCs/>
          <w:lang w:val="fr-CH"/>
        </w:rPr>
        <w:t>9.2B</w:t>
      </w:r>
      <w:r w:rsidRPr="00F72E88">
        <w:rPr>
          <w:lang w:val="fr-CH"/>
        </w:rPr>
        <w:t>.</w:t>
      </w:r>
    </w:p>
    <w:p w14:paraId="3B399E1E" w14:textId="77777777" w:rsidR="00F72E88" w:rsidRPr="00F72E88" w:rsidRDefault="00F72E88" w:rsidP="004A5AC3">
      <w:pPr>
        <w:rPr>
          <w:lang w:val="fr-FR"/>
        </w:rPr>
      </w:pPr>
      <w:r w:rsidRPr="00F72E88">
        <w:rPr>
          <w:lang w:val="fr-FR"/>
        </w:rPr>
        <w:t xml:space="preserve">La CMR-15 a supprimé la soumission des renseignements pour la publication anticipée (API) pour les systèmes à satellites assujettis à la procédure de coordination de la Section II de l'Article </w:t>
      </w:r>
      <w:r w:rsidRPr="00F72E88">
        <w:rPr>
          <w:b/>
          <w:bCs/>
          <w:lang w:val="fr-FR"/>
        </w:rPr>
        <w:t>9</w:t>
      </w:r>
      <w:r w:rsidRPr="00F72E88">
        <w:rPr>
          <w:lang w:val="fr-FR"/>
        </w:rPr>
        <w:t xml:space="preserve"> et a modifié en conséquence les dispositions des numéros </w:t>
      </w:r>
      <w:r w:rsidRPr="00F72E88">
        <w:rPr>
          <w:b/>
          <w:bCs/>
          <w:lang w:val="fr-FR"/>
        </w:rPr>
        <w:t>9.1</w:t>
      </w:r>
      <w:r w:rsidRPr="00F72E88">
        <w:rPr>
          <w:lang w:val="fr-FR"/>
        </w:rPr>
        <w:t xml:space="preserve"> et </w:t>
      </w:r>
      <w:r w:rsidRPr="00F72E88">
        <w:rPr>
          <w:b/>
          <w:bCs/>
          <w:lang w:val="fr-FR"/>
        </w:rPr>
        <w:t>9.2</w:t>
      </w:r>
      <w:r w:rsidRPr="00F72E88">
        <w:rPr>
          <w:lang w:val="fr-FR"/>
        </w:rPr>
        <w:t xml:space="preserve">, le numéro </w:t>
      </w:r>
      <w:r w:rsidRPr="00F72E88">
        <w:rPr>
          <w:b/>
          <w:bCs/>
          <w:lang w:val="fr-FR"/>
        </w:rPr>
        <w:t>9.2B</w:t>
      </w:r>
      <w:r w:rsidRPr="00F72E88">
        <w:rPr>
          <w:lang w:val="fr-FR"/>
        </w:rPr>
        <w:t xml:space="preserve"> n'étant désormais applicable qu'aux renseignements API concernant les systèmes à </w:t>
      </w:r>
      <w:proofErr w:type="gramStart"/>
      <w:r w:rsidRPr="00F72E88">
        <w:rPr>
          <w:lang w:val="fr-FR"/>
        </w:rPr>
        <w:t>satellites</w:t>
      </w:r>
      <w:proofErr w:type="gramEnd"/>
      <w:r w:rsidRPr="00F72E88">
        <w:rPr>
          <w:lang w:val="fr-FR"/>
        </w:rPr>
        <w:t xml:space="preserve"> qui ne sont pas assujettis à la procédure de coordination de la Section II de l'Article</w:t>
      </w:r>
      <w:r w:rsidR="004A5AC3">
        <w:rPr>
          <w:lang w:val="fr-FR"/>
        </w:rPr>
        <w:t> </w:t>
      </w:r>
      <w:r w:rsidRPr="00F72E88">
        <w:rPr>
          <w:b/>
          <w:bCs/>
          <w:lang w:val="fr-FR"/>
        </w:rPr>
        <w:t>9</w:t>
      </w:r>
      <w:r w:rsidRPr="00F72E88">
        <w:rPr>
          <w:lang w:val="fr-FR"/>
        </w:rPr>
        <w:t>.</w:t>
      </w:r>
    </w:p>
    <w:p w14:paraId="2C73B7FF" w14:textId="12D038EC" w:rsidR="00F72E88" w:rsidRPr="00F72E88" w:rsidRDefault="00F72E88" w:rsidP="00836C7A">
      <w:pPr>
        <w:rPr>
          <w:lang w:val="fr-FR"/>
        </w:rPr>
      </w:pPr>
      <w:r w:rsidRPr="00F72E88">
        <w:rPr>
          <w:lang w:val="fr-FR"/>
        </w:rPr>
        <w:t xml:space="preserve">Conformément à la note 4 (numéro </w:t>
      </w:r>
      <w:r w:rsidRPr="00F72E88">
        <w:rPr>
          <w:b/>
          <w:bCs/>
          <w:lang w:val="fr-FR"/>
        </w:rPr>
        <w:t>A.9.4</w:t>
      </w:r>
      <w:r w:rsidRPr="00F72E88">
        <w:rPr>
          <w:lang w:val="fr-FR"/>
        </w:rPr>
        <w:t xml:space="preserve">) se rapportant au titre de l'Article </w:t>
      </w:r>
      <w:r w:rsidRPr="00F72E88">
        <w:rPr>
          <w:b/>
          <w:bCs/>
          <w:lang w:val="fr-FR"/>
        </w:rPr>
        <w:t>9</w:t>
      </w:r>
      <w:r w:rsidRPr="00F72E88">
        <w:rPr>
          <w:lang w:val="fr-FR"/>
        </w:rPr>
        <w:t xml:space="preserve"> et au § 1 de l'Annexe 1 de la Résolution </w:t>
      </w:r>
      <w:r w:rsidRPr="00F72E88">
        <w:rPr>
          <w:b/>
          <w:bCs/>
          <w:lang w:val="fr-FR"/>
        </w:rPr>
        <w:t>49 (Rév.CMR-</w:t>
      </w:r>
      <w:proofErr w:type="gramStart"/>
      <w:r w:rsidRPr="00F72E88">
        <w:rPr>
          <w:b/>
          <w:bCs/>
          <w:lang w:val="fr-FR"/>
        </w:rPr>
        <w:t>15)</w:t>
      </w:r>
      <w:r w:rsidR="00836C7A" w:rsidRPr="00836C7A">
        <w:rPr>
          <w:b/>
          <w:bCs/>
        </w:rPr>
        <w:t>*</w:t>
      </w:r>
      <w:proofErr w:type="gramEnd"/>
      <w:r w:rsidRPr="00F72E88">
        <w:rPr>
          <w:lang w:val="fr-FR"/>
        </w:rPr>
        <w:t xml:space="preserve">, la Résolution </w:t>
      </w:r>
      <w:r w:rsidRPr="00F72E88">
        <w:rPr>
          <w:b/>
          <w:bCs/>
          <w:lang w:val="fr-FR"/>
        </w:rPr>
        <w:t>49</w:t>
      </w:r>
      <w:r w:rsidRPr="00F72E88">
        <w:rPr>
          <w:lang w:val="fr-FR"/>
        </w:rPr>
        <w:t xml:space="preserve"> doit continuer d'être appliquée en ce qui concerne les réseaux à satellite et les systèmes à satellites assujettis à la coordination conformément aux numéros </w:t>
      </w:r>
      <w:r w:rsidRPr="00F72E88">
        <w:rPr>
          <w:b/>
          <w:bCs/>
          <w:lang w:val="fr-FR"/>
        </w:rPr>
        <w:t>9.7</w:t>
      </w:r>
      <w:r w:rsidRPr="00F72E88">
        <w:rPr>
          <w:lang w:val="fr-FR"/>
        </w:rPr>
        <w:t xml:space="preserve">, </w:t>
      </w:r>
      <w:r w:rsidRPr="00F72E88">
        <w:rPr>
          <w:b/>
          <w:bCs/>
          <w:lang w:val="fr-FR"/>
        </w:rPr>
        <w:t>9.11</w:t>
      </w:r>
      <w:r w:rsidRPr="00F72E88">
        <w:rPr>
          <w:lang w:val="fr-FR"/>
        </w:rPr>
        <w:t xml:space="preserve">, </w:t>
      </w:r>
      <w:r w:rsidRPr="00F72E88">
        <w:rPr>
          <w:b/>
          <w:bCs/>
          <w:lang w:val="fr-FR"/>
        </w:rPr>
        <w:t>9.12</w:t>
      </w:r>
      <w:r w:rsidRPr="00F72E88">
        <w:rPr>
          <w:lang w:val="fr-FR"/>
        </w:rPr>
        <w:t xml:space="preserve">, </w:t>
      </w:r>
      <w:r w:rsidRPr="00F72E88">
        <w:rPr>
          <w:b/>
          <w:bCs/>
          <w:lang w:val="fr-FR"/>
        </w:rPr>
        <w:t>9.12A</w:t>
      </w:r>
      <w:r w:rsidRPr="00F72E88">
        <w:rPr>
          <w:lang w:val="fr-FR"/>
        </w:rPr>
        <w:t xml:space="preserve"> et </w:t>
      </w:r>
      <w:r w:rsidRPr="00F72E88">
        <w:rPr>
          <w:b/>
          <w:bCs/>
          <w:lang w:val="fr-FR"/>
        </w:rPr>
        <w:t>9.13</w:t>
      </w:r>
      <w:r w:rsidRPr="00F72E88">
        <w:rPr>
          <w:lang w:val="fr-FR"/>
        </w:rPr>
        <w:t xml:space="preserve">. Le Comité considère que le point 1 du </w:t>
      </w:r>
      <w:r w:rsidRPr="00F72E88">
        <w:rPr>
          <w:i/>
          <w:iCs/>
          <w:lang w:val="fr-FR"/>
        </w:rPr>
        <w:t>décide</w:t>
      </w:r>
      <w:r w:rsidRPr="00F72E88">
        <w:rPr>
          <w:lang w:val="fr-FR"/>
        </w:rPr>
        <w:t xml:space="preserve"> de la Résolution </w:t>
      </w:r>
      <w:r w:rsidRPr="00F72E88">
        <w:rPr>
          <w:b/>
          <w:bCs/>
          <w:lang w:val="fr-FR"/>
        </w:rPr>
        <w:t>49 (Rév.CMR-</w:t>
      </w:r>
      <w:proofErr w:type="gramStart"/>
      <w:r w:rsidRPr="00F72E88">
        <w:rPr>
          <w:b/>
          <w:bCs/>
          <w:lang w:val="fr-FR"/>
        </w:rPr>
        <w:t>15)</w:t>
      </w:r>
      <w:r w:rsidR="00836C7A" w:rsidRPr="00836C7A">
        <w:rPr>
          <w:b/>
          <w:bCs/>
        </w:rPr>
        <w:t>*</w:t>
      </w:r>
      <w:proofErr w:type="gramEnd"/>
      <w:r w:rsidRPr="00F72E88">
        <w:rPr>
          <w:lang w:val="fr-FR"/>
        </w:rPr>
        <w:t xml:space="preserve"> est également applicable à un réseau à satellite ou un système à satellites du service fixe satellite, du service mobile par satellite ou du service de radiodiffusion par satellite pour lequel les renseignements pour la publication anticipée ont été publiés conformément au numéro </w:t>
      </w:r>
      <w:r w:rsidRPr="00F72E88">
        <w:rPr>
          <w:b/>
          <w:bCs/>
          <w:lang w:val="fr-FR"/>
        </w:rPr>
        <w:t>9.1A</w:t>
      </w:r>
      <w:r w:rsidRPr="00F72E88">
        <w:rPr>
          <w:lang w:val="fr-FR"/>
        </w:rPr>
        <w:t>.</w:t>
      </w:r>
    </w:p>
    <w:p w14:paraId="6E6675F8" w14:textId="77777777" w:rsidR="00685F37" w:rsidRPr="00C70342" w:rsidRDefault="00685F37" w:rsidP="00C70342">
      <w:pPr>
        <w:rPr>
          <w:lang w:val="fr-FR"/>
        </w:rPr>
      </w:pPr>
    </w:p>
    <w:p w14:paraId="6BC89E1B" w14:textId="77777777" w:rsidR="00685F37" w:rsidRPr="00C70342" w:rsidRDefault="00685F37" w:rsidP="00C70342">
      <w:pPr>
        <w:jc w:val="center"/>
        <w:rPr>
          <w:color w:val="000000"/>
          <w:lang w:val="fr-FR"/>
        </w:rPr>
      </w:pPr>
      <w:r w:rsidRPr="00C70342">
        <w:rPr>
          <w:color w:val="000000"/>
          <w:lang w:val="fr-FR"/>
        </w:rPr>
        <w:t>____________________</w:t>
      </w:r>
    </w:p>
    <w:p w14:paraId="0A666B1F" w14:textId="77777777" w:rsidR="00685F37" w:rsidRPr="00C70342" w:rsidRDefault="00685F37" w:rsidP="00C70342">
      <w:pPr>
        <w:rPr>
          <w:lang w:val="fr-FR"/>
        </w:rPr>
      </w:pPr>
    </w:p>
    <w:p w14:paraId="16283ABD" w14:textId="77777777" w:rsidR="00C70342" w:rsidRPr="00C70342" w:rsidRDefault="00C70342" w:rsidP="00C70342">
      <w:pPr>
        <w:rPr>
          <w:lang w:val="fr-FR"/>
        </w:rPr>
      </w:pPr>
    </w:p>
    <w:p w14:paraId="20621A29" w14:textId="77777777" w:rsidR="00685F37" w:rsidRPr="00C70342" w:rsidRDefault="00685F37" w:rsidP="00C70342">
      <w:pPr>
        <w:rPr>
          <w:rtl/>
          <w:lang w:val="fr-FR"/>
        </w:rPr>
        <w:sectPr w:rsidR="00685F37" w:rsidRPr="00C70342">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6E9264E4" w14:textId="77777777" w:rsidR="00685F37" w:rsidRPr="00C70342" w:rsidRDefault="00685F37" w:rsidP="00C70342">
      <w:pPr>
        <w:rPr>
          <w:lang w:val="fr-FR"/>
        </w:rPr>
      </w:pPr>
    </w:p>
    <w:sectPr w:rsidR="00685F37" w:rsidRPr="00C70342" w:rsidSect="00C70342">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DC3EA" w14:textId="77777777" w:rsidR="00F86CEF" w:rsidRDefault="00F86CEF">
      <w:r>
        <w:separator/>
      </w:r>
    </w:p>
  </w:endnote>
  <w:endnote w:type="continuationSeparator" w:id="0">
    <w:p w14:paraId="3EF8F647" w14:textId="77777777" w:rsidR="00F86CEF" w:rsidRDefault="00F8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58268" w14:textId="77777777" w:rsidR="00F86CEF" w:rsidRDefault="00F86CEF">
      <w:r>
        <w:rPr>
          <w:b/>
        </w:rPr>
        <w:t>_______________</w:t>
      </w:r>
    </w:p>
  </w:footnote>
  <w:footnote w:type="continuationSeparator" w:id="0">
    <w:p w14:paraId="18F6CF3D" w14:textId="77777777" w:rsidR="00F86CEF" w:rsidRDefault="00F86CEF">
      <w:r>
        <w:continuationSeparator/>
      </w:r>
    </w:p>
  </w:footnote>
  <w:footnote w:id="1">
    <w:p w14:paraId="718E3F96" w14:textId="38BA6B5E" w:rsidR="00836C7A" w:rsidRPr="00836C7A" w:rsidRDefault="00836C7A" w:rsidP="00C72CDF">
      <w:pPr>
        <w:pStyle w:val="FootnoteText"/>
        <w:rPr>
          <w:lang w:val="en-US"/>
        </w:rPr>
      </w:pPr>
      <w:r>
        <w:rPr>
          <w:rStyle w:val="FootnoteReference"/>
        </w:rPr>
        <w:t>*</w:t>
      </w:r>
      <w:r>
        <w:t xml:space="preserve"> </w:t>
      </w:r>
      <w:r>
        <w:rPr>
          <w:lang w:val="en-US"/>
        </w:rPr>
        <w:tab/>
      </w:r>
      <w:r w:rsidRPr="00836C7A">
        <w:rPr>
          <w:i/>
          <w:iCs/>
        </w:rPr>
        <w:t>Note du Secrétariat</w:t>
      </w:r>
      <w:r w:rsidRPr="00836C7A">
        <w:t xml:space="preserve">: </w:t>
      </w:r>
      <w:r w:rsidR="00C72CDF" w:rsidRPr="00C72CDF">
        <w:rPr>
          <w:lang w:val="fr-CH"/>
        </w:rPr>
        <w:t xml:space="preserve">Cette Résolution a été révisée </w:t>
      </w:r>
      <w:r w:rsidRPr="00836C7A">
        <w:t>par la CMR-19.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5F37" w14:paraId="737E491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9C576D7" w14:textId="69C70949" w:rsidR="00685F37" w:rsidRDefault="00685F37">
          <w:pPr>
            <w:pStyle w:val="HeaderRegProc"/>
          </w:pPr>
          <w:r>
            <w:t xml:space="preserve">Partie </w:t>
          </w:r>
          <w:r w:rsidR="00945D29">
            <w:fldChar w:fldCharType="begin"/>
          </w:r>
          <w:r w:rsidR="00945D29">
            <w:instrText>styleref href</w:instrText>
          </w:r>
          <w:r w:rsidR="00945D29">
            <w:fldChar w:fldCharType="separate"/>
          </w:r>
          <w:r w:rsidR="003A0E72">
            <w:rPr>
              <w:b/>
              <w:bCs w:val="0"/>
              <w:noProof/>
              <w:lang w:val="en-US"/>
            </w:rPr>
            <w:t>Error</w:t>
          </w:r>
          <w:r w:rsidR="003A0E72">
            <w:rPr>
              <w:b/>
              <w:bCs w:val="0"/>
              <w:noProof/>
              <w:rtl/>
              <w:lang w:val="en-US"/>
            </w:rPr>
            <w:t xml:space="preserve">! </w:t>
          </w:r>
          <w:r w:rsidR="003A0E72">
            <w:rPr>
              <w:b/>
              <w:bCs w:val="0"/>
              <w:noProof/>
              <w:lang w:val="en-US"/>
            </w:rPr>
            <w:t>No text of specified style in document</w:t>
          </w:r>
          <w:r w:rsidR="003A0E72">
            <w:rPr>
              <w:b/>
              <w:bCs w:val="0"/>
              <w:noProof/>
              <w:rtl/>
              <w:lang w:val="en-US"/>
            </w:rPr>
            <w:t>.</w:t>
          </w:r>
          <w:r w:rsidR="00945D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6CF50A" w14:textId="1A0DFA76" w:rsidR="00685F37" w:rsidRDefault="003A0E72">
          <w:pPr>
            <w:pStyle w:val="HeaderRegProc"/>
            <w:rPr>
              <w:lang w:val="fr-FR"/>
            </w:rPr>
          </w:pPr>
          <w:r>
            <w:fldChar w:fldCharType="begin"/>
          </w:r>
          <w:r>
            <w:rPr>
              <w:rtl/>
            </w:rPr>
            <w:instrText xml:space="preserve"> </w:instrText>
          </w:r>
          <w:r>
            <w:instrText>DOCPROPERTY "Header1" \* MERGEFORMAT</w:instrText>
          </w:r>
          <w:r>
            <w:rPr>
              <w:rtl/>
            </w:rPr>
            <w:instrText xml:space="preserve"> </w:instrText>
          </w:r>
          <w:r>
            <w:fldChar w:fldCharType="separate"/>
          </w:r>
          <w:r>
            <w:t>AP</w:t>
          </w:r>
          <w:r>
            <w:fldChar w:fldCharType="end"/>
          </w:r>
          <w:r w:rsidR="00945D29">
            <w:fldChar w:fldCharType="begin"/>
          </w:r>
          <w:r w:rsidR="00945D29">
            <w:instrText>styleref href2</w:instrText>
          </w:r>
          <w:r w:rsidR="00945D29">
            <w:fldChar w:fldCharType="separate"/>
          </w:r>
          <w:r>
            <w:rPr>
              <w:b/>
              <w:bCs w:val="0"/>
              <w:noProof/>
              <w:lang w:val="en-US"/>
            </w:rPr>
            <w:t>Error</w:t>
          </w:r>
          <w:r>
            <w:rPr>
              <w:b/>
              <w:bCs w:val="0"/>
              <w:noProof/>
              <w:rtl/>
              <w:lang w:val="en-US"/>
            </w:rPr>
            <w:t xml:space="preserve">! </w:t>
          </w:r>
          <w:r>
            <w:rPr>
              <w:b/>
              <w:bCs w:val="0"/>
              <w:noProof/>
              <w:lang w:val="en-US"/>
            </w:rPr>
            <w:t>No text of specified style in document</w:t>
          </w:r>
          <w:r>
            <w:rPr>
              <w:b/>
              <w:bCs w:val="0"/>
              <w:noProof/>
              <w:rtl/>
              <w:lang w:val="en-US"/>
            </w:rPr>
            <w:t>.</w:t>
          </w:r>
          <w:r w:rsidR="00945D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015FCA" w14:textId="77777777" w:rsidR="00685F37" w:rsidRDefault="00685F3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BC73" w14:textId="456E77CD" w:rsidR="00685F37" w:rsidRDefault="00685F37">
          <w:pPr>
            <w:pStyle w:val="HeaderRegProc"/>
            <w:rPr>
              <w:lang w:val="fr-CH"/>
            </w:rPr>
          </w:pPr>
          <w:proofErr w:type="gramStart"/>
          <w:r>
            <w:rPr>
              <w:lang w:val="fr-CH"/>
            </w:rPr>
            <w:t>rév</w:t>
          </w:r>
          <w:proofErr w:type="gramEnd"/>
          <w:r>
            <w:rPr>
              <w:lang w:val="fr-CH"/>
            </w:rPr>
            <w:t>.</w:t>
          </w:r>
          <w:r w:rsidR="003A0E72">
            <w:fldChar w:fldCharType="begin"/>
          </w:r>
          <w:r w:rsidR="003A0E72">
            <w:rPr>
              <w:rtl/>
            </w:rPr>
            <w:instrText xml:space="preserve"> </w:instrText>
          </w:r>
          <w:r w:rsidR="003A0E72">
            <w:instrText>DOCPROPERTY "Header10" \* MERGEFORMAT</w:instrText>
          </w:r>
          <w:r w:rsidR="003A0E72">
            <w:rPr>
              <w:rtl/>
            </w:rPr>
            <w:instrText xml:space="preserve"> </w:instrText>
          </w:r>
          <w:r w:rsidR="003A0E72">
            <w:fldChar w:fldCharType="separate"/>
          </w:r>
          <w:r w:rsidR="003A0E72" w:rsidRPr="003A0E72">
            <w:rPr>
              <w:rtl/>
              <w:lang w:val="fr-CH"/>
            </w:rPr>
            <w:t>-</w:t>
          </w:r>
          <w:r w:rsidR="003A0E72">
            <w:rPr>
              <w:lang w:val="fr-CH"/>
            </w:rPr>
            <w:fldChar w:fldCharType="end"/>
          </w:r>
        </w:p>
      </w:tc>
    </w:tr>
  </w:tbl>
  <w:p w14:paraId="4EC7C65D" w14:textId="77777777" w:rsidR="00685F37" w:rsidRDefault="00685F3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5F37" w14:paraId="5050B5A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E1A99AD" w14:textId="77777777" w:rsidR="00685F37" w:rsidRDefault="00685F37" w:rsidP="00F72E88">
          <w:pPr>
            <w:pStyle w:val="HeaderRegProc"/>
          </w:pPr>
          <w:r>
            <w:t>Partie A</w:t>
          </w:r>
          <w:r w:rsidR="00F72E88">
            <w:t>1</w:t>
          </w:r>
        </w:p>
      </w:tc>
      <w:tc>
        <w:tcPr>
          <w:tcW w:w="1701" w:type="dxa"/>
          <w:tcBorders>
            <w:top w:val="single" w:sz="6" w:space="0" w:color="auto"/>
            <w:left w:val="single" w:sz="6" w:space="0" w:color="auto"/>
            <w:bottom w:val="single" w:sz="6" w:space="0" w:color="auto"/>
            <w:right w:val="single" w:sz="6" w:space="0" w:color="auto"/>
          </w:tcBorders>
        </w:tcPr>
        <w:p w14:paraId="5D867576" w14:textId="77777777" w:rsidR="00685F37" w:rsidRDefault="00685F37" w:rsidP="00F72E88">
          <w:pPr>
            <w:pStyle w:val="HeaderRegProc"/>
            <w:rPr>
              <w:lang w:val="fr-FR"/>
            </w:rPr>
          </w:pPr>
          <w:r>
            <w:t>RES</w:t>
          </w:r>
          <w:r w:rsidR="00F72E88">
            <w:t>49</w:t>
          </w:r>
        </w:p>
      </w:tc>
      <w:tc>
        <w:tcPr>
          <w:tcW w:w="1701" w:type="dxa"/>
          <w:tcBorders>
            <w:top w:val="single" w:sz="6" w:space="0" w:color="auto"/>
            <w:left w:val="single" w:sz="6" w:space="0" w:color="auto"/>
            <w:bottom w:val="single" w:sz="6" w:space="0" w:color="auto"/>
            <w:right w:val="single" w:sz="6" w:space="0" w:color="auto"/>
          </w:tcBorders>
        </w:tcPr>
        <w:p w14:paraId="0A551433" w14:textId="77777777" w:rsidR="00685F37" w:rsidRDefault="00685F3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803D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F4A451" w14:textId="77777777" w:rsidR="00685F37" w:rsidRDefault="00685F37" w:rsidP="00375554">
          <w:pPr>
            <w:pStyle w:val="HeaderRegProc"/>
            <w:rPr>
              <w:lang w:val="fr-CH"/>
            </w:rPr>
          </w:pPr>
          <w:proofErr w:type="gramStart"/>
          <w:r>
            <w:rPr>
              <w:lang w:val="fr-CH"/>
            </w:rPr>
            <w:t>rév.</w:t>
          </w:r>
          <w:r w:rsidR="00375554">
            <w:rPr>
              <w:lang w:val="fr-CH"/>
            </w:rPr>
            <w:t>-</w:t>
          </w:r>
          <w:proofErr w:type="gramEnd"/>
        </w:p>
      </w:tc>
    </w:tr>
  </w:tbl>
  <w:p w14:paraId="4356B099" w14:textId="77777777" w:rsidR="00685F37" w:rsidRDefault="00685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FDE5C" w14:textId="77777777" w:rsidR="00685F37" w:rsidRDefault="00685F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5F37"/>
    <w:rsid w:val="0009727A"/>
    <w:rsid w:val="00157A36"/>
    <w:rsid w:val="00375554"/>
    <w:rsid w:val="003A0E72"/>
    <w:rsid w:val="00456972"/>
    <w:rsid w:val="004A5AC3"/>
    <w:rsid w:val="00685F37"/>
    <w:rsid w:val="00737239"/>
    <w:rsid w:val="00836C7A"/>
    <w:rsid w:val="009162CF"/>
    <w:rsid w:val="00945D29"/>
    <w:rsid w:val="009803DE"/>
    <w:rsid w:val="00C5503D"/>
    <w:rsid w:val="00C70342"/>
    <w:rsid w:val="00C72CDF"/>
    <w:rsid w:val="00CE655C"/>
    <w:rsid w:val="00F72E88"/>
    <w:rsid w:val="00F8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9D6DC"/>
  <w15:docId w15:val="{4DE46237-2B0A-4266-9CA5-41AA43EEA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89DD2-B56E-44E2-8BF5-E35147E4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TotalTime>
  <Pages>2</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dc:subject>
  <dc:creator>Composition des Publications</dc:creator>
  <cp:keywords>FOLIOS:  1  -  2(bl)</cp:keywords>
  <dc:description>Edition 2009:   10.03.2009/DD (dict. ok)</dc:description>
  <cp:lastModifiedBy>Al-Yammouni, Hala</cp:lastModifiedBy>
  <cp:revision>17</cp:revision>
  <cp:lastPrinted>2021-05-13T12:10:00Z</cp:lastPrinted>
  <dcterms:created xsi:type="dcterms:W3CDTF">2012-08-08T15:46:00Z</dcterms:created>
  <dcterms:modified xsi:type="dcterms:W3CDTF">2021-05-13T12:16:00Z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