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AA226" w14:textId="77777777" w:rsidR="00A42418" w:rsidRPr="00217E8A" w:rsidRDefault="00A42418" w:rsidP="002C05F8">
      <w:pPr>
        <w:pStyle w:val="Heading1"/>
        <w:spacing w:before="0"/>
        <w:jc w:val="center"/>
        <w:rPr>
          <w:color w:val="000000"/>
          <w:lang w:val="fr-FR"/>
        </w:rPr>
      </w:pPr>
      <w:r w:rsidRPr="00217E8A">
        <w:rPr>
          <w:color w:val="000000"/>
          <w:lang w:val="fr-FR"/>
        </w:rPr>
        <w:t>Règles relatives à</w:t>
      </w:r>
    </w:p>
    <w:p w14:paraId="409B6472" w14:textId="77777777" w:rsidR="00A42418" w:rsidRPr="00217E8A" w:rsidRDefault="00A42418" w:rsidP="002C05F8">
      <w:pPr>
        <w:pStyle w:val="Heading2"/>
        <w:spacing w:before="240"/>
        <w:jc w:val="center"/>
        <w:rPr>
          <w:color w:val="000000"/>
          <w:lang w:val="fr-FR"/>
        </w:rPr>
      </w:pPr>
      <w:r w:rsidRPr="00217E8A">
        <w:rPr>
          <w:color w:val="000000"/>
          <w:lang w:val="fr-FR"/>
        </w:rPr>
        <w:t xml:space="preserve">l'APPENDICE  </w:t>
      </w:r>
      <w:r w:rsidRPr="00217E8A">
        <w:rPr>
          <w:rStyle w:val="href2"/>
          <w:color w:val="000000"/>
          <w:lang w:val="fr-FR"/>
        </w:rPr>
        <w:t>4</w:t>
      </w:r>
      <w:r w:rsidRPr="00217E8A">
        <w:rPr>
          <w:color w:val="000000"/>
          <w:lang w:val="fr-FR"/>
        </w:rPr>
        <w:t xml:space="preserve"> du RR</w:t>
      </w:r>
    </w:p>
    <w:p w14:paraId="24693EAF" w14:textId="77777777"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14:paraId="74968E2C" w14:textId="77777777" w:rsidR="00A82587" w:rsidRPr="00217E8A" w:rsidRDefault="00A82587" w:rsidP="00217E8A">
      <w:pPr>
        <w:pStyle w:val="Heading9"/>
        <w:ind w:right="7768"/>
        <w:rPr>
          <w:color w:val="000000"/>
          <w:lang w:val="fr-FR"/>
        </w:rPr>
      </w:pPr>
      <w:r w:rsidRPr="00217E8A">
        <w:rPr>
          <w:color w:val="000000"/>
          <w:sz w:val="22"/>
          <w:szCs w:val="22"/>
          <w:lang w:val="fr-FR"/>
        </w:rPr>
        <w:t>POINT  3A1</w:t>
      </w:r>
      <w:bookmarkStart w:id="0" w:name="_GoBack"/>
      <w:bookmarkEnd w:id="0"/>
    </w:p>
    <w:p w14:paraId="4ED91C94" w14:textId="77777777"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notificatrice doit être informée en conséquence.</w:t>
      </w:r>
    </w:p>
    <w:p w14:paraId="7A2A377F" w14:textId="77777777" w:rsidR="00A42418" w:rsidRDefault="00A42418">
      <w:pPr>
        <w:pStyle w:val="Heading8"/>
        <w:rPr>
          <w:color w:val="000000"/>
          <w:lang w:val="fr-FR"/>
        </w:rPr>
      </w:pPr>
      <w:r w:rsidRPr="00217E8A">
        <w:rPr>
          <w:color w:val="000000"/>
          <w:lang w:val="fr-FR"/>
        </w:rPr>
        <w:t>An. 2</w:t>
      </w:r>
    </w:p>
    <w:p w14:paraId="40A00C41" w14:textId="77777777" w:rsidR="002C05F8" w:rsidRPr="002C05F8" w:rsidRDefault="002C05F8" w:rsidP="002C05F8">
      <w:pPr>
        <w:pBdr>
          <w:top w:val="double" w:sz="4" w:space="1" w:color="auto"/>
          <w:left w:val="double" w:sz="4" w:space="4" w:color="auto"/>
          <w:bottom w:val="double" w:sz="4" w:space="1" w:color="auto"/>
          <w:right w:val="double" w:sz="4" w:space="4" w:color="auto"/>
        </w:pBdr>
        <w:jc w:val="center"/>
        <w:rPr>
          <w:b/>
          <w:bCs/>
          <w:lang w:val="fr-FR"/>
        </w:rPr>
      </w:pPr>
      <w:r w:rsidRPr="002C05F8">
        <w:rPr>
          <w:b/>
          <w:bCs/>
          <w:lang w:val="fr-FR"/>
        </w:rPr>
        <w:t xml:space="preserve">Engagement concernant la mise en oeuvre du point 1.4 du </w:t>
      </w:r>
      <w:r w:rsidRPr="002C05F8">
        <w:rPr>
          <w:b/>
          <w:bCs/>
          <w:i/>
          <w:iCs/>
          <w:lang w:val="fr-FR"/>
        </w:rPr>
        <w:t>décide</w:t>
      </w:r>
      <w:r w:rsidRPr="002C05F8">
        <w:rPr>
          <w:b/>
          <w:bCs/>
          <w:lang w:val="fr-FR"/>
        </w:rPr>
        <w:t xml:space="preserve"> de </w:t>
      </w:r>
      <w:r w:rsidRPr="002C05F8">
        <w:rPr>
          <w:b/>
          <w:bCs/>
          <w:lang w:val="fr-FR"/>
        </w:rPr>
        <w:br/>
        <w:t>la Résolution 156 (CMR</w:t>
      </w:r>
      <w:r w:rsidRPr="002C05F8">
        <w:rPr>
          <w:b/>
          <w:bCs/>
          <w:lang w:val="fr-FR"/>
        </w:rPr>
        <w:noBreakHyphen/>
        <w:t>15)</w:t>
      </w:r>
    </w:p>
    <w:p w14:paraId="57030309" w14:textId="77777777" w:rsidR="002C05F8" w:rsidRPr="002C05F8" w:rsidRDefault="002C05F8" w:rsidP="002C05F8">
      <w:pPr>
        <w:rPr>
          <w:lang w:val="fr-FR"/>
        </w:rPr>
      </w:pPr>
      <w:r w:rsidRPr="002C05F8">
        <w:rPr>
          <w:lang w:val="fr-FR"/>
        </w:rPr>
        <w:t xml:space="preserve">Le Comité a noté que, conformément au point 1.5 du </w:t>
      </w:r>
      <w:r w:rsidRPr="002C05F8">
        <w:rPr>
          <w:i/>
          <w:iCs/>
          <w:lang w:val="fr-FR"/>
        </w:rPr>
        <w:t>décide</w:t>
      </w:r>
      <w:r w:rsidRPr="002C05F8">
        <w:rPr>
          <w:lang w:val="fr-FR"/>
        </w:rPr>
        <w:t xml:space="preserve"> de la Résolution</w:t>
      </w:r>
      <w:r w:rsidRPr="002C05F8">
        <w:rPr>
          <w:i/>
          <w:iCs/>
          <w:lang w:val="fr-FR"/>
        </w:rPr>
        <w:t xml:space="preserve"> </w:t>
      </w:r>
      <w:r w:rsidRPr="002C05F8">
        <w:rPr>
          <w:b/>
          <w:bCs/>
          <w:lang w:val="fr-FR"/>
        </w:rPr>
        <w:t>156 (CMR</w:t>
      </w:r>
      <w:r w:rsidRPr="002C05F8">
        <w:rPr>
          <w:b/>
          <w:bCs/>
          <w:lang w:val="fr-FR"/>
        </w:rPr>
        <w:noBreakHyphen/>
        <w:t>15)</w:t>
      </w:r>
      <w:r w:rsidRPr="002C05F8">
        <w:rPr>
          <w:lang w:val="fr-FR"/>
        </w:rPr>
        <w:t xml:space="preserve">, les administrations doivent indiquer au Bureau qu'elles s'engagent à mettre en oeuvre le point 1.4 du </w:t>
      </w:r>
      <w:r w:rsidRPr="002C05F8">
        <w:rPr>
          <w:i/>
          <w:iCs/>
          <w:lang w:val="fr-FR"/>
        </w:rPr>
        <w:t>décide</w:t>
      </w:r>
      <w:r w:rsidRPr="002C05F8">
        <w:rPr>
          <w:lang w:val="fr-FR"/>
        </w:rPr>
        <w:t xml:space="preserve"> de ladite Résolution. En outre, le Comité a noté que cet élément de données est obligatoire pour la notification ou la coordination d'un réseau à satellite géostationnaire utilisant les bandes de fréquences 19,7-20,2 GHz et 29,5-30,0 GHz pour les stations terriennes en mouvement communiquant dans le service fixe par satellite.</w:t>
      </w:r>
    </w:p>
    <w:p w14:paraId="29985FEA" w14:textId="77777777" w:rsidR="002C05F8" w:rsidRPr="002C05F8" w:rsidRDefault="002C05F8" w:rsidP="002C05F8">
      <w:pPr>
        <w:rPr>
          <w:lang w:val="fr-FR"/>
        </w:rPr>
      </w:pPr>
      <w:r w:rsidRPr="002C05F8">
        <w:rPr>
          <w:lang w:val="fr-FR"/>
        </w:rPr>
        <w:t xml:space="preserve">Or, cet élément de données ne figure pas dans l'Appendice </w:t>
      </w:r>
      <w:r w:rsidRPr="002C05F8">
        <w:rPr>
          <w:b/>
          <w:bCs/>
          <w:lang w:val="fr-FR"/>
        </w:rPr>
        <w:t>4</w:t>
      </w:r>
      <w:r w:rsidRPr="002C05F8">
        <w:rPr>
          <w:lang w:val="fr-FR"/>
        </w:rPr>
        <w:t xml:space="preserve">. Pour corriger cette lacune, le Comité a décidé qu'il sera demandé aux administrations de fournir, en plus des caractéristiques pertinentes énumérées dans l'Appendice </w:t>
      </w:r>
      <w:r w:rsidRPr="002C05F8">
        <w:rPr>
          <w:b/>
          <w:bCs/>
          <w:lang w:val="fr-FR"/>
        </w:rPr>
        <w:t>4</w:t>
      </w:r>
      <w:r w:rsidRPr="002C05F8">
        <w:rPr>
          <w:lang w:val="fr-FR"/>
        </w:rPr>
        <w:t xml:space="preserve">, et conformément au point 1.5 du </w:t>
      </w:r>
      <w:r w:rsidRPr="002C05F8">
        <w:rPr>
          <w:i/>
          <w:iCs/>
          <w:lang w:val="fr-FR"/>
        </w:rPr>
        <w:t>décide</w:t>
      </w:r>
      <w:r w:rsidRPr="002C05F8">
        <w:rPr>
          <w:lang w:val="fr-FR"/>
        </w:rPr>
        <w:t xml:space="preserve"> de la Résolution</w:t>
      </w:r>
      <w:r w:rsidRPr="002C05F8">
        <w:rPr>
          <w:i/>
          <w:iCs/>
          <w:lang w:val="fr-FR"/>
        </w:rPr>
        <w:t> </w:t>
      </w:r>
      <w:r w:rsidRPr="002C05F8">
        <w:rPr>
          <w:b/>
          <w:bCs/>
          <w:lang w:val="fr-FR"/>
        </w:rPr>
        <w:t>156 (CMR</w:t>
      </w:r>
      <w:r w:rsidRPr="002C05F8">
        <w:rPr>
          <w:b/>
          <w:bCs/>
          <w:lang w:val="fr-FR"/>
        </w:rPr>
        <w:noBreakHyphen/>
        <w:t>15)</w:t>
      </w:r>
      <w:r w:rsidRPr="002C05F8">
        <w:rPr>
          <w:lang w:val="fr-FR"/>
        </w:rPr>
        <w:t xml:space="preserve">, l'engagement qu'elles mettront en oeuvre le point 1.4 du </w:t>
      </w:r>
      <w:r w:rsidRPr="002C05F8">
        <w:rPr>
          <w:i/>
          <w:iCs/>
          <w:lang w:val="fr-FR"/>
        </w:rPr>
        <w:t>décide</w:t>
      </w:r>
      <w:r w:rsidRPr="002C05F8">
        <w:rPr>
          <w:lang w:val="fr-FR"/>
        </w:rPr>
        <w:t xml:space="preserve"> de ladite Résolution. Le Bureau tiendra alors ultérieurement compte de cet élément de données lorsqu'il vérifiera que les données soumises sont complètes et lorsqu'il procédera à l'examen au titre des numéros </w:t>
      </w:r>
      <w:r w:rsidRPr="002C05F8">
        <w:rPr>
          <w:b/>
          <w:bCs/>
          <w:lang w:val="fr-FR"/>
        </w:rPr>
        <w:t>9.35</w:t>
      </w:r>
      <w:r w:rsidRPr="002C05F8">
        <w:rPr>
          <w:lang w:val="fr-FR"/>
        </w:rPr>
        <w:t xml:space="preserve"> et </w:t>
      </w:r>
      <w:r w:rsidRPr="002C05F8">
        <w:rPr>
          <w:b/>
          <w:bCs/>
          <w:lang w:val="fr-FR"/>
        </w:rPr>
        <w:t>11.31</w:t>
      </w:r>
      <w:r w:rsidRPr="002C05F8">
        <w:rPr>
          <w:lang w:val="fr-FR"/>
        </w:rPr>
        <w:t xml:space="preserve"> du Règlement des radiocommunications.</w:t>
      </w:r>
    </w:p>
    <w:p w14:paraId="55A46035" w14:textId="77777777" w:rsidR="00FA53B3" w:rsidRDefault="00FA53B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1E0BC70B" w14:textId="77777777" w:rsidR="002C05F8" w:rsidRPr="00217E8A" w:rsidRDefault="002C05F8" w:rsidP="00FC5E4F">
      <w:pPr>
        <w:pStyle w:val="Heading9"/>
        <w:rPr>
          <w:lang w:val="fr-FR"/>
        </w:rPr>
      </w:pPr>
      <w:r w:rsidRPr="00217E8A">
        <w:rPr>
          <w:lang w:val="fr-FR"/>
        </w:rPr>
        <w:lastRenderedPageBreak/>
        <w:t>A.1</w:t>
      </w:r>
      <w:r>
        <w:rPr>
          <w:lang w:val="fr-FR"/>
        </w:rPr>
        <w:t>7.d</w:t>
      </w:r>
    </w:p>
    <w:p w14:paraId="44DFB927" w14:textId="77777777" w:rsidR="002C05F8" w:rsidRPr="002C05F8" w:rsidRDefault="002C05F8" w:rsidP="00D07FA9">
      <w:pPr>
        <w:rPr>
          <w:lang w:val="fr-FR"/>
        </w:rPr>
      </w:pPr>
      <w:r w:rsidRPr="002C05F8">
        <w:rPr>
          <w:lang w:val="fr-FR"/>
        </w:rPr>
        <w:t>La CMR-15 a modifié le point A.17.d concernant la soumission de la puissance surfacique moyenne rayonnée à la surface de la Terre par un détecteur spatioporté pour la bande de fréquences 9 900</w:t>
      </w:r>
      <w:r w:rsidRPr="002C05F8">
        <w:rPr>
          <w:lang w:val="fr-FR"/>
        </w:rPr>
        <w:noBreakHyphen/>
        <w:t xml:space="preserve">10 400 MHz dans le cas d'un système à satellites fonctionnant dans le service d'exploration de la Terre par satellite (active) tel que défini dans le Tableau </w:t>
      </w:r>
      <w:r w:rsidRPr="00D07FA9">
        <w:rPr>
          <w:b/>
          <w:bCs/>
          <w:lang w:val="fr-FR"/>
        </w:rPr>
        <w:t>21-4</w:t>
      </w:r>
      <w:r w:rsidRPr="002C05F8">
        <w:rPr>
          <w:lang w:val="fr-FR"/>
        </w:rPr>
        <w:t>. Etant donné que les limites dépendent des angles d'arrivée, la puissance surfacique moyenne doit être fournie pour chaque angle d'arrivée. La formule définissant la puissance surfacique moyenne définie dans le Tableau </w:t>
      </w:r>
      <w:r w:rsidRPr="00D07FA9">
        <w:rPr>
          <w:b/>
          <w:bCs/>
          <w:lang w:val="fr-FR"/>
        </w:rPr>
        <w:t>21</w:t>
      </w:r>
      <w:r w:rsidRPr="00D07FA9">
        <w:rPr>
          <w:b/>
          <w:bCs/>
          <w:lang w:val="fr-FR"/>
        </w:rPr>
        <w:noBreakHyphen/>
        <w:t>4</w:t>
      </w:r>
      <w:r w:rsidRPr="002C05F8">
        <w:rPr>
          <w:lang w:val="fr-FR"/>
        </w:rPr>
        <w:t xml:space="preserve"> est indiquée au numéro </w:t>
      </w:r>
      <w:r w:rsidRPr="002C05F8">
        <w:rPr>
          <w:b/>
          <w:bCs/>
          <w:lang w:val="fr-FR"/>
        </w:rPr>
        <w:t>21.16.8</w:t>
      </w:r>
      <w:r w:rsidRPr="002C05F8">
        <w:rPr>
          <w:lang w:val="fr-FR"/>
        </w:rPr>
        <w:t>. Le Bureau peut calculer la puissance surfacique moyenne sur la base des angles d'arrivée si les renseignements relatifs à la largeur de bande nécessaire (point C.7a), qui ne sont pas exigés actuellement pour les détecteurs actifs ou passifs, sont soumis. Les renseignements relatifs à la largeur de bande nécessaire doivent également être fournis pour permettre au Bureau d'examiner la conformité des assignations de fréquence soumises relativement au numéro</w:t>
      </w:r>
      <w:r w:rsidR="00D07FA9">
        <w:rPr>
          <w:lang w:val="fr-FR"/>
        </w:rPr>
        <w:t> </w:t>
      </w:r>
      <w:r w:rsidRPr="002C05F8">
        <w:rPr>
          <w:b/>
          <w:bCs/>
          <w:lang w:val="fr-FR"/>
        </w:rPr>
        <w:t>5.474A</w:t>
      </w:r>
      <w:r w:rsidRPr="002C05F8">
        <w:rPr>
          <w:lang w:val="fr-FR"/>
        </w:rPr>
        <w:t>.</w:t>
      </w:r>
    </w:p>
    <w:p w14:paraId="55CEE3EF" w14:textId="77777777" w:rsidR="002C05F8" w:rsidRPr="002C05F8" w:rsidRDefault="002C05F8" w:rsidP="00FC5E4F">
      <w:pPr>
        <w:rPr>
          <w:lang w:val="fr-FR"/>
        </w:rPr>
      </w:pPr>
      <w:r w:rsidRPr="002C05F8">
        <w:rPr>
          <w:lang w:val="fr-FR"/>
        </w:rPr>
        <w:t xml:space="preserve">Compte tenu de ce qui précède, le Comité a décidé que les administrations devront fournir, en plus des caractéristiques pertinentes énumérées dans l'Appendice </w:t>
      </w:r>
      <w:r w:rsidRPr="002C05F8">
        <w:rPr>
          <w:b/>
          <w:bCs/>
          <w:lang w:val="fr-FR"/>
        </w:rPr>
        <w:t>4</w:t>
      </w:r>
      <w:r w:rsidRPr="002C05F8">
        <w:rPr>
          <w:lang w:val="fr-FR"/>
        </w:rPr>
        <w:t xml:space="preserve">, les renseignements relatifs à la largeur de bande d'émission SAR au titre du point C.7.a (largeur de bande nécessaire) pour les détecteurs actifs fonctionnant dans le service d'exploration de la Terre par satellite (active) dans la bande de fréquences 9 900-10 400 MHz, au lieu de soumettre la puissance surfacique moyenne. Le Bureau tiendra alors ultérieurement compte de cet élément de données lorsqu'il procédera à l'examen au titre du numéro </w:t>
      </w:r>
      <w:r w:rsidRPr="002C05F8">
        <w:rPr>
          <w:b/>
          <w:bCs/>
          <w:lang w:val="fr-FR"/>
        </w:rPr>
        <w:t>11.31</w:t>
      </w:r>
      <w:r w:rsidRPr="002C05F8">
        <w:rPr>
          <w:lang w:val="fr-FR"/>
        </w:rPr>
        <w:t xml:space="preserve"> du Règlement des radiocommunications.</w:t>
      </w:r>
    </w:p>
    <w:p w14:paraId="7D0B2EB3" w14:textId="77777777" w:rsidR="00A42418" w:rsidRPr="00217E8A" w:rsidRDefault="00A42418">
      <w:pPr>
        <w:pStyle w:val="Heading9"/>
        <w:rPr>
          <w:lang w:val="fr-FR"/>
        </w:rPr>
      </w:pPr>
      <w:r w:rsidRPr="00217E8A">
        <w:rPr>
          <w:lang w:val="fr-FR"/>
        </w:rPr>
        <w:t xml:space="preserve">A.18 </w:t>
      </w:r>
      <w:r w:rsidRPr="00217E8A">
        <w:rPr>
          <w:i/>
          <w:iCs/>
          <w:lang w:val="fr-FR"/>
        </w:rPr>
        <w:t>a)</w:t>
      </w:r>
    </w:p>
    <w:p w14:paraId="310B71EE" w14:textId="77777777"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14:paraId="1F1E7654" w14:textId="77777777"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14:paraId="6EAE3733" w14:textId="77777777" w:rsidR="00A42418" w:rsidRPr="00217E8A"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14:paraId="2C8892B2" w14:textId="77777777" w:rsidR="00A42418" w:rsidRPr="00217E8A" w:rsidRDefault="00A42418">
      <w:pPr>
        <w:pStyle w:val="Heading9"/>
        <w:rPr>
          <w:color w:val="000000"/>
          <w:lang w:val="fr-FR"/>
        </w:rPr>
      </w:pPr>
      <w:r w:rsidRPr="00217E8A">
        <w:rPr>
          <w:color w:val="000000"/>
          <w:lang w:val="fr-FR"/>
        </w:rPr>
        <w:lastRenderedPageBreak/>
        <w:t xml:space="preserve">B.4 </w:t>
      </w:r>
      <w:r w:rsidRPr="00217E8A">
        <w:rPr>
          <w:i/>
          <w:color w:val="000000"/>
          <w:lang w:val="fr-FR"/>
        </w:rPr>
        <w:t>a)</w:t>
      </w:r>
    </w:p>
    <w:p w14:paraId="0E707130" w14:textId="77777777"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r w:rsidRPr="00217E8A">
        <w:rPr>
          <w:rStyle w:val="Appref"/>
          <w:b/>
          <w:bCs/>
          <w:color w:val="000000"/>
          <w:lang w:val="fr-FR"/>
        </w:rPr>
        <w:t>4</w:t>
      </w:r>
      <w:r w:rsidRPr="00217E8A">
        <w:rPr>
          <w:color w:val="000000"/>
          <w:lang w:val="fr-FR"/>
        </w:rPr>
        <w:t>:</w:t>
      </w:r>
    </w:p>
    <w:p w14:paraId="0AB2EC99" w14:textId="77777777"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14:paraId="0D2B58DD" w14:textId="77777777"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indiquer si nécessaire:</w:t>
      </w:r>
    </w:p>
    <w:p w14:paraId="52FCE15D" w14:textId="77777777"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(dBi)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dB, si nécessaire, par rapport au gain d'antenne maximal, lorsque l'un quelconque de ces contours est situé, en totalité ou en partie, dans les limites de visibilité de la Terre à partir du satellite non OSG en question;</w:t>
      </w:r>
    </w:p>
    <w:p w14:paraId="4A5E86C6" w14:textId="77777777" w:rsidR="00A42418" w:rsidRPr="00217E8A" w:rsidRDefault="00A42418" w:rsidP="00217E8A">
      <w:pPr>
        <w:pStyle w:val="enumlev1"/>
        <w:ind w:left="0" w:firstLine="0"/>
        <w:rPr>
          <w:lang w:val="fr-FR"/>
        </w:rPr>
      </w:pPr>
      <w:r w:rsidRPr="00217E8A">
        <w:rPr>
          <w:lang w:val="fr-FR"/>
        </w:rPr>
        <w:t>1.2</w:t>
      </w:r>
      <w:r w:rsidRPr="00217E8A">
        <w:rPr>
          <w:lang w:val="fr-FR"/>
        </w:rPr>
        <w:tab/>
        <w:t>dans le cas d'une station spatiale placée à bord d'un satellite non OSG en orbite circulaire où un faisceau orientable est utilisé, les données relatives aux caractéristiques de rayonnement de l'antenne sont fournies comme suit:</w:t>
      </w:r>
    </w:p>
    <w:p w14:paraId="2765398A" w14:textId="77777777"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identique à la zone de service mondiale ou quasi mondiale, ne fournir que le gain isotrope d'antenne maximal (dBi), qui s'applique à tous les points de la surface visible de la Terre;</w:t>
      </w:r>
    </w:p>
    <w:p w14:paraId="715D3447" w14:textId="77777777"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14:paraId="1FAB7D22" w14:textId="77777777"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Les renseignements supplémentaires indiqués aux § 1.1 et 1.2 ci-dessus sont demandés à titre facultatif. Lors de l'examen d'un cas de ce genre, le Bureau utilisera les renseignements les plus détaillés qui lui seront fournis pour calculer les valeurs de puissance surfacique; en l'absence de tels renseignements, le calcul sera effectué selon les modalités actuelles sur la base de la p.i.r.e. maximale émise.</w:t>
      </w:r>
    </w:p>
    <w:p w14:paraId="10EC4637" w14:textId="77777777" w:rsidR="00A42418" w:rsidRPr="00217E8A" w:rsidRDefault="00A42418">
      <w:pPr>
        <w:rPr>
          <w:lang w:val="fr-FR"/>
        </w:rPr>
      </w:pPr>
    </w:p>
    <w:p w14:paraId="534E5CAF" w14:textId="77777777" w:rsidR="00A42418" w:rsidRPr="00217E8A" w:rsidRDefault="00A42418" w:rsidP="00A964B9">
      <w:pPr>
        <w:jc w:val="center"/>
        <w:rPr>
          <w:lang w:val="fr-FR"/>
        </w:rPr>
        <w:sectPr w:rsidR="00A42418" w:rsidRPr="00217E8A" w:rsidSect="00FA53B3">
          <w:headerReference w:type="even" r:id="rId6"/>
          <w:headerReference w:type="default" r:id="rId7"/>
          <w:footnotePr>
            <w:pos w:val="beneathText"/>
          </w:footnotePr>
          <w:pgSz w:w="11907" w:h="16840" w:code="9"/>
          <w:pgMar w:top="1701" w:right="851" w:bottom="1134" w:left="1985" w:header="720" w:footer="482" w:gutter="0"/>
          <w:pgNumType w:start="1"/>
          <w:cols w:space="720"/>
          <w:vAlign w:val="both"/>
        </w:sectPr>
      </w:pPr>
      <w:r w:rsidRPr="00217E8A">
        <w:rPr>
          <w:color w:val="000000"/>
          <w:lang w:val="fr-FR"/>
        </w:rPr>
        <w:t>____________________</w:t>
      </w:r>
    </w:p>
    <w:p w14:paraId="004681F7" w14:textId="77777777" w:rsidR="00A42418" w:rsidRPr="00217E8A" w:rsidRDefault="00A42418" w:rsidP="00217E8A">
      <w:pPr>
        <w:rPr>
          <w:lang w:val="fr-FR"/>
        </w:rPr>
      </w:pPr>
    </w:p>
    <w:sectPr w:rsidR="00A42418" w:rsidRPr="00217E8A">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20FF7" w14:textId="77777777" w:rsidR="00541D30" w:rsidRDefault="00541D30">
      <w:r>
        <w:separator/>
      </w:r>
    </w:p>
  </w:endnote>
  <w:endnote w:type="continuationSeparator" w:id="0">
    <w:p w14:paraId="40C0D556" w14:textId="77777777" w:rsidR="00541D30" w:rsidRDefault="005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92C9" w14:textId="77777777" w:rsidR="00541D30" w:rsidRDefault="00541D30">
      <w:r>
        <w:rPr>
          <w:b/>
        </w:rPr>
        <w:t>_______________</w:t>
      </w:r>
    </w:p>
  </w:footnote>
  <w:footnote w:type="continuationSeparator" w:id="0">
    <w:p w14:paraId="57993DF3" w14:textId="77777777" w:rsidR="00541D30" w:rsidRDefault="0054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922B6" w14:paraId="4EF6184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20680FE" w14:textId="3F4B32B1" w:rsidR="00D922B6" w:rsidRDefault="00D922B6">
          <w:pPr>
            <w:pStyle w:val="HeaderRegProc"/>
          </w:pPr>
          <w:r>
            <w:t>Partie A</w:t>
          </w:r>
          <w:r>
            <w:fldChar w:fldCharType="begin"/>
          </w:r>
          <w:r>
            <w:instrText>styleref href</w:instrText>
          </w:r>
          <w:r>
            <w:fldChar w:fldCharType="separate"/>
          </w:r>
          <w:r w:rsidR="0096577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8F828A" w14:textId="5363A675" w:rsidR="00D922B6" w:rsidRDefault="00D07FA9">
          <w:pPr>
            <w:pStyle w:val="HeaderRegProc"/>
            <w:rPr>
              <w:lang w:val="fr-FR"/>
            </w:rPr>
          </w:pPr>
          <w:fldSimple w:instr=" DOCPROPERTY &quot;Header1&quot; \* MERGEFORMAT ">
            <w:r w:rsidR="00965776">
              <w:t>AP</w:t>
            </w:r>
          </w:fldSimple>
          <w:r w:rsidR="00D922B6">
            <w:fldChar w:fldCharType="begin"/>
          </w:r>
          <w:r w:rsidR="00D922B6">
            <w:instrText>styleref href2</w:instrText>
          </w:r>
          <w:r w:rsidR="00D922B6">
            <w:fldChar w:fldCharType="separate"/>
          </w:r>
          <w:r w:rsidR="00965776">
            <w:rPr>
              <w:noProof/>
            </w:rPr>
            <w:t>4</w:t>
          </w:r>
          <w:r w:rsidR="00D922B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8FC20C" w14:textId="77777777" w:rsidR="00D922B6" w:rsidRDefault="00D922B6" w:rsidP="002C05F8">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7FA9">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141EFF" w14:textId="77777777" w:rsidR="00D922B6" w:rsidRDefault="00D922B6" w:rsidP="00A40A45">
          <w:pPr>
            <w:pStyle w:val="HeaderRegProc"/>
            <w:rPr>
              <w:lang w:val="fr-CH"/>
            </w:rPr>
          </w:pPr>
          <w:r>
            <w:rPr>
              <w:lang w:val="fr-CH"/>
            </w:rPr>
            <w:t>rév.</w:t>
          </w:r>
          <w:r w:rsidR="00A40A45">
            <w:t>-</w:t>
          </w:r>
        </w:p>
      </w:tc>
    </w:tr>
  </w:tbl>
  <w:p w14:paraId="520DDDD1" w14:textId="77777777" w:rsidR="00D922B6" w:rsidRDefault="00D922B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5F8" w14:paraId="3840803F"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14167B37" w14:textId="77777777" w:rsidR="002C05F8" w:rsidRDefault="002C05F8"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D81AA33" w14:textId="180C78D8" w:rsidR="002C05F8" w:rsidRDefault="00D07FA9" w:rsidP="00D66B04">
          <w:pPr>
            <w:pStyle w:val="HeaderRegProc"/>
            <w:jc w:val="left"/>
            <w:rPr>
              <w:color w:val="000000"/>
              <w:lang w:val="fr-CH"/>
            </w:rPr>
          </w:pPr>
          <w:fldSimple w:instr=" DOCPROPERTY &quot;Header1&quot; \* MERGEFORMAT ">
            <w:r w:rsidR="00965776">
              <w:t>AP</w:t>
            </w:r>
          </w:fldSimple>
          <w:r w:rsidR="002C05F8">
            <w:fldChar w:fldCharType="begin"/>
          </w:r>
          <w:r w:rsidR="002C05F8">
            <w:instrText>styleref href2</w:instrText>
          </w:r>
          <w:r w:rsidR="002C05F8">
            <w:fldChar w:fldCharType="separate"/>
          </w:r>
          <w:r w:rsidR="00965776">
            <w:rPr>
              <w:noProof/>
            </w:rPr>
            <w:t>4</w:t>
          </w:r>
          <w:r w:rsidR="002C05F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6B295D" w14:textId="77777777" w:rsidR="002C05F8" w:rsidRDefault="002C05F8" w:rsidP="00D66B04">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7FA9">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1EAF86" w14:textId="77777777" w:rsidR="002C05F8" w:rsidRDefault="002C05F8" w:rsidP="00D66B04">
          <w:pPr>
            <w:pStyle w:val="HeaderRegProc"/>
            <w:jc w:val="left"/>
            <w:rPr>
              <w:color w:val="000000"/>
              <w:lang w:val="fr-CH"/>
            </w:rPr>
          </w:pPr>
          <w:r>
            <w:rPr>
              <w:color w:val="000000"/>
              <w:lang w:val="fr-CH"/>
            </w:rPr>
            <w:t>rév.-</w:t>
          </w:r>
        </w:p>
      </w:tc>
    </w:tr>
  </w:tbl>
  <w:p w14:paraId="1D84BF30" w14:textId="77777777" w:rsidR="002C05F8" w:rsidRPr="00217E8A" w:rsidRDefault="002C05F8" w:rsidP="0021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D57C1" w14:textId="77777777" w:rsidR="00A42418" w:rsidRDefault="00A424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587"/>
    <w:rsid w:val="000D198D"/>
    <w:rsid w:val="00217E8A"/>
    <w:rsid w:val="00244A5D"/>
    <w:rsid w:val="002C05F8"/>
    <w:rsid w:val="00366E8C"/>
    <w:rsid w:val="004F67C8"/>
    <w:rsid w:val="00541D30"/>
    <w:rsid w:val="00761E18"/>
    <w:rsid w:val="008F0422"/>
    <w:rsid w:val="00965776"/>
    <w:rsid w:val="00982263"/>
    <w:rsid w:val="00A40A45"/>
    <w:rsid w:val="00A42418"/>
    <w:rsid w:val="00A82587"/>
    <w:rsid w:val="00A964B9"/>
    <w:rsid w:val="00AB5783"/>
    <w:rsid w:val="00D07FA9"/>
    <w:rsid w:val="00D171DF"/>
    <w:rsid w:val="00D53BE0"/>
    <w:rsid w:val="00D66B04"/>
    <w:rsid w:val="00D922B6"/>
    <w:rsid w:val="00DB1E82"/>
    <w:rsid w:val="00FA53B3"/>
    <w:rsid w:val="00FC5E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AB3C7E"/>
  <w15:docId w15:val="{D29DDE59-CA56-4E2B-B771-86EFC9A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5</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23.02.2009/DD  (dict. ok)  </dc:description>
  <cp:lastModifiedBy>Gachet, Christelle</cp:lastModifiedBy>
  <cp:revision>16</cp:revision>
  <cp:lastPrinted>2020-12-15T09:41:00Z</cp:lastPrinted>
  <dcterms:created xsi:type="dcterms:W3CDTF">2012-08-08T15:31:00Z</dcterms:created>
  <dcterms:modified xsi:type="dcterms:W3CDTF">2020-12-15T09:42:00Z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