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FDF9A" w14:textId="77777777" w:rsidR="00004387" w:rsidRPr="00D55C73" w:rsidRDefault="00004387" w:rsidP="00C477B4">
      <w:pPr>
        <w:pStyle w:val="Heading1"/>
        <w:spacing w:before="0"/>
        <w:jc w:val="center"/>
        <w:rPr>
          <w:color w:val="000000"/>
          <w:lang w:val="es-ES_tradnl"/>
        </w:rPr>
      </w:pPr>
      <w:r w:rsidRPr="00D55C73">
        <w:rPr>
          <w:color w:val="000000"/>
          <w:lang w:val="es-ES_tradnl"/>
        </w:rPr>
        <w:t>Reglas relativas al</w:t>
      </w:r>
    </w:p>
    <w:p w14:paraId="4B6201F2" w14:textId="62F22244" w:rsidR="00004387" w:rsidRPr="00D55C73" w:rsidRDefault="00004387" w:rsidP="00C477B4">
      <w:pPr>
        <w:pStyle w:val="Heading2"/>
        <w:spacing w:before="240"/>
        <w:jc w:val="center"/>
        <w:rPr>
          <w:color w:val="000000"/>
          <w:lang w:val="es-ES_tradnl"/>
        </w:rPr>
      </w:pPr>
      <w:r w:rsidRPr="00D55C73">
        <w:rPr>
          <w:color w:val="000000"/>
          <w:lang w:val="es-ES_tradnl"/>
        </w:rPr>
        <w:t xml:space="preserve">ARTÍCULO </w:t>
      </w:r>
      <w:r w:rsidR="00D55C73" w:rsidRPr="00D55C73">
        <w:rPr>
          <w:color w:val="000000"/>
          <w:lang w:val="es-ES_tradnl"/>
        </w:rPr>
        <w:t xml:space="preserve"> </w:t>
      </w:r>
      <w:r w:rsidRPr="00D55C73">
        <w:rPr>
          <w:rStyle w:val="href2"/>
          <w:color w:val="000000"/>
          <w:lang w:val="es-ES_tradnl"/>
        </w:rPr>
        <w:t>13</w:t>
      </w:r>
      <w:r w:rsidRPr="00D55C73">
        <w:rPr>
          <w:color w:val="000000"/>
          <w:lang w:val="es-ES_tradnl"/>
        </w:rPr>
        <w:t xml:space="preserve"> del RR</w:t>
      </w:r>
      <w:r w:rsidR="008A0303">
        <w:rPr>
          <w:rStyle w:val="FootnoteReference"/>
          <w:color w:val="000000"/>
          <w:lang w:val="es-ES_tradnl"/>
        </w:rPr>
        <w:footnoteReference w:customMarkFollows="1" w:id="1"/>
        <w:t>*</w:t>
      </w:r>
      <w:r w:rsidR="00650300" w:rsidRPr="00650300">
        <w:rPr>
          <w:color w:val="000000"/>
          <w:vertAlign w:val="superscript"/>
          <w:lang w:val="es-ES_tradnl"/>
        </w:rPr>
        <w:t>,</w:t>
      </w:r>
      <w:r w:rsidR="00650300">
        <w:rPr>
          <w:color w:val="000000"/>
          <w:lang w:val="es-ES_tradnl"/>
        </w:rPr>
        <w:t xml:space="preserve"> </w:t>
      </w:r>
      <w:r w:rsidR="00650300" w:rsidRPr="00380659">
        <w:rPr>
          <w:rStyle w:val="FootnoteReference"/>
          <w:bCs/>
          <w:color w:val="000000"/>
          <w:lang w:val="es-ES_tradnl"/>
        </w:rPr>
        <w:footnoteReference w:customMarkFollows="1" w:id="2"/>
        <w:t>**</w:t>
      </w:r>
    </w:p>
    <w:p w14:paraId="09F17A15" w14:textId="77777777" w:rsidR="00004387" w:rsidRPr="00C477B4" w:rsidRDefault="00004387" w:rsidP="00C477B4">
      <w:pPr>
        <w:pStyle w:val="Normalaftertitle"/>
        <w:spacing w:before="240"/>
        <w:rPr>
          <w:color w:val="000000"/>
          <w:spacing w:val="-6"/>
          <w:lang w:val="es-ES_tradnl"/>
        </w:rPr>
      </w:pPr>
      <w:r w:rsidRPr="00C477B4">
        <w:rPr>
          <w:color w:val="000000"/>
          <w:spacing w:val="-6"/>
          <w:lang w:val="es-ES_tradnl"/>
        </w:rPr>
        <w:t xml:space="preserve">Al reexaminar las Secciones III y IV del Artículo </w:t>
      </w:r>
      <w:r w:rsidRPr="00C477B4">
        <w:rPr>
          <w:rStyle w:val="Artref"/>
          <w:b/>
          <w:bCs/>
          <w:color w:val="000000"/>
          <w:spacing w:val="-6"/>
          <w:lang w:val="es-ES_tradnl"/>
        </w:rPr>
        <w:t>13</w:t>
      </w:r>
      <w:r w:rsidRPr="00C477B4">
        <w:rPr>
          <w:color w:val="000000"/>
          <w:spacing w:val="-6"/>
          <w:lang w:val="es-ES_tradnl"/>
        </w:rPr>
        <w:t>, la Junta observó que la CMR</w:t>
      </w:r>
      <w:r w:rsidRPr="00C477B4">
        <w:rPr>
          <w:color w:val="000000"/>
          <w:spacing w:val="-6"/>
          <w:lang w:val="es-ES_tradnl"/>
        </w:rPr>
        <w:noBreakHyphen/>
        <w:t>97 y la CMR</w:t>
      </w:r>
      <w:r w:rsidRPr="00C477B4">
        <w:rPr>
          <w:color w:val="000000"/>
          <w:spacing w:val="-6"/>
          <w:lang w:val="es-ES_tradnl"/>
        </w:rPr>
        <w:noBreakHyphen/>
        <w:t>03 habían introducido modificaciones, especialmente en relación con el proceso de consideración de las propuestas de modificaciones o ampliaciones de las Reglas de Procedimiento o con la oportunidad de que disponen las administraciones para comentar dichas propuestas.</w:t>
      </w:r>
    </w:p>
    <w:p w14:paraId="0FE530F4" w14:textId="77777777" w:rsidR="00004387" w:rsidRPr="00C477B4" w:rsidRDefault="00004387" w:rsidP="00C477B4">
      <w:pPr>
        <w:spacing w:before="60"/>
        <w:rPr>
          <w:color w:val="000000"/>
          <w:spacing w:val="-6"/>
          <w:lang w:val="es-ES_tradnl"/>
        </w:rPr>
      </w:pPr>
      <w:r w:rsidRPr="00C477B4">
        <w:rPr>
          <w:color w:val="000000"/>
          <w:spacing w:val="-6"/>
          <w:lang w:val="es-ES_tradnl"/>
        </w:rPr>
        <w:t xml:space="preserve">Los números </w:t>
      </w:r>
      <w:r w:rsidRPr="00C477B4">
        <w:rPr>
          <w:rStyle w:val="Artref"/>
          <w:b/>
          <w:bCs/>
          <w:color w:val="000000"/>
          <w:spacing w:val="-6"/>
          <w:lang w:val="es-ES_tradnl"/>
        </w:rPr>
        <w:t>13.12A</w:t>
      </w:r>
      <w:r w:rsidRPr="00C477B4">
        <w:rPr>
          <w:color w:val="000000"/>
          <w:spacing w:val="-6"/>
          <w:lang w:val="es-ES_tradnl"/>
        </w:rPr>
        <w:t xml:space="preserve">, </w:t>
      </w:r>
      <w:r w:rsidRPr="00C477B4">
        <w:rPr>
          <w:rStyle w:val="Artref"/>
          <w:b/>
          <w:bCs/>
          <w:color w:val="000000"/>
          <w:spacing w:val="-6"/>
          <w:lang w:val="es-ES_tradnl"/>
        </w:rPr>
        <w:t>13.14</w:t>
      </w:r>
      <w:r w:rsidRPr="00C477B4">
        <w:rPr>
          <w:color w:val="000000"/>
          <w:spacing w:val="-6"/>
          <w:lang w:val="es-ES_tradnl"/>
        </w:rPr>
        <w:t xml:space="preserve"> y </w:t>
      </w:r>
      <w:r w:rsidRPr="00C477B4">
        <w:rPr>
          <w:rStyle w:val="Artref"/>
          <w:b/>
          <w:bCs/>
          <w:color w:val="000000"/>
          <w:spacing w:val="-6"/>
          <w:lang w:val="es-ES_tradnl"/>
        </w:rPr>
        <w:t>13.15</w:t>
      </w:r>
      <w:r w:rsidRPr="00C477B4">
        <w:rPr>
          <w:color w:val="000000"/>
          <w:spacing w:val="-6"/>
          <w:lang w:val="es-ES_tradnl"/>
        </w:rPr>
        <w:t xml:space="preserve"> de la Sección III establecen procedimientos para cambiar las Reglas de Procedimiento y una secuencia relativa a la consideración por la Junta, la publi</w:t>
      </w:r>
      <w:r w:rsidRPr="00C477B4">
        <w:rPr>
          <w:color w:val="000000"/>
          <w:spacing w:val="-6"/>
          <w:lang w:val="es-ES_tradnl"/>
        </w:rPr>
        <w:softHyphen/>
        <w:t xml:space="preserve">cación, los comentarios de las administraciones y el posible examen posterior o estudio especial. Por otro lado, el número </w:t>
      </w:r>
      <w:r w:rsidRPr="00C477B4">
        <w:rPr>
          <w:rStyle w:val="Artref"/>
          <w:b/>
          <w:bCs/>
          <w:color w:val="000000"/>
          <w:spacing w:val="-6"/>
          <w:lang w:val="es-ES_tradnl"/>
        </w:rPr>
        <w:t>13.17</w:t>
      </w:r>
      <w:r w:rsidRPr="00C477B4">
        <w:rPr>
          <w:color w:val="000000"/>
          <w:spacing w:val="-6"/>
          <w:lang w:val="es-ES_tradnl"/>
        </w:rPr>
        <w:t xml:space="preserve"> de la Sección IV se refiere también a la preparación de proyectos de modificación o de ampliación de las Reglas de Procedimiento.</w:t>
      </w:r>
    </w:p>
    <w:p w14:paraId="6693B264" w14:textId="77777777" w:rsidR="00004387" w:rsidRPr="00D55C73" w:rsidRDefault="00004387" w:rsidP="00C477B4">
      <w:pPr>
        <w:spacing w:before="120"/>
        <w:rPr>
          <w:color w:val="000000"/>
          <w:lang w:val="es-ES_tradnl"/>
        </w:rPr>
      </w:pPr>
      <w:r w:rsidRPr="00D55C73">
        <w:rPr>
          <w:color w:val="000000"/>
          <w:lang w:val="es-ES_tradnl"/>
        </w:rPr>
        <w:t>La Junta ha llegado a la conclusión de que hay una falta de claridad en los procedimientos que han de seguirse para la modificación o ampliación de las Reglas de Procedimiento.</w:t>
      </w:r>
    </w:p>
    <w:p w14:paraId="27E27DF0" w14:textId="77777777" w:rsidR="00650300" w:rsidRDefault="00650300" w:rsidP="00C477B4">
      <w:pPr>
        <w:spacing w:before="120"/>
        <w:rPr>
          <w:color w:val="000000"/>
          <w:lang w:val="es-ES_tradnl"/>
        </w:rPr>
      </w:pPr>
      <w:r>
        <w:rPr>
          <w:color w:val="000000"/>
          <w:lang w:val="es-ES_tradnl"/>
        </w:rPr>
        <w:br w:type="page"/>
      </w:r>
    </w:p>
    <w:p w14:paraId="4B2F978B" w14:textId="1D1774A4" w:rsidR="00004387" w:rsidRPr="00D55C73" w:rsidRDefault="00004387" w:rsidP="00C477B4">
      <w:pPr>
        <w:spacing w:before="120"/>
        <w:rPr>
          <w:color w:val="000000"/>
          <w:lang w:val="es-ES_tradnl"/>
        </w:rPr>
      </w:pPr>
      <w:r w:rsidRPr="00D55C73">
        <w:rPr>
          <w:color w:val="000000"/>
          <w:lang w:val="es-ES_tradnl"/>
        </w:rPr>
        <w:lastRenderedPageBreak/>
        <w:t>En consecuencia, la Junta decidió que se sigan los procedimientos indicados a continuación en relación con la aplicación de los números </w:t>
      </w:r>
      <w:r w:rsidRPr="00D55C73">
        <w:rPr>
          <w:rStyle w:val="Artref"/>
          <w:b/>
          <w:bCs/>
          <w:color w:val="000000"/>
          <w:lang w:val="es-ES_tradnl"/>
        </w:rPr>
        <w:t>13.14</w:t>
      </w:r>
      <w:r w:rsidRPr="00D55C73">
        <w:rPr>
          <w:color w:val="000000"/>
          <w:lang w:val="es-ES_tradnl"/>
        </w:rPr>
        <w:t xml:space="preserve">, </w:t>
      </w:r>
      <w:r w:rsidRPr="00D55C73">
        <w:rPr>
          <w:rStyle w:val="Artref"/>
          <w:b/>
          <w:bCs/>
          <w:color w:val="000000"/>
          <w:lang w:val="es-ES_tradnl"/>
        </w:rPr>
        <w:t>13.15</w:t>
      </w:r>
      <w:r w:rsidRPr="00D55C73">
        <w:rPr>
          <w:color w:val="000000"/>
          <w:lang w:val="es-ES_tradnl"/>
        </w:rPr>
        <w:t xml:space="preserve"> y </w:t>
      </w:r>
      <w:r w:rsidRPr="00D55C73">
        <w:rPr>
          <w:rStyle w:val="Artref"/>
          <w:b/>
          <w:bCs/>
          <w:color w:val="000000"/>
          <w:lang w:val="es-ES_tradnl"/>
        </w:rPr>
        <w:t>13.17</w:t>
      </w:r>
      <w:r w:rsidRPr="00D55C73">
        <w:rPr>
          <w:color w:val="000000"/>
          <w:lang w:val="es-ES_tradnl"/>
        </w:rPr>
        <w:t>:</w:t>
      </w:r>
    </w:p>
    <w:p w14:paraId="7BD59AF1" w14:textId="77777777" w:rsidR="00004387" w:rsidRPr="00D55C73" w:rsidRDefault="00004387" w:rsidP="00C477B4">
      <w:pPr>
        <w:pStyle w:val="enumlev1"/>
        <w:spacing w:before="40"/>
        <w:rPr>
          <w:color w:val="000000"/>
          <w:lang w:val="es-ES_tradnl"/>
        </w:rPr>
      </w:pPr>
      <w:r w:rsidRPr="00D55C73">
        <w:rPr>
          <w:i/>
          <w:color w:val="000000"/>
          <w:lang w:val="es-ES_tradnl"/>
        </w:rPr>
        <w:t>a)</w:t>
      </w:r>
      <w:r w:rsidRPr="00D55C73">
        <w:rPr>
          <w:color w:val="000000"/>
          <w:lang w:val="es-ES_tradnl"/>
        </w:rPr>
        <w:tab/>
        <w:t xml:space="preserve">Las propuestas de modificación o ampliación de las Reglas de Procedimiento pueden proceder de las administraciones, de la Oficina o de la propia Junta. Con independencia del origen de las propuestas, la Junta considera, en relación con el número </w:t>
      </w:r>
      <w:r w:rsidRPr="00D55C73">
        <w:rPr>
          <w:rStyle w:val="Artref"/>
          <w:b/>
          <w:bCs/>
          <w:color w:val="000000"/>
          <w:lang w:val="es-ES_tradnl"/>
        </w:rPr>
        <w:t>13.17</w:t>
      </w:r>
      <w:r w:rsidRPr="00D55C73">
        <w:rPr>
          <w:color w:val="000000"/>
          <w:lang w:val="es-ES_tradnl"/>
        </w:rPr>
        <w:t>, que la Oficina debe preparar proyectos de modificación o ampliación de las Reglas de Procedi</w:t>
      </w:r>
      <w:r w:rsidR="00676A51">
        <w:rPr>
          <w:color w:val="000000"/>
          <w:lang w:val="es-ES_tradnl"/>
        </w:rPr>
        <w:softHyphen/>
      </w:r>
      <w:r w:rsidRPr="00D55C73">
        <w:rPr>
          <w:color w:val="000000"/>
          <w:lang w:val="es-ES_tradnl"/>
        </w:rPr>
        <w:t xml:space="preserve">miento surgidos de dichas propuestas. Conforme al número </w:t>
      </w:r>
      <w:r w:rsidRPr="00D55C73">
        <w:rPr>
          <w:rStyle w:val="Artref"/>
          <w:b/>
          <w:bCs/>
          <w:color w:val="000000"/>
          <w:lang w:val="es-ES_tradnl"/>
        </w:rPr>
        <w:t>13.12A</w:t>
      </w:r>
      <w:r w:rsidR="00D55C73" w:rsidRPr="00D55C73">
        <w:rPr>
          <w:rStyle w:val="Artref"/>
          <w:b/>
          <w:bCs/>
          <w:color w:val="000000"/>
          <w:lang w:val="es-ES_tradnl"/>
        </w:rPr>
        <w:t xml:space="preserve"> </w:t>
      </w:r>
      <w:r w:rsidRPr="00D55C73">
        <w:rPr>
          <w:i/>
          <w:iCs/>
          <w:color w:val="000000"/>
          <w:lang w:val="es-ES_tradnl"/>
        </w:rPr>
        <w:t>c)</w:t>
      </w:r>
      <w:r w:rsidRPr="00D55C73">
        <w:rPr>
          <w:color w:val="000000"/>
          <w:lang w:val="es-ES_tradnl"/>
        </w:rPr>
        <w:t>, dichos proyectos se facilitarán a las administraciones con diez semanas al menos de antelación al inicio de la reunión de la Junta.</w:t>
      </w:r>
    </w:p>
    <w:p w14:paraId="4CA5FB86" w14:textId="77777777" w:rsidR="00004387" w:rsidRPr="00D55C73" w:rsidRDefault="00004387" w:rsidP="00C477B4">
      <w:pPr>
        <w:pStyle w:val="enumlev1"/>
        <w:spacing w:before="0"/>
        <w:rPr>
          <w:color w:val="000000"/>
          <w:lang w:val="es-ES_tradnl"/>
        </w:rPr>
      </w:pPr>
      <w:r w:rsidRPr="00D55C73">
        <w:rPr>
          <w:i/>
          <w:color w:val="000000"/>
          <w:lang w:val="es-ES_tradnl"/>
        </w:rPr>
        <w:t>b)</w:t>
      </w:r>
      <w:r w:rsidRPr="00D55C73">
        <w:rPr>
          <w:color w:val="000000"/>
          <w:lang w:val="es-ES_tradnl"/>
        </w:rPr>
        <w:tab/>
        <w:t xml:space="preserve">La Oficina, de conformidad con el número </w:t>
      </w:r>
      <w:r w:rsidRPr="00D55C73">
        <w:rPr>
          <w:rStyle w:val="Artref"/>
          <w:b/>
          <w:bCs/>
          <w:color w:val="000000"/>
          <w:lang w:val="es-ES_tradnl"/>
        </w:rPr>
        <w:t>13.14</w:t>
      </w:r>
      <w:r w:rsidRPr="00D55C73">
        <w:rPr>
          <w:color w:val="000000"/>
          <w:lang w:val="es-ES_tradnl"/>
        </w:rPr>
        <w:t>, someterá a la Junta los proyectos definitivos de todas las propuestas de modificación de las Reglas de Procedimiento, así como los comentarios recibidos en respuesta al procedimiento</w:t>
      </w:r>
      <w:r w:rsidR="00D55C73" w:rsidRPr="00D55C73">
        <w:rPr>
          <w:color w:val="000000"/>
          <w:lang w:val="es-ES_tradnl"/>
        </w:rPr>
        <w:t> </w:t>
      </w:r>
      <w:r w:rsidRPr="00D55C73">
        <w:rPr>
          <w:i/>
          <w:color w:val="000000"/>
          <w:lang w:val="es-ES_tradnl"/>
        </w:rPr>
        <w:t>a)</w:t>
      </w:r>
      <w:r w:rsidRPr="00D55C73">
        <w:rPr>
          <w:color w:val="000000"/>
          <w:lang w:val="es-ES_tradnl"/>
        </w:rPr>
        <w:t xml:space="preserve"> anterior.</w:t>
      </w:r>
    </w:p>
    <w:p w14:paraId="559699CD" w14:textId="77777777" w:rsidR="00004387" w:rsidRPr="00D55C73" w:rsidRDefault="00004387" w:rsidP="00C477B4">
      <w:pPr>
        <w:pStyle w:val="enumlev1"/>
        <w:spacing w:before="0"/>
        <w:rPr>
          <w:color w:val="000000"/>
          <w:lang w:val="es-ES_tradnl"/>
        </w:rPr>
      </w:pPr>
      <w:r w:rsidRPr="00D55C73">
        <w:rPr>
          <w:i/>
          <w:color w:val="000000"/>
          <w:lang w:val="es-ES_tradnl"/>
        </w:rPr>
        <w:t>c)</w:t>
      </w:r>
      <w:r w:rsidRPr="00D55C73">
        <w:rPr>
          <w:color w:val="000000"/>
          <w:lang w:val="es-ES_tradnl"/>
        </w:rPr>
        <w:tab/>
        <w:t xml:space="preserve">Toda necesidad que surja, conforme al número </w:t>
      </w:r>
      <w:r w:rsidRPr="00D55C73">
        <w:rPr>
          <w:rStyle w:val="Artref"/>
          <w:b/>
          <w:bCs/>
          <w:color w:val="000000"/>
          <w:lang w:val="es-ES_tradnl"/>
        </w:rPr>
        <w:t>13.15</w:t>
      </w:r>
      <w:r w:rsidRPr="00D55C73">
        <w:rPr>
          <w:color w:val="000000"/>
          <w:lang w:val="es-ES_tradnl"/>
        </w:rPr>
        <w:t>, de un estudio especial en relación con las Reglas de Procedimiento sometidas por una administración o identificadas por la Junta o la Oficina, o toda necesidad de nuevas reglas o de modificación o ampliación de las Reglas de Procedimiento existentes se tramitará conforme al procedimiento de los apartados </w:t>
      </w:r>
      <w:r w:rsidRPr="00D55C73">
        <w:rPr>
          <w:i/>
          <w:color w:val="000000"/>
          <w:lang w:val="es-ES_tradnl"/>
        </w:rPr>
        <w:t>a)</w:t>
      </w:r>
      <w:r w:rsidRPr="00D55C73">
        <w:rPr>
          <w:color w:val="000000"/>
          <w:lang w:val="es-ES_tradnl"/>
        </w:rPr>
        <w:t xml:space="preserve"> y </w:t>
      </w:r>
      <w:r w:rsidRPr="00D55C73">
        <w:rPr>
          <w:i/>
          <w:color w:val="000000"/>
          <w:lang w:val="es-ES_tradnl"/>
        </w:rPr>
        <w:t>b)</w:t>
      </w:r>
      <w:r w:rsidRPr="00D55C73">
        <w:rPr>
          <w:color w:val="000000"/>
          <w:lang w:val="es-ES_tradnl"/>
        </w:rPr>
        <w:t xml:space="preserve"> anteriores.</w:t>
      </w:r>
    </w:p>
    <w:p w14:paraId="0D972584" w14:textId="560696D0" w:rsidR="002F6BF8" w:rsidRDefault="00004387" w:rsidP="0051265F">
      <w:pPr>
        <w:jc w:val="left"/>
        <w:rPr>
          <w:color w:val="000000"/>
          <w:lang w:val="es-ES_tradnl"/>
        </w:rPr>
      </w:pPr>
      <w:r w:rsidRPr="00D55C73">
        <w:rPr>
          <w:color w:val="000000"/>
          <w:lang w:val="es-ES_tradnl"/>
        </w:rPr>
        <w:t>Véanse también las Reglas de Procedimiento de la Parte C (Reglas relativas a los métodos de trabajo de la</w:t>
      </w:r>
      <w:r w:rsidR="00D55C73" w:rsidRPr="00D55C73">
        <w:rPr>
          <w:color w:val="000000"/>
          <w:lang w:val="es-ES_tradnl"/>
        </w:rPr>
        <w:t> </w:t>
      </w:r>
      <w:r w:rsidRPr="00D55C73">
        <w:rPr>
          <w:color w:val="000000"/>
          <w:lang w:val="es-ES_tradnl"/>
        </w:rPr>
        <w:t>RRB).</w:t>
      </w:r>
    </w:p>
    <w:p w14:paraId="1ADE185D" w14:textId="77777777" w:rsidR="00FC1860" w:rsidRPr="00FC1860" w:rsidRDefault="00FC1860" w:rsidP="00FC1860">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bCs/>
          <w:color w:val="000000"/>
          <w:szCs w:val="24"/>
        </w:rPr>
      </w:pPr>
      <w:r w:rsidRPr="00FC1860">
        <w:rPr>
          <w:b/>
          <w:bCs/>
          <w:color w:val="000000"/>
          <w:szCs w:val="24"/>
        </w:rPr>
        <w:t>13.2</w:t>
      </w:r>
      <w:r w:rsidRPr="00FC1860">
        <w:rPr>
          <w:b/>
          <w:bCs/>
          <w:color w:val="000000"/>
          <w:szCs w:val="24"/>
        </w:rPr>
        <w:tab/>
      </w:r>
      <w:r w:rsidRPr="00FC1860">
        <w:rPr>
          <w:b/>
          <w:bCs/>
          <w:color w:val="000000"/>
          <w:szCs w:val="24"/>
        </w:rPr>
        <w:tab/>
      </w:r>
      <w:r w:rsidRPr="00FC1860">
        <w:rPr>
          <w:color w:val="000000"/>
          <w:sz w:val="16"/>
          <w:szCs w:val="16"/>
        </w:rPr>
        <w:t>     (ADD RRB25/520)</w:t>
      </w:r>
    </w:p>
    <w:p w14:paraId="0E68A3BE" w14:textId="77777777" w:rsidR="00FC1860" w:rsidRPr="00FC1860" w:rsidRDefault="00FC1860" w:rsidP="00FC1860">
      <w:pPr>
        <w:rPr>
          <w:lang w:val="es-ES_tradnl"/>
        </w:rPr>
      </w:pPr>
      <w:r w:rsidRPr="00FC1860">
        <w:rPr>
          <w:lang w:val="es-ES_tradnl"/>
        </w:rPr>
        <w:t>Habida cuenta de que el número </w:t>
      </w:r>
      <w:r w:rsidRPr="00FC1860">
        <w:rPr>
          <w:b/>
          <w:bCs/>
          <w:lang w:val="es-ES_tradnl"/>
        </w:rPr>
        <w:t xml:space="preserve">13.2 </w:t>
      </w:r>
      <w:r w:rsidRPr="00FC1860">
        <w:rPr>
          <w:lang w:val="es-ES_tradnl"/>
        </w:rPr>
        <w:t>no prevé ningún procedimiento detallado para tramitar las solicitudes de asistencia presentadas en virtud de esta disposición, la Junta decidió que la Oficina debía aplicar el siguiente procedimiento a los casos de interferencia perjudicial.</w:t>
      </w:r>
    </w:p>
    <w:p w14:paraId="5F5E588F" w14:textId="77777777" w:rsidR="00FC1860" w:rsidRPr="00FC1860" w:rsidRDefault="00FC1860" w:rsidP="00FC1860">
      <w:pPr>
        <w:rPr>
          <w:lang w:val="es-ES_tradnl"/>
        </w:rPr>
      </w:pPr>
      <w:r w:rsidRPr="00FC1860">
        <w:rPr>
          <w:lang w:val="es-ES_tradnl"/>
        </w:rPr>
        <w:t>1)</w:t>
      </w:r>
      <w:r w:rsidRPr="00FC1860">
        <w:rPr>
          <w:lang w:val="es-ES_tradnl"/>
        </w:rPr>
        <w:tab/>
        <w:t>Cuando reciba una solicitud de asistencia en virtud del número </w:t>
      </w:r>
      <w:r w:rsidRPr="00FC1860">
        <w:rPr>
          <w:b/>
          <w:bCs/>
          <w:lang w:val="es-ES_tradnl"/>
        </w:rPr>
        <w:t>13.2</w:t>
      </w:r>
      <w:r w:rsidRPr="00FC1860">
        <w:rPr>
          <w:lang w:val="es-ES_tradnl"/>
        </w:rPr>
        <w:t>, junto con todos los datos relativos a la interferencia perjudicial (véase el número </w:t>
      </w:r>
      <w:r w:rsidRPr="00FC1860">
        <w:rPr>
          <w:b/>
          <w:bCs/>
          <w:lang w:val="es-ES_tradnl"/>
        </w:rPr>
        <w:t>15.27</w:t>
      </w:r>
      <w:r w:rsidRPr="00FC1860">
        <w:rPr>
          <w:lang w:val="es-ES_tradnl"/>
        </w:rPr>
        <w:t>), la Oficina acusará recibo de la comunicación sin demora, estudiará el caso y se pondrá en contacto con la administración o administraciones interesadas para solicitar su cooperación con carácter urgente. También podrá solicitarse información adicional a cualquier administración, si fuese necesario (véase el número </w:t>
      </w:r>
      <w:r w:rsidRPr="00FC1860">
        <w:rPr>
          <w:b/>
          <w:bCs/>
          <w:lang w:val="es-ES_tradnl"/>
        </w:rPr>
        <w:t>15.25</w:t>
      </w:r>
      <w:r w:rsidRPr="00FC1860">
        <w:rPr>
          <w:lang w:val="es-ES_tradnl"/>
        </w:rPr>
        <w:t>).</w:t>
      </w:r>
    </w:p>
    <w:p w14:paraId="41784A0E" w14:textId="77777777" w:rsidR="00FC1860" w:rsidRPr="00FC1860" w:rsidRDefault="00FC1860" w:rsidP="00FC1860">
      <w:pPr>
        <w:rPr>
          <w:lang w:val="es-ES_tradnl"/>
        </w:rPr>
      </w:pPr>
      <w:r w:rsidRPr="00FC1860">
        <w:rPr>
          <w:lang w:val="es-ES_tradnl"/>
        </w:rPr>
        <w:t>2)</w:t>
      </w:r>
      <w:r w:rsidRPr="00FC1860">
        <w:rPr>
          <w:lang w:val="es-ES_tradnl"/>
        </w:rPr>
        <w:tab/>
        <w:t>Si la administración o administraciones interesadas no acusan recibo con arreglo al número </w:t>
      </w:r>
      <w:r w:rsidRPr="00FC1860">
        <w:rPr>
          <w:b/>
          <w:bCs/>
          <w:lang w:val="es-ES_tradnl"/>
        </w:rPr>
        <w:t xml:space="preserve">15.35 </w:t>
      </w:r>
      <w:r w:rsidRPr="00FC1860">
        <w:rPr>
          <w:lang w:val="es-ES_tradnl"/>
        </w:rPr>
        <w:t>en un plazo de siete días a partir de la fecha de envío de la comunicación de la Oficina, esta enviará un recordatorio.</w:t>
      </w:r>
    </w:p>
    <w:p w14:paraId="3EBDC856" w14:textId="77777777" w:rsidR="00FC1860" w:rsidRPr="00FC1860" w:rsidRDefault="00FC1860" w:rsidP="00FC1860">
      <w:pPr>
        <w:rPr>
          <w:lang w:val="es-ES_tradnl"/>
        </w:rPr>
      </w:pPr>
      <w:r w:rsidRPr="00FC1860">
        <w:rPr>
          <w:lang w:val="es-ES_tradnl"/>
        </w:rPr>
        <w:t>3)</w:t>
      </w:r>
      <w:r w:rsidRPr="00FC1860">
        <w:rPr>
          <w:lang w:val="es-ES_tradnl"/>
        </w:rPr>
        <w:tab/>
        <w:t>Si la administración o administraciones interesadas no comunican a la Oficina los resultados de la investigación correspondiente (o la situación del caso) en un plazo de treinta días a partir de la fecha de envío de la comunicación inicial de la Oficina, esta se pondrá en contacto con la administración o administraciones afectadas para comprobar si siguen sufriendo la interferencia perjudicial en cuestión.</w:t>
      </w:r>
    </w:p>
    <w:p w14:paraId="11BB6F80" w14:textId="77777777" w:rsidR="00FC1860" w:rsidRPr="00FC1860" w:rsidRDefault="00FC1860" w:rsidP="00FC1860">
      <w:pPr>
        <w:rPr>
          <w:lang w:val="es-ES_tradnl"/>
        </w:rPr>
      </w:pPr>
      <w:r w:rsidRPr="00FC1860">
        <w:rPr>
          <w:lang w:val="es-ES_tradnl"/>
        </w:rPr>
        <w:t>4)</w:t>
      </w:r>
      <w:r w:rsidRPr="00FC1860">
        <w:rPr>
          <w:lang w:val="es-ES_tradnl"/>
        </w:rPr>
        <w:tab/>
        <w:t>Si la interferencia perjudicial persiste, la Oficina enviará un recordatorio a la administración o administraciones interesadas, por conducto del cual le indicará que, de no resolverse el caso en los treinta días siguientes, este se pondrá en conocimiento de la Junta en su siguiente reunión, con arreglo al número </w:t>
      </w:r>
      <w:r w:rsidRPr="00FC1860">
        <w:rPr>
          <w:b/>
          <w:bCs/>
          <w:lang w:val="es-ES_tradnl"/>
        </w:rPr>
        <w:t>13.2</w:t>
      </w:r>
      <w:r w:rsidRPr="00FC1860">
        <w:rPr>
          <w:lang w:val="es-ES_tradnl"/>
        </w:rPr>
        <w:t>, junto con los proyectos de recomendaciones destinadas a las administraciones concernidas.</w:t>
      </w:r>
    </w:p>
    <w:p w14:paraId="5EB13653" w14:textId="77777777" w:rsidR="00FC1860" w:rsidRPr="00FC1860" w:rsidRDefault="00FC1860" w:rsidP="00FC1860">
      <w:pPr>
        <w:rPr>
          <w:lang w:val="es-ES_tradnl"/>
        </w:rPr>
      </w:pPr>
      <w:r w:rsidRPr="00FC1860">
        <w:rPr>
          <w:lang w:val="es-ES_tradnl"/>
        </w:rPr>
        <w:lastRenderedPageBreak/>
        <w:t xml:space="preserve">La Junta subrayó que el procedimiento definido en esta Regla describe las medidas que habrá de adoptar la Oficina al aplicar el número </w:t>
      </w:r>
      <w:r w:rsidRPr="00FC1860">
        <w:rPr>
          <w:b/>
          <w:bCs/>
          <w:lang w:val="es-ES_tradnl"/>
        </w:rPr>
        <w:t>13.2</w:t>
      </w:r>
      <w:r w:rsidRPr="00FC1860">
        <w:rPr>
          <w:lang w:val="es-ES_tradnl"/>
        </w:rPr>
        <w:t>, pero en modo alguno modifica las obligaciones de las administraciones a la hora de aplicar las disposiciones del Reglamento de Radiocomunicaciones en relación con casos de interferencia perjudicial.</w:t>
      </w:r>
    </w:p>
    <w:p w14:paraId="4F7DEA2A" w14:textId="77777777" w:rsidR="00FC1860" w:rsidRPr="00FC1860" w:rsidRDefault="00FC1860" w:rsidP="00FC1860">
      <w:pPr>
        <w:rPr>
          <w:lang w:val="es-ES_tradnl"/>
        </w:rPr>
      </w:pPr>
      <w:r w:rsidRPr="00FC1860">
        <w:rPr>
          <w:lang w:val="es-ES_tradnl"/>
        </w:rPr>
        <w:t>La Junta también recordó a las administraciones afectadas la necesidad de informar a la administración o administraciones interesadas y la Oficina del cese la interferencia perjudicial, para que esta última pueda cerrar el caso.</w:t>
      </w:r>
    </w:p>
    <w:p w14:paraId="133C75C1" w14:textId="77777777" w:rsidR="00FC1860" w:rsidRDefault="00FC1860" w:rsidP="0051265F">
      <w:pPr>
        <w:jc w:val="left"/>
        <w:rPr>
          <w:color w:val="000000"/>
          <w:lang w:val="es-ES_tradnl"/>
        </w:rPr>
      </w:pPr>
    </w:p>
    <w:p w14:paraId="7A86FCD6" w14:textId="77777777" w:rsidR="00004387" w:rsidRDefault="00004387" w:rsidP="002F6BF8">
      <w:pPr>
        <w:jc w:val="center"/>
        <w:rPr>
          <w:color w:val="000000"/>
          <w:lang w:val="es-ES_tradnl"/>
        </w:rPr>
      </w:pPr>
      <w:r w:rsidRPr="00D55C73">
        <w:rPr>
          <w:color w:val="000000"/>
          <w:lang w:val="es-ES_tradnl"/>
        </w:rPr>
        <w:t>____________________</w:t>
      </w:r>
    </w:p>
    <w:p w14:paraId="279E8D50" w14:textId="77777777" w:rsidR="005066A7" w:rsidRDefault="005066A7" w:rsidP="0051265F">
      <w:pPr>
        <w:jc w:val="left"/>
        <w:rPr>
          <w:color w:val="000000"/>
          <w:lang w:val="es-ES_tradnl"/>
        </w:rPr>
      </w:pPr>
    </w:p>
    <w:p w14:paraId="089FFB60" w14:textId="77777777" w:rsidR="005066A7" w:rsidRDefault="005066A7" w:rsidP="0051265F">
      <w:pPr>
        <w:jc w:val="left"/>
        <w:rPr>
          <w:color w:val="000000"/>
          <w:lang w:val="es-ES_tradnl"/>
        </w:rPr>
      </w:pPr>
    </w:p>
    <w:p w14:paraId="7C7B4606" w14:textId="77777777" w:rsidR="005066A7" w:rsidRDefault="005066A7" w:rsidP="0051265F">
      <w:pPr>
        <w:jc w:val="left"/>
        <w:rPr>
          <w:color w:val="000000"/>
          <w:lang w:val="es-ES_tradnl"/>
        </w:rPr>
      </w:pPr>
    </w:p>
    <w:p w14:paraId="203A3E35" w14:textId="77777777" w:rsidR="005066A7" w:rsidRDefault="005066A7" w:rsidP="0051265F">
      <w:pPr>
        <w:jc w:val="left"/>
        <w:rPr>
          <w:color w:val="000000"/>
          <w:lang w:val="es-ES_tradnl"/>
        </w:rPr>
      </w:pPr>
    </w:p>
    <w:p w14:paraId="75712BA0" w14:textId="77777777" w:rsidR="005066A7" w:rsidRDefault="005066A7" w:rsidP="0051265F">
      <w:pPr>
        <w:jc w:val="left"/>
        <w:rPr>
          <w:color w:val="000000"/>
          <w:lang w:val="es-ES_tradnl"/>
        </w:rPr>
      </w:pPr>
    </w:p>
    <w:p w14:paraId="11A3980F" w14:textId="77777777" w:rsidR="005066A7" w:rsidRDefault="005066A7" w:rsidP="0051265F">
      <w:pPr>
        <w:jc w:val="left"/>
        <w:rPr>
          <w:color w:val="000000"/>
          <w:lang w:val="es-ES_tradnl"/>
        </w:rPr>
      </w:pPr>
    </w:p>
    <w:p w14:paraId="4C0D1F89" w14:textId="77777777" w:rsidR="005066A7" w:rsidRDefault="005066A7" w:rsidP="0051265F">
      <w:pPr>
        <w:jc w:val="left"/>
        <w:rPr>
          <w:color w:val="000000"/>
          <w:lang w:val="es-ES_tradnl"/>
        </w:rPr>
      </w:pPr>
    </w:p>
    <w:p w14:paraId="2E7FAB6E" w14:textId="77777777" w:rsidR="005066A7" w:rsidRDefault="005066A7" w:rsidP="0051265F">
      <w:pPr>
        <w:jc w:val="left"/>
        <w:rPr>
          <w:color w:val="000000"/>
          <w:lang w:val="es-ES_tradnl"/>
        </w:rPr>
      </w:pPr>
    </w:p>
    <w:p w14:paraId="72E05A93" w14:textId="77777777" w:rsidR="005066A7" w:rsidRDefault="005066A7" w:rsidP="0051265F">
      <w:pPr>
        <w:jc w:val="left"/>
        <w:rPr>
          <w:color w:val="000000"/>
          <w:lang w:val="es-ES_tradnl"/>
        </w:rPr>
      </w:pPr>
    </w:p>
    <w:p w14:paraId="23FF9B69" w14:textId="77777777" w:rsidR="005066A7" w:rsidRDefault="005066A7" w:rsidP="0051265F">
      <w:pPr>
        <w:jc w:val="left"/>
        <w:rPr>
          <w:color w:val="000000"/>
          <w:lang w:val="es-ES_tradnl"/>
        </w:rPr>
      </w:pPr>
    </w:p>
    <w:p w14:paraId="1FF9D51A" w14:textId="77777777" w:rsidR="005066A7" w:rsidRDefault="005066A7" w:rsidP="0051265F">
      <w:pPr>
        <w:jc w:val="left"/>
        <w:rPr>
          <w:color w:val="000000"/>
          <w:lang w:val="es-ES_tradnl"/>
        </w:rPr>
      </w:pPr>
    </w:p>
    <w:p w14:paraId="4E7104A3" w14:textId="77777777" w:rsidR="005066A7" w:rsidRDefault="005066A7" w:rsidP="0051265F">
      <w:pPr>
        <w:jc w:val="left"/>
        <w:rPr>
          <w:color w:val="000000"/>
          <w:lang w:val="es-ES_tradnl"/>
        </w:rPr>
      </w:pPr>
    </w:p>
    <w:p w14:paraId="60CBB1E9" w14:textId="77777777" w:rsidR="005066A7" w:rsidRDefault="005066A7" w:rsidP="0051265F">
      <w:pPr>
        <w:jc w:val="left"/>
        <w:rPr>
          <w:color w:val="000000"/>
          <w:lang w:val="es-ES_tradnl"/>
        </w:rPr>
      </w:pPr>
    </w:p>
    <w:p w14:paraId="0175298A" w14:textId="77777777" w:rsidR="005066A7" w:rsidRDefault="005066A7" w:rsidP="0051265F">
      <w:pPr>
        <w:jc w:val="left"/>
        <w:rPr>
          <w:color w:val="000000"/>
          <w:lang w:val="es-ES_tradnl"/>
        </w:rPr>
      </w:pPr>
    </w:p>
    <w:p w14:paraId="06C74A35" w14:textId="77777777" w:rsidR="005066A7" w:rsidRPr="00D55C73" w:rsidRDefault="005066A7" w:rsidP="0051265F">
      <w:pPr>
        <w:jc w:val="left"/>
        <w:rPr>
          <w:lang w:val="es-ES_tradnl"/>
        </w:rPr>
        <w:sectPr w:rsidR="005066A7" w:rsidRPr="00D55C73">
          <w:headerReference w:type="even" r:id="rId7"/>
          <w:headerReference w:type="default"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26769A24" w14:textId="77777777" w:rsidR="00004387" w:rsidRPr="00D55C73" w:rsidRDefault="00004387">
      <w:pPr>
        <w:rPr>
          <w:lang w:val="es-ES_tradnl"/>
        </w:rPr>
      </w:pPr>
    </w:p>
    <w:sectPr w:rsidR="00004387" w:rsidRPr="00D55C73">
      <w:headerReference w:type="first" r:id="rId10"/>
      <w:foot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481F" w14:textId="77777777" w:rsidR="00EF7206" w:rsidRDefault="00EF7206">
      <w:r>
        <w:separator/>
      </w:r>
    </w:p>
  </w:endnote>
  <w:endnote w:type="continuationSeparator" w:id="0">
    <w:p w14:paraId="41BD166C" w14:textId="77777777" w:rsidR="00EF7206" w:rsidRDefault="00EF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06A9" w14:textId="77777777" w:rsidR="00103A1D" w:rsidRDefault="00103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0F9D" w14:textId="77777777" w:rsidR="00EF7206" w:rsidRDefault="00EF7206">
      <w:r>
        <w:rPr>
          <w:b/>
        </w:rPr>
        <w:t>_______________</w:t>
      </w:r>
    </w:p>
  </w:footnote>
  <w:footnote w:type="continuationSeparator" w:id="0">
    <w:p w14:paraId="754E97FC" w14:textId="77777777" w:rsidR="00EF7206" w:rsidRDefault="00EF7206">
      <w:r>
        <w:continuationSeparator/>
      </w:r>
    </w:p>
  </w:footnote>
  <w:footnote w:id="1">
    <w:p w14:paraId="367B7897" w14:textId="11B4FD10" w:rsidR="00486B6C" w:rsidRPr="00486B6C" w:rsidRDefault="008A0303" w:rsidP="00486B6C">
      <w:pPr>
        <w:pStyle w:val="FootnoteText"/>
        <w:rPr>
          <w:rFonts w:asciiTheme="minorHAnsi" w:hAnsiTheme="minorHAnsi"/>
          <w:b/>
          <w:bCs/>
          <w:szCs w:val="24"/>
          <w:lang w:val="es-ES_tradnl"/>
        </w:rPr>
      </w:pPr>
      <w:r w:rsidRPr="00486B6C">
        <w:rPr>
          <w:rStyle w:val="FootnoteReference"/>
          <w:lang w:val="es-ES_tradnl"/>
        </w:rPr>
        <w:t>*</w:t>
      </w:r>
      <w:r w:rsidRPr="00486B6C">
        <w:rPr>
          <w:lang w:val="es-ES_tradnl"/>
        </w:rPr>
        <w:t xml:space="preserve"> </w:t>
      </w:r>
      <w:r>
        <w:rPr>
          <w:lang w:val="es-ES_tradnl"/>
        </w:rPr>
        <w:tab/>
      </w:r>
      <w:r w:rsidR="00486B6C" w:rsidRPr="00486B6C">
        <w:rPr>
          <w:rFonts w:asciiTheme="majorBidi" w:hAnsiTheme="majorBidi" w:cstheme="majorBidi"/>
          <w:b/>
          <w:bCs/>
          <w:szCs w:val="24"/>
          <w:lang w:val="es-ES_tradnl"/>
        </w:rPr>
        <w:t>Nota</w:t>
      </w:r>
      <w:r w:rsidR="009C11E3">
        <w:rPr>
          <w:lang w:val="es-ES_tradnl"/>
        </w:rPr>
        <w:t xml:space="preserve">: </w:t>
      </w:r>
      <w:r w:rsidR="00486B6C" w:rsidRPr="00486B6C">
        <w:rPr>
          <w:rFonts w:asciiTheme="majorBidi" w:hAnsiTheme="majorBidi" w:cstheme="majorBidi"/>
          <w:szCs w:val="24"/>
          <w:lang w:val="es-ES_tradnl"/>
        </w:rPr>
        <w:t>La CMR-15 tom</w:t>
      </w:r>
      <w:r w:rsidR="00486B6C" w:rsidRPr="00486B6C">
        <w:rPr>
          <w:rFonts w:asciiTheme="majorBidi" w:hAnsiTheme="majorBidi" w:cstheme="majorBidi"/>
          <w:bCs/>
          <w:color w:val="000000"/>
          <w:szCs w:val="24"/>
          <w:lang w:val="es-ES_tradnl"/>
        </w:rPr>
        <w:t xml:space="preserve">ó una </w:t>
      </w:r>
      <w:r w:rsidR="00486B6C" w:rsidRPr="00486B6C">
        <w:rPr>
          <w:lang w:val="es-ES_tradnl"/>
        </w:rPr>
        <w:t>decisión</w:t>
      </w:r>
      <w:r w:rsidR="00486B6C" w:rsidRPr="00486B6C">
        <w:rPr>
          <w:rFonts w:asciiTheme="majorBidi" w:hAnsiTheme="majorBidi" w:cstheme="majorBidi"/>
          <w:bCs/>
          <w:color w:val="000000"/>
          <w:szCs w:val="24"/>
          <w:lang w:val="es-ES_tradnl"/>
        </w:rPr>
        <w:t xml:space="preserve"> relacionada con la Regla de Procedimiento relativa al número</w:t>
      </w:r>
      <w:r w:rsidR="002021AB">
        <w:rPr>
          <w:rFonts w:asciiTheme="majorBidi" w:hAnsiTheme="majorBidi" w:cstheme="majorBidi"/>
          <w:bCs/>
          <w:color w:val="000000"/>
          <w:szCs w:val="24"/>
          <w:lang w:val="es-ES_tradnl"/>
        </w:rPr>
        <w:t> </w:t>
      </w:r>
      <w:r w:rsidR="00486B6C" w:rsidRPr="00486B6C">
        <w:rPr>
          <w:rFonts w:asciiTheme="majorBidi" w:hAnsiTheme="majorBidi" w:cstheme="majorBidi"/>
          <w:b/>
          <w:color w:val="000000"/>
          <w:szCs w:val="24"/>
          <w:lang w:val="es-ES_tradnl"/>
        </w:rPr>
        <w:t>13.6</w:t>
      </w:r>
      <w:r w:rsidR="00486B6C" w:rsidRPr="00486B6C">
        <w:rPr>
          <w:rFonts w:asciiTheme="majorBidi" w:hAnsiTheme="majorBidi" w:cstheme="majorBidi"/>
          <w:bCs/>
          <w:color w:val="000000"/>
          <w:szCs w:val="24"/>
          <w:lang w:val="es-ES_tradnl"/>
        </w:rPr>
        <w:t xml:space="preserve"> </w:t>
      </w:r>
      <w:r w:rsidR="00486B6C" w:rsidRPr="00486B6C">
        <w:rPr>
          <w:lang w:val="es-ES_tradnl"/>
        </w:rPr>
        <w:t>durante</w:t>
      </w:r>
      <w:r w:rsidR="00486B6C" w:rsidRPr="00486B6C">
        <w:rPr>
          <w:rFonts w:asciiTheme="majorBidi" w:hAnsiTheme="majorBidi" w:cstheme="majorBidi"/>
          <w:bCs/>
          <w:color w:val="000000"/>
          <w:szCs w:val="24"/>
          <w:lang w:val="es-ES_tradnl"/>
        </w:rPr>
        <w:t xml:space="preserve"> la 8ª</w:t>
      </w:r>
      <w:r w:rsidR="002021AB">
        <w:rPr>
          <w:rFonts w:asciiTheme="majorBidi" w:hAnsiTheme="majorBidi" w:cstheme="majorBidi"/>
          <w:bCs/>
          <w:color w:val="000000"/>
          <w:szCs w:val="24"/>
          <w:lang w:val="es-ES_tradnl"/>
        </w:rPr>
        <w:t> </w:t>
      </w:r>
      <w:r w:rsidR="00486B6C" w:rsidRPr="00486B6C">
        <w:rPr>
          <w:rFonts w:asciiTheme="majorBidi" w:hAnsiTheme="majorBidi" w:cstheme="majorBidi"/>
          <w:bCs/>
          <w:color w:val="000000"/>
          <w:szCs w:val="24"/>
          <w:lang w:val="es-ES_tradnl"/>
        </w:rPr>
        <w:t>Sesión</w:t>
      </w:r>
      <w:r w:rsidR="00486B6C" w:rsidRPr="00486B6C">
        <w:rPr>
          <w:rFonts w:asciiTheme="majorBidi" w:hAnsiTheme="majorBidi" w:cstheme="majorBidi"/>
          <w:szCs w:val="24"/>
          <w:lang w:val="es-ES_tradnl"/>
        </w:rPr>
        <w:t xml:space="preserve"> Plenaria (véanse los párrafos</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1.39 a 1.42 del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505 de la CMR-15) con la aprobación de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416 de la CMR-15 en relación con el apartado</w:t>
      </w:r>
      <w:r w:rsidR="009C11E3">
        <w:rPr>
          <w:rFonts w:asciiTheme="majorBidi" w:hAnsiTheme="majorBidi" w:cstheme="majorBidi"/>
          <w:szCs w:val="24"/>
          <w:lang w:val="es-ES_tradnl"/>
        </w:rPr>
        <w:t> </w:t>
      </w:r>
      <w:r w:rsidR="00486B6C" w:rsidRPr="00486B6C">
        <w:rPr>
          <w:rFonts w:asciiTheme="majorBidi" w:hAnsiTheme="majorBidi" w:cstheme="majorBidi"/>
          <w:szCs w:val="24"/>
          <w:lang w:val="es-ES_tradnl"/>
        </w:rPr>
        <w:t>6 del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4 (Add.2)(Rev.1)</w:t>
      </w:r>
      <w:r w:rsidR="009C11E3">
        <w:rPr>
          <w:rFonts w:asciiTheme="majorBidi" w:hAnsiTheme="majorBidi" w:cstheme="majorBidi"/>
          <w:szCs w:val="24"/>
          <w:lang w:val="es-ES_tradnl"/>
        </w:rPr>
        <w:t xml:space="preserve"> </w:t>
      </w:r>
      <w:r w:rsidR="00486B6C" w:rsidRPr="00486B6C">
        <w:rPr>
          <w:rFonts w:asciiTheme="majorBidi" w:hAnsiTheme="majorBidi" w:cstheme="majorBidi"/>
          <w:szCs w:val="24"/>
          <w:lang w:val="es-ES_tradnl"/>
        </w:rPr>
        <w:t>(Add.1)</w:t>
      </w:r>
      <w:r w:rsidR="00486B6C" w:rsidRPr="00486B6C">
        <w:rPr>
          <w:rFonts w:asciiTheme="majorBidi" w:eastAsia="SimSun" w:hAnsiTheme="majorBidi" w:cstheme="majorBidi"/>
          <w:szCs w:val="24"/>
          <w:lang w:val="es-ES_tradnl" w:eastAsia="zh-CN"/>
        </w:rPr>
        <w:t xml:space="preserve">, </w:t>
      </w:r>
      <w:r w:rsidR="00486B6C" w:rsidRPr="00486B6C">
        <w:rPr>
          <w:rFonts w:asciiTheme="majorBidi" w:hAnsiTheme="majorBidi" w:cstheme="majorBidi"/>
          <w:szCs w:val="24"/>
          <w:lang w:val="es-ES_tradnl"/>
        </w:rPr>
        <w:t>y estipuló lo siguiente</w:t>
      </w:r>
      <w:r w:rsidR="00486B6C" w:rsidRPr="00486B6C">
        <w:rPr>
          <w:rFonts w:asciiTheme="majorBidi" w:eastAsia="SimSun" w:hAnsiTheme="majorBidi" w:cstheme="majorBidi"/>
          <w:szCs w:val="24"/>
          <w:lang w:val="es-ES_tradnl" w:eastAsia="zh-CN"/>
        </w:rPr>
        <w:t>:</w:t>
      </w:r>
    </w:p>
    <w:p w14:paraId="39CDFC24" w14:textId="4312A1F5" w:rsidR="008A0303" w:rsidRPr="00486B6C" w:rsidRDefault="00486B6C" w:rsidP="005066A7">
      <w:pPr>
        <w:pStyle w:val="FootnoteText"/>
        <w:rPr>
          <w:lang w:val="es-ES_tradnl"/>
        </w:rPr>
      </w:pPr>
      <w:r w:rsidRPr="00486B6C">
        <w:rPr>
          <w:i/>
          <w:iCs/>
          <w:lang w:val="es-ES_tradnl"/>
        </w:rPr>
        <w:t xml:space="preserve">«En lo que respecta a la cuestión de si una evidencia parcial proporcionada por una administración para apoyar la utilización de asignaciones de frecuencia en una banda de frecuencias puede considerarse suficiente, en respuesta a una consulta en virtud del número </w:t>
      </w:r>
      <w:r w:rsidRPr="00486B6C">
        <w:rPr>
          <w:b/>
          <w:bCs/>
          <w:i/>
          <w:iCs/>
          <w:lang w:val="es-ES_tradnl"/>
        </w:rPr>
        <w:t>13.6</w:t>
      </w:r>
      <w:r w:rsidRPr="00486B6C">
        <w:rPr>
          <w:i/>
          <w:iCs/>
          <w:lang w:val="es-ES_tradnl"/>
        </w:rPr>
        <w:t xml:space="preserve"> del RR, para demostrar que se utilizan las asignaciones de frecuencia, o que se siguen utilizando, de conformidad con las características notificadas inscritas en el Registro Internacional de Frecuencias. Al examinar esta cuestión, la CMR-15 consideró que era necesario que las administraciones respondieran de la forma más completa posible a las consultas en virtud del número </w:t>
      </w:r>
      <w:r w:rsidRPr="00486B6C">
        <w:rPr>
          <w:b/>
          <w:bCs/>
          <w:i/>
          <w:iCs/>
          <w:lang w:val="es-ES_tradnl"/>
        </w:rPr>
        <w:t>13.6</w:t>
      </w:r>
      <w:r w:rsidRPr="00486B6C">
        <w:rPr>
          <w:i/>
          <w:iCs/>
          <w:lang w:val="es-ES_tradnl"/>
        </w:rPr>
        <w:t xml:space="preserve"> del RR. Si la Oficina recibe lo que considera ser una respuesta parcial a una consulta, se espera que la Oficina aclare aún más el alcance de su consulta a la administración o solicite información adicional o alternativa. Además, se reconoce que la CMR-15 acordó ciertas revisiones al número 13.6 del RR que tienen por objeto garantizar una mayor transparencia en la aplicación de esta disposición. Estas revisiones deben servir para ayudar a resolver esas cuestiones.»</w:t>
      </w:r>
    </w:p>
  </w:footnote>
  <w:footnote w:id="2">
    <w:p w14:paraId="7E19648A" w14:textId="543C5AFA" w:rsidR="00650300" w:rsidRPr="00B94AE9" w:rsidRDefault="00650300" w:rsidP="00650300">
      <w:pPr>
        <w:pStyle w:val="FootnoteText"/>
        <w:rPr>
          <w:lang w:val="es-ES"/>
        </w:rPr>
      </w:pPr>
      <w:r w:rsidRPr="00650300">
        <w:rPr>
          <w:rStyle w:val="FootnoteReference"/>
          <w:lang w:val="es-ES_tradnl"/>
        </w:rPr>
        <w:t>**</w:t>
      </w:r>
      <w:r w:rsidRPr="00650300">
        <w:rPr>
          <w:lang w:val="es-ES_tradnl"/>
        </w:rPr>
        <w:tab/>
      </w:r>
      <w:r w:rsidRPr="00650300">
        <w:rPr>
          <w:b/>
          <w:bCs/>
          <w:lang w:val="es-ES_tradnl"/>
        </w:rPr>
        <w:t>Nota</w:t>
      </w:r>
      <w:r w:rsidRPr="00650300">
        <w:rPr>
          <w:lang w:val="es-ES_tradnl"/>
        </w:rPr>
        <w:t>: En su 10ª Sesión Plenaria la CMR-19 tomó la siguiente decisión con respecto a la aplicación del número</w:t>
      </w:r>
      <w:r w:rsidR="002021AB">
        <w:rPr>
          <w:lang w:val="es-ES_tradnl"/>
        </w:rPr>
        <w:t> </w:t>
      </w:r>
      <w:r w:rsidRPr="00650300">
        <w:rPr>
          <w:b/>
          <w:bCs/>
          <w:lang w:val="es-ES_tradnl"/>
        </w:rPr>
        <w:t>13.6</w:t>
      </w:r>
      <w:r w:rsidRPr="00650300">
        <w:rPr>
          <w:lang w:val="es-ES_tradnl"/>
        </w:rPr>
        <w:t xml:space="preserve">; </w:t>
      </w:r>
      <w:r w:rsidRPr="0050422B">
        <w:rPr>
          <w:bCs/>
          <w:lang w:val="es-ES"/>
        </w:rPr>
        <w:t xml:space="preserve">véanse los </w:t>
      </w:r>
      <w:r>
        <w:rPr>
          <w:bCs/>
          <w:lang w:val="es-ES"/>
        </w:rPr>
        <w:t>apartad</w:t>
      </w:r>
      <w:r w:rsidRPr="0050422B">
        <w:rPr>
          <w:bCs/>
          <w:lang w:val="es-ES"/>
        </w:rPr>
        <w:t>os</w:t>
      </w:r>
      <w:r w:rsidR="002021AB">
        <w:rPr>
          <w:bCs/>
          <w:lang w:val="es-ES"/>
        </w:rPr>
        <w:t> </w:t>
      </w:r>
      <w:r w:rsidRPr="00650300">
        <w:rPr>
          <w:lang w:val="es-ES_tradnl"/>
        </w:rPr>
        <w:t>10.5 a 10.7 del Documento</w:t>
      </w:r>
      <w:r w:rsidR="002021AB">
        <w:rPr>
          <w:lang w:val="es-ES_tradnl"/>
        </w:rPr>
        <w:t> </w:t>
      </w:r>
      <w:r w:rsidRPr="00650300">
        <w:rPr>
          <w:lang w:val="es-ES_tradnl"/>
        </w:rPr>
        <w:t>CMR19/571, aprobación del Documento</w:t>
      </w:r>
      <w:r w:rsidR="002021AB">
        <w:rPr>
          <w:lang w:val="es-ES_tradnl"/>
        </w:rPr>
        <w:t> </w:t>
      </w:r>
      <w:r w:rsidRPr="00650300">
        <w:rPr>
          <w:lang w:val="es-ES_tradnl"/>
        </w:rPr>
        <w:t>CMR19/500</w:t>
      </w:r>
      <w:r w:rsidRPr="00B94AE9">
        <w:rPr>
          <w:lang w:val="es-ES"/>
        </w:rPr>
        <w:t>:</w:t>
      </w:r>
    </w:p>
    <w:p w14:paraId="2F32FA2B" w14:textId="77777777" w:rsidR="00650300" w:rsidRPr="00650300" w:rsidRDefault="00650300" w:rsidP="00650300">
      <w:pPr>
        <w:pStyle w:val="FootnoteText"/>
        <w:tabs>
          <w:tab w:val="left" w:pos="851"/>
        </w:tabs>
        <w:rPr>
          <w:lang w:val="es-ES_tradnl"/>
        </w:rPr>
      </w:pPr>
      <w:r w:rsidRPr="00650300">
        <w:rPr>
          <w:lang w:val="es-ES_tradnl"/>
        </w:rPr>
        <w:t>«</w:t>
      </w:r>
      <w:r w:rsidRPr="00650300">
        <w:rPr>
          <w:i/>
          <w:iCs/>
          <w:lang w:val="es-ES_tradnl"/>
        </w:rPr>
        <w:t>1</w:t>
      </w:r>
      <w:r w:rsidRPr="00650300">
        <w:rPr>
          <w:i/>
          <w:iCs/>
          <w:lang w:val="es-ES_tradnl"/>
        </w:rPr>
        <w:tab/>
        <w:t>La CMR-19 ha adoptado un nuevo enfoque basado en objetivos intermedios para el despliegue de los sistemas de satélites no geoestacionarios en bandas y servicios específicos. La CMR-19 indica al Director de la Oficina de Radiocomunicaciones que, con el enfoque por objetivos, la CMR-19 no promueve la utilización rutinaria del número </w:t>
      </w:r>
      <w:r w:rsidRPr="00650300">
        <w:rPr>
          <w:b/>
          <w:bCs/>
          <w:i/>
          <w:iCs/>
          <w:lang w:val="es-ES_tradnl"/>
        </w:rPr>
        <w:t>13.6</w:t>
      </w:r>
      <w:r w:rsidRPr="00650300">
        <w:rPr>
          <w:i/>
          <w:iCs/>
          <w:lang w:val="es-ES_tradnl"/>
        </w:rPr>
        <w:t xml:space="preserve"> del Reglamento de Radiocomunicaciones cuando no se disponga de información fiable, con el objeto de recabar la confirmación del despliegue del número de satélites en los planos orbitales notificados para los sistemas de satélites de órbita no geoestacionaria en las bandas de frecuencias y los servicios no enumerados en el </w:t>
      </w:r>
      <w:r w:rsidRPr="001A1A7B">
        <w:rPr>
          <w:rFonts w:ascii="Arial" w:hAnsi="Arial" w:cs="Arial"/>
          <w:i/>
          <w:iCs/>
          <w:lang w:val="es-ES_tradnl"/>
        </w:rPr>
        <w:t>resuelve</w:t>
      </w:r>
      <w:r w:rsidRPr="00650300">
        <w:rPr>
          <w:i/>
          <w:iCs/>
          <w:lang w:val="es-ES_tradnl"/>
        </w:rPr>
        <w:t> 1 de la nueva Resolución.</w:t>
      </w:r>
    </w:p>
    <w:p w14:paraId="51B41D29" w14:textId="77777777" w:rsidR="00650300" w:rsidRPr="00650300" w:rsidRDefault="00650300" w:rsidP="00650300">
      <w:pPr>
        <w:pStyle w:val="FootnoteText"/>
        <w:jc w:val="left"/>
        <w:rPr>
          <w:i/>
          <w:iCs/>
          <w:lang w:val="es-ES_tradnl"/>
        </w:rPr>
      </w:pPr>
      <w:r w:rsidRPr="00650300">
        <w:rPr>
          <w:i/>
          <w:iCs/>
          <w:lang w:val="es-ES_tradnl"/>
        </w:rPr>
        <w:t>(…)</w:t>
      </w:r>
    </w:p>
    <w:p w14:paraId="05CF8A0F" w14:textId="77777777" w:rsidR="00650300" w:rsidRPr="00650300" w:rsidRDefault="00650300" w:rsidP="00650300">
      <w:pPr>
        <w:pStyle w:val="FootnoteText"/>
        <w:rPr>
          <w:lang w:val="es-ES_tradnl"/>
        </w:rPr>
      </w:pPr>
      <w:r w:rsidRPr="00650300">
        <w:rPr>
          <w:i/>
          <w:iCs/>
          <w:lang w:val="es-ES_tradnl"/>
        </w:rPr>
        <w:t>Además, la CMR-19 encarga a la Oficina que, al aplicar las disposiciones pertinentes del RR (por ejemplo, el número </w:t>
      </w:r>
      <w:r w:rsidRPr="00650300">
        <w:rPr>
          <w:b/>
          <w:bCs/>
          <w:i/>
          <w:iCs/>
          <w:lang w:val="es-ES_tradnl"/>
        </w:rPr>
        <w:t>11.44C.2</w:t>
      </w:r>
      <w:r w:rsidRPr="00650300">
        <w:rPr>
          <w:i/>
          <w:iCs/>
          <w:lang w:val="es-ES_tradnl"/>
        </w:rPr>
        <w:t xml:space="preserve"> o el </w:t>
      </w:r>
      <w:r w:rsidRPr="001A1A7B">
        <w:rPr>
          <w:rFonts w:ascii="Arial" w:hAnsi="Arial" w:cs="Arial"/>
          <w:i/>
          <w:iCs/>
          <w:lang w:val="es-ES_tradnl"/>
        </w:rPr>
        <w:t>resuelve</w:t>
      </w:r>
      <w:r w:rsidRPr="00650300">
        <w:rPr>
          <w:i/>
          <w:iCs/>
          <w:lang w:val="es-ES_tradnl"/>
        </w:rPr>
        <w:t xml:space="preserve"> 9d) de la Resolución </w:t>
      </w:r>
      <w:r w:rsidRPr="00650300">
        <w:rPr>
          <w:b/>
          <w:bCs/>
          <w:i/>
          <w:iCs/>
          <w:lang w:val="es-ES_tradnl"/>
        </w:rPr>
        <w:t>[7(A)</w:t>
      </w:r>
      <w:r w:rsidRPr="00650300">
        <w:rPr>
          <w:b/>
          <w:bCs/>
          <w:i/>
          <w:iCs/>
          <w:lang w:val="es-ES_tradnl"/>
        </w:rPr>
        <w:noBreakHyphen/>
        <w:t>NGSO</w:t>
      </w:r>
      <w:r w:rsidRPr="00650300">
        <w:rPr>
          <w:b/>
          <w:bCs/>
          <w:i/>
          <w:iCs/>
          <w:lang w:val="es-ES_tradnl"/>
        </w:rPr>
        <w:noBreakHyphen/>
        <w:t>MILESTONES]</w:t>
      </w:r>
      <w:r w:rsidRPr="00650300">
        <w:rPr>
          <w:i/>
          <w:iCs/>
          <w:lang w:val="es-ES_tradnl"/>
        </w:rPr>
        <w:t>), actúe con la máxima cautela hasta que el UIT-R concluya los estudios sobre tolerancias».</w:t>
      </w:r>
      <w:r w:rsidRPr="00C04663">
        <w:rPr>
          <w:lang w:val="es-ES"/>
        </w:rPr>
        <w:t>***</w:t>
      </w:r>
    </w:p>
    <w:p w14:paraId="05F024F7" w14:textId="4AF3AFED" w:rsidR="00650300" w:rsidRPr="00650300" w:rsidRDefault="00650300" w:rsidP="00650300">
      <w:pPr>
        <w:pStyle w:val="FootnoteText"/>
        <w:rPr>
          <w:lang w:val="es-ES_tradnl"/>
        </w:rPr>
      </w:pPr>
      <w:r w:rsidRPr="00650300">
        <w:rPr>
          <w:rStyle w:val="FootnoteReference"/>
          <w:lang w:val="es-ES_tradnl"/>
        </w:rPr>
        <w:t>***</w:t>
      </w:r>
      <w:r w:rsidRPr="00650300">
        <w:rPr>
          <w:lang w:val="es-ES_tradnl"/>
        </w:rPr>
        <w:t xml:space="preserve"> </w:t>
      </w:r>
      <w:r w:rsidRPr="00650300">
        <w:rPr>
          <w:i/>
          <w:iCs/>
          <w:lang w:val="es-ES_tradnl"/>
        </w:rPr>
        <w:t xml:space="preserve">Nota de la Secretaría: </w:t>
      </w:r>
      <w:r w:rsidRPr="00650300">
        <w:rPr>
          <w:lang w:val="es-ES_tradnl"/>
        </w:rPr>
        <w:t>El número definitivo de la Resolución [</w:t>
      </w:r>
      <w:r w:rsidRPr="00650300">
        <w:rPr>
          <w:b/>
          <w:bCs/>
          <w:lang w:val="es-ES_tradnl"/>
        </w:rPr>
        <w:t>[7(A)-NGSO-MILESTONES] (CMR-19)</w:t>
      </w:r>
      <w:r w:rsidRPr="00650300">
        <w:rPr>
          <w:lang w:val="es-ES_tradnl"/>
        </w:rPr>
        <w:t>] es Resolución </w:t>
      </w:r>
      <w:r w:rsidRPr="00650300">
        <w:rPr>
          <w:b/>
          <w:bCs/>
          <w:lang w:val="es-ES_tradnl"/>
        </w:rPr>
        <w:t>35 (CMR-19)</w:t>
      </w:r>
      <w:r w:rsidRPr="00650300">
        <w:rPr>
          <w:lang w:val="es-ES_trad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C7471" w14:paraId="0D32DB9D" w14:textId="77777777" w:rsidTr="001C7471">
      <w:trPr>
        <w:cantSplit/>
      </w:trPr>
      <w:tc>
        <w:tcPr>
          <w:tcW w:w="1701" w:type="dxa"/>
          <w:tcBorders>
            <w:top w:val="single" w:sz="6" w:space="0" w:color="auto"/>
            <w:left w:val="single" w:sz="6" w:space="0" w:color="auto"/>
            <w:bottom w:val="single" w:sz="6" w:space="0" w:color="auto"/>
            <w:right w:val="single" w:sz="6" w:space="0" w:color="auto"/>
          </w:tcBorders>
        </w:tcPr>
        <w:p w14:paraId="63CE9F46" w14:textId="77777777" w:rsidR="001C7471" w:rsidRDefault="001C7471" w:rsidP="001C747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8C11BFF" w14:textId="766820E5" w:rsidR="001C7471" w:rsidRDefault="001C7471" w:rsidP="001C747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001EA8">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001EA8">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5BB7C3" w14:textId="77777777" w:rsidR="001C7471" w:rsidRDefault="001C7471" w:rsidP="001C7471">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5A189" w14:textId="4888B908" w:rsidR="001C7471" w:rsidRDefault="001C7471" w:rsidP="001C7471">
          <w:pPr>
            <w:pStyle w:val="HeaderRegProc"/>
            <w:rPr>
              <w:color w:val="000000"/>
              <w:lang w:val="fr-CH"/>
            </w:rPr>
          </w:pPr>
          <w:proofErr w:type="gramStart"/>
          <w:r>
            <w:rPr>
              <w:color w:val="000000"/>
              <w:lang w:val="fr-CH"/>
            </w:rPr>
            <w:t>rev</w:t>
          </w:r>
          <w:proofErr w:type="gramEnd"/>
          <w:r>
            <w:rPr>
              <w:color w:val="000000"/>
              <w:lang w:val="fr-CH"/>
            </w:rPr>
            <w:t>.</w:t>
          </w:r>
          <w:r w:rsidR="002021AB">
            <w:rPr>
              <w:color w:val="000000"/>
            </w:rPr>
            <w:t xml:space="preserve"> </w:t>
          </w:r>
          <w:r w:rsidR="00FC1860">
            <w:rPr>
              <w:color w:val="000000"/>
            </w:rPr>
            <w:t>6</w:t>
          </w:r>
        </w:p>
      </w:tc>
    </w:tr>
  </w:tbl>
  <w:p w14:paraId="731FDD84" w14:textId="77777777" w:rsidR="001C7471" w:rsidRDefault="001C7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37FC66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BCEC9D" w14:textId="77777777" w:rsidR="00103A1D" w:rsidRDefault="0010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CE092C" w14:textId="35078BA7" w:rsidR="00103A1D" w:rsidRDefault="00987AE0">
          <w:pPr>
            <w:pStyle w:val="HeaderRegProc"/>
            <w:rPr>
              <w:lang w:val="es-ES_tradnl"/>
            </w:rPr>
          </w:pPr>
          <w:fldSimple w:instr=" DOCPROPERTY &quot;Header&quot; \* MERGEFORMAT ">
            <w:r w:rsidR="00001EA8">
              <w:t>AR</w:t>
            </w:r>
          </w:fldSimple>
          <w:r w:rsidR="00103A1D">
            <w:fldChar w:fldCharType="begin"/>
          </w:r>
          <w:r w:rsidR="00103A1D">
            <w:instrText>styleref href2</w:instrText>
          </w:r>
          <w:r w:rsidR="00103A1D">
            <w:fldChar w:fldCharType="separate"/>
          </w:r>
          <w:r w:rsidR="00001EA8">
            <w:rPr>
              <w:noProof/>
            </w:rPr>
            <w:t>13</w:t>
          </w:r>
          <w:r w:rsidR="00103A1D">
            <w:fldChar w:fldCharType="end"/>
          </w:r>
        </w:p>
      </w:tc>
      <w:tc>
        <w:tcPr>
          <w:tcW w:w="1701" w:type="dxa"/>
          <w:tcBorders>
            <w:top w:val="single" w:sz="6" w:space="0" w:color="auto"/>
            <w:left w:val="single" w:sz="6" w:space="0" w:color="auto"/>
            <w:bottom w:val="single" w:sz="6" w:space="0" w:color="auto"/>
            <w:right w:val="single" w:sz="6" w:space="0" w:color="auto"/>
          </w:tcBorders>
        </w:tcPr>
        <w:p w14:paraId="7942910E" w14:textId="77777777" w:rsidR="00103A1D" w:rsidRDefault="00103A1D">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C3CF82" w14:textId="0E1A656F" w:rsidR="00103A1D" w:rsidRDefault="00103A1D">
          <w:pPr>
            <w:pStyle w:val="HeaderRegProc"/>
            <w:rPr>
              <w:lang w:val="fr-CH"/>
            </w:rPr>
          </w:pPr>
          <w:proofErr w:type="gramStart"/>
          <w:r>
            <w:rPr>
              <w:lang w:val="fr-CH"/>
            </w:rPr>
            <w:t>rev</w:t>
          </w:r>
          <w:proofErr w:type="gramEnd"/>
          <w:r>
            <w:rPr>
              <w:lang w:val="fr-CH"/>
            </w:rPr>
            <w:t>.</w:t>
          </w:r>
          <w:r w:rsidR="00FC1860">
            <w:t xml:space="preserve"> 6</w:t>
          </w:r>
        </w:p>
      </w:tc>
    </w:tr>
  </w:tbl>
  <w:p w14:paraId="69007F44" w14:textId="77777777" w:rsidR="00103A1D" w:rsidRDefault="00103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603B15D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21111E7" w14:textId="77777777" w:rsidR="00103A1D" w:rsidRDefault="00103A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3E8B3BF" w14:textId="41EF7365" w:rsidR="00103A1D" w:rsidRDefault="00103A1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001EA8">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001EA8">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445E5B" w14:textId="77777777" w:rsidR="00103A1D" w:rsidRDefault="00103A1D">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4BD33" w14:textId="29E40084" w:rsidR="00103A1D" w:rsidRDefault="00103A1D" w:rsidP="005066A7">
          <w:pPr>
            <w:pStyle w:val="HeaderRegProc"/>
            <w:rPr>
              <w:color w:val="000000"/>
              <w:lang w:val="fr-CH"/>
            </w:rPr>
          </w:pPr>
          <w:proofErr w:type="gramStart"/>
          <w:r>
            <w:rPr>
              <w:color w:val="000000"/>
              <w:lang w:val="fr-CH"/>
            </w:rPr>
            <w:t>rev</w:t>
          </w:r>
          <w:proofErr w:type="gramEnd"/>
          <w:r>
            <w:rPr>
              <w:color w:val="000000"/>
              <w:lang w:val="fr-CH"/>
            </w:rPr>
            <w:t>.</w:t>
          </w:r>
          <w:r w:rsidR="002021AB">
            <w:rPr>
              <w:color w:val="000000"/>
            </w:rPr>
            <w:t xml:space="preserve"> -</w:t>
          </w:r>
        </w:p>
      </w:tc>
    </w:tr>
  </w:tbl>
  <w:p w14:paraId="55C17115" w14:textId="77777777" w:rsidR="00103A1D" w:rsidRDefault="00103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20FD" w14:textId="77777777" w:rsidR="00103A1D" w:rsidRDefault="00103A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C73"/>
    <w:rsid w:val="00001EA8"/>
    <w:rsid w:val="00004387"/>
    <w:rsid w:val="00037EC5"/>
    <w:rsid w:val="00103A1D"/>
    <w:rsid w:val="00177DBE"/>
    <w:rsid w:val="001A1A7B"/>
    <w:rsid w:val="001C7471"/>
    <w:rsid w:val="002021AB"/>
    <w:rsid w:val="002C2465"/>
    <w:rsid w:val="002D1A4B"/>
    <w:rsid w:val="002F6BF8"/>
    <w:rsid w:val="00380659"/>
    <w:rsid w:val="00486B6C"/>
    <w:rsid w:val="005066A7"/>
    <w:rsid w:val="0051265F"/>
    <w:rsid w:val="00555B07"/>
    <w:rsid w:val="005E7A1C"/>
    <w:rsid w:val="00650300"/>
    <w:rsid w:val="00676A51"/>
    <w:rsid w:val="007A7699"/>
    <w:rsid w:val="007F5263"/>
    <w:rsid w:val="007F5CB7"/>
    <w:rsid w:val="00877B6F"/>
    <w:rsid w:val="008A0303"/>
    <w:rsid w:val="00987AE0"/>
    <w:rsid w:val="009A42E4"/>
    <w:rsid w:val="009C11E3"/>
    <w:rsid w:val="00BF14BE"/>
    <w:rsid w:val="00C477B4"/>
    <w:rsid w:val="00D55C73"/>
    <w:rsid w:val="00EF7206"/>
    <w:rsid w:val="00FC18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A5C0B"/>
  <w15:docId w15:val="{B0C5C576-95C3-443A-A8DC-02EA9ACA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i0">
    <w:name w:val="Heading_i"/>
    <w:basedOn w:val="Normal"/>
    <w:rPr>
      <w:lang w:val="es-E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503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58D1-2F69-4CF2-A223-E08DB535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TotalTime>
  <Pages>4</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Edición 2009</dc:title>
  <dc:subject>Artículo 13</dc:subject>
  <dc:creator>Composition des Publications</dc:creator>
  <cp:keywords/>
  <dc:description/>
  <cp:lastModifiedBy>Saez Grau, Ricardo</cp:lastModifiedBy>
  <cp:revision>27</cp:revision>
  <cp:lastPrinted>2025-07-29T08:42:00Z</cp:lastPrinted>
  <dcterms:created xsi:type="dcterms:W3CDTF">2012-10-02T09:55:00Z</dcterms:created>
  <dcterms:modified xsi:type="dcterms:W3CDTF">2025-07-29T08:43:00Z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