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337414" w14:textId="77777777" w:rsidR="00BA6673" w:rsidRPr="005C4282" w:rsidRDefault="00BA6673" w:rsidP="00BA6673">
      <w:pPr>
        <w:rPr>
          <w:sz w:val="16"/>
          <w:szCs w:val="16"/>
          <w:lang w:val="es-ES"/>
        </w:rPr>
      </w:pPr>
      <w:r w:rsidRPr="005C4282">
        <w:rPr>
          <w:sz w:val="16"/>
          <w:szCs w:val="16"/>
          <w:lang w:val="es-ES"/>
        </w:rPr>
        <w:t>(ADD RRB24/510)</w:t>
      </w:r>
    </w:p>
    <w:p w14:paraId="5B84D52B" w14:textId="176B4068" w:rsidR="000A14AD" w:rsidRPr="00CF75E8" w:rsidRDefault="00826E3A" w:rsidP="00CF75E8">
      <w:pPr>
        <w:jc w:val="center"/>
        <w:rPr>
          <w:b/>
          <w:bCs/>
          <w:sz w:val="28"/>
          <w:szCs w:val="28"/>
          <w:lang w:val="es-ES"/>
        </w:rPr>
      </w:pPr>
      <w:r w:rsidRPr="00CF75E8">
        <w:rPr>
          <w:b/>
          <w:bCs/>
          <w:sz w:val="28"/>
          <w:szCs w:val="28"/>
          <w:lang w:val="es-ES"/>
        </w:rPr>
        <w:t>Reglas relativas a la</w:t>
      </w:r>
    </w:p>
    <w:p w14:paraId="11F2C903" w14:textId="33D2800E" w:rsidR="000A14AD" w:rsidRPr="00CF75E8" w:rsidRDefault="000A14AD" w:rsidP="005C4282">
      <w:pPr>
        <w:pStyle w:val="StyleResBefore18pt"/>
        <w:rPr>
          <w:lang w:val="es-ES"/>
        </w:rPr>
      </w:pPr>
      <w:r w:rsidRPr="00CF75E8">
        <w:rPr>
          <w:lang w:val="es-ES"/>
        </w:rPr>
        <w:t>RESOLU</w:t>
      </w:r>
      <w:r w:rsidR="00826E3A" w:rsidRPr="00CF75E8">
        <w:rPr>
          <w:lang w:val="es-ES"/>
        </w:rPr>
        <w:t>CIÓ</w:t>
      </w:r>
      <w:r w:rsidRPr="00CF75E8">
        <w:rPr>
          <w:lang w:val="es-ES"/>
        </w:rPr>
        <w:t xml:space="preserve">N  </w:t>
      </w:r>
      <w:r w:rsidR="003D33FD" w:rsidRPr="00CF75E8">
        <w:rPr>
          <w:lang w:val="es-ES"/>
        </w:rPr>
        <w:t>678</w:t>
      </w:r>
      <w:r w:rsidRPr="00CF75E8">
        <w:rPr>
          <w:lang w:val="es-ES"/>
        </w:rPr>
        <w:t xml:space="preserve"> (C</w:t>
      </w:r>
      <w:r w:rsidR="00826E3A" w:rsidRPr="00CF75E8">
        <w:rPr>
          <w:lang w:val="es-ES"/>
        </w:rPr>
        <w:t>MR</w:t>
      </w:r>
      <w:r w:rsidRPr="00CF75E8">
        <w:rPr>
          <w:lang w:val="es-ES"/>
        </w:rPr>
        <w:t>-</w:t>
      </w:r>
      <w:r w:rsidR="003D33FD" w:rsidRPr="00CF75E8">
        <w:rPr>
          <w:lang w:val="es-ES"/>
        </w:rPr>
        <w:t>23</w:t>
      </w:r>
      <w:r w:rsidRPr="00CF75E8">
        <w:rPr>
          <w:lang w:val="es-ES"/>
        </w:rPr>
        <w:t>)</w:t>
      </w:r>
    </w:p>
    <w:p w14:paraId="0C1AC781" w14:textId="471A4B70" w:rsidR="003F2AFA" w:rsidRPr="005C4282" w:rsidRDefault="00CF75E8" w:rsidP="00CF75E8">
      <w:pPr>
        <w:pStyle w:val="Restitle"/>
        <w:rPr>
          <w:lang w:val="es-ES"/>
        </w:rPr>
      </w:pPr>
      <w:r w:rsidRPr="005C4282">
        <w:rPr>
          <w:lang w:val="es-ES"/>
        </w:rPr>
        <w:t>Utilización de la banda de frecuencias 14,8-15,35 GHz por el servicio de investigación espacial (espacio espacio) (Tierra espacio) (espacio Tierra) y medidas transitorias correspondientes</w:t>
      </w:r>
    </w:p>
    <w:p w14:paraId="2108112E" w14:textId="4A082ACB" w:rsidR="00771BBD" w:rsidRPr="0029214F" w:rsidRDefault="0029214F" w:rsidP="0029214F">
      <w:pPr>
        <w:pStyle w:val="Normalaftertitle"/>
        <w:rPr>
          <w:lang w:val="es-ES"/>
        </w:rPr>
      </w:pPr>
      <w:r w:rsidRPr="0029214F">
        <w:rPr>
          <w:lang w:val="es-ES"/>
        </w:rPr>
        <w:t>1</w:t>
      </w:r>
      <w:r w:rsidRPr="0029214F">
        <w:rPr>
          <w:lang w:val="es-ES"/>
        </w:rPr>
        <w:tab/>
      </w:r>
      <w:proofErr w:type="gramStart"/>
      <w:r w:rsidRPr="0029214F">
        <w:rPr>
          <w:lang w:val="es-ES"/>
        </w:rPr>
        <w:t>Para</w:t>
      </w:r>
      <w:proofErr w:type="gramEnd"/>
      <w:r w:rsidRPr="0029214F">
        <w:rPr>
          <w:lang w:val="es-ES"/>
        </w:rPr>
        <w:t xml:space="preserve"> que la Oficina pueda examinar el cumplimiento del nivel de densidad de flujo de potencia (</w:t>
      </w:r>
      <w:proofErr w:type="spellStart"/>
      <w:r w:rsidRPr="0029214F">
        <w:rPr>
          <w:lang w:val="es-ES"/>
        </w:rPr>
        <w:t>dfp</w:t>
      </w:r>
      <w:proofErr w:type="spellEnd"/>
      <w:r w:rsidRPr="0029214F">
        <w:rPr>
          <w:lang w:val="es-ES"/>
        </w:rPr>
        <w:t xml:space="preserve">) que figura en el </w:t>
      </w:r>
      <w:r w:rsidRPr="0029214F">
        <w:rPr>
          <w:i/>
          <w:iCs/>
          <w:lang w:val="es-ES"/>
        </w:rPr>
        <w:t>resuelve </w:t>
      </w:r>
      <w:r w:rsidRPr="0029214F">
        <w:rPr>
          <w:lang w:val="es-ES"/>
        </w:rPr>
        <w:t>1.1 de la Resolución </w:t>
      </w:r>
      <w:r w:rsidRPr="0029214F">
        <w:rPr>
          <w:b/>
          <w:bCs/>
          <w:lang w:val="es-ES"/>
        </w:rPr>
        <w:t>678 (CMR</w:t>
      </w:r>
      <w:r w:rsidRPr="0029214F">
        <w:rPr>
          <w:b/>
          <w:bCs/>
          <w:lang w:val="es-ES"/>
        </w:rPr>
        <w:noBreakHyphen/>
        <w:t>23)</w:t>
      </w:r>
      <w:r w:rsidRPr="0029214F">
        <w:rPr>
          <w:lang w:val="es-ES"/>
        </w:rPr>
        <w:t xml:space="preserve">, la Junta decidió que al notificar a las estaciones terrenas que operan en el servicio de investigación espacial en la banda de frecuencias 14,8-15,35 GHz es necesario presentar el compromiso de no superar el nivel de </w:t>
      </w:r>
      <w:proofErr w:type="spellStart"/>
      <w:r w:rsidRPr="0029214F">
        <w:rPr>
          <w:lang w:val="es-ES"/>
        </w:rPr>
        <w:t>dfp</w:t>
      </w:r>
      <w:proofErr w:type="spellEnd"/>
      <w:r w:rsidRPr="0029214F">
        <w:rPr>
          <w:lang w:val="es-ES"/>
        </w:rPr>
        <w:t xml:space="preserve"> de </w:t>
      </w:r>
      <w:r w:rsidRPr="00F13FB7">
        <w:rPr>
          <w:i/>
          <w:iCs/>
          <w:lang w:val="es-ES"/>
        </w:rPr>
        <w:t>−</w:t>
      </w:r>
      <w:r w:rsidRPr="0029214F">
        <w:rPr>
          <w:lang w:val="es-ES"/>
        </w:rPr>
        <w:t>156 dB(W/m</w:t>
      </w:r>
      <w:r w:rsidRPr="0029214F">
        <w:rPr>
          <w:vertAlign w:val="superscript"/>
          <w:lang w:val="es-ES"/>
        </w:rPr>
        <w:t>2</w:t>
      </w:r>
      <w:r w:rsidRPr="0029214F">
        <w:rPr>
          <w:lang w:val="es-ES"/>
        </w:rPr>
        <w:t>) durante más del 2% del tiempo en un ancho de banda de 50 MHz en la banda de frecuencias 15. 35-15,4 GHz, en cualquier emplazamiento de radioastronomía que observe en la banda de frecuencias 15,35-15,4 GHz.</w:t>
      </w:r>
    </w:p>
    <w:p w14:paraId="72526273" w14:textId="77777777" w:rsidR="0029214F" w:rsidRPr="0029214F" w:rsidRDefault="0029214F" w:rsidP="0029214F">
      <w:pPr>
        <w:rPr>
          <w:lang w:val="es-ES"/>
        </w:rPr>
      </w:pPr>
      <w:r w:rsidRPr="0029214F">
        <w:rPr>
          <w:lang w:val="es-ES"/>
        </w:rPr>
        <w:t>2</w:t>
      </w:r>
      <w:r w:rsidRPr="0029214F">
        <w:rPr>
          <w:lang w:val="es-ES"/>
        </w:rPr>
        <w:tab/>
      </w:r>
      <w:proofErr w:type="gramStart"/>
      <w:r w:rsidRPr="0029214F">
        <w:rPr>
          <w:lang w:val="es-ES"/>
        </w:rPr>
        <w:t>En</w:t>
      </w:r>
      <w:proofErr w:type="gramEnd"/>
      <w:r w:rsidRPr="0029214F">
        <w:rPr>
          <w:lang w:val="es-ES"/>
        </w:rPr>
        <w:t xml:space="preserve"> el </w:t>
      </w:r>
      <w:r w:rsidRPr="0029214F">
        <w:rPr>
          <w:i/>
          <w:iCs/>
          <w:lang w:val="es-ES"/>
        </w:rPr>
        <w:t>resuelve </w:t>
      </w:r>
      <w:r w:rsidRPr="0029214F">
        <w:rPr>
          <w:lang w:val="es-ES"/>
        </w:rPr>
        <w:t xml:space="preserve">1.5, se establecen tres límites de </w:t>
      </w:r>
      <w:proofErr w:type="spellStart"/>
      <w:r w:rsidRPr="0029214F">
        <w:rPr>
          <w:lang w:val="es-ES"/>
        </w:rPr>
        <w:t>dfp</w:t>
      </w:r>
      <w:proofErr w:type="spellEnd"/>
      <w:r w:rsidRPr="0029214F">
        <w:rPr>
          <w:lang w:val="es-ES"/>
        </w:rPr>
        <w:t xml:space="preserve"> en la superficie de la Tierra aplicables a las estaciones espaciales del servicio de investigación espacial en la banda de frecuencias 14,8</w:t>
      </w:r>
      <w:r w:rsidRPr="0029214F">
        <w:rPr>
          <w:lang w:val="es-ES"/>
        </w:rPr>
        <w:noBreakHyphen/>
        <w:t xml:space="preserve">5,35 GHz. El límite de </w:t>
      </w:r>
      <w:proofErr w:type="spellStart"/>
      <w:r w:rsidRPr="0029214F">
        <w:rPr>
          <w:lang w:val="es-ES"/>
        </w:rPr>
        <w:t>dfp</w:t>
      </w:r>
      <w:proofErr w:type="spellEnd"/>
      <w:r w:rsidRPr="0029214F">
        <w:rPr>
          <w:lang w:val="es-ES"/>
        </w:rPr>
        <w:t xml:space="preserve"> de </w:t>
      </w:r>
      <w:r w:rsidRPr="00F13FB7">
        <w:rPr>
          <w:lang w:val="es-ES"/>
        </w:rPr>
        <w:t>−</w:t>
      </w:r>
      <w:r w:rsidRPr="0029214F">
        <w:rPr>
          <w:lang w:val="es-ES"/>
        </w:rPr>
        <w:t>145,6 </w:t>
      </w:r>
      <w:proofErr w:type="gramStart"/>
      <w:r w:rsidRPr="0029214F">
        <w:rPr>
          <w:lang w:val="es-ES"/>
        </w:rPr>
        <w:t>dB</w:t>
      </w:r>
      <w:r w:rsidRPr="00A805B4">
        <w:rPr>
          <w:lang w:val="es-ES"/>
        </w:rPr>
        <w:t>(</w:t>
      </w:r>
      <w:proofErr w:type="gramEnd"/>
      <w:r w:rsidRPr="00A805B4">
        <w:rPr>
          <w:lang w:val="es-ES"/>
        </w:rPr>
        <w:t>W/(m</w:t>
      </w:r>
      <w:r w:rsidRPr="00A805B4">
        <w:rPr>
          <w:vertAlign w:val="superscript"/>
          <w:lang w:val="es-ES"/>
        </w:rPr>
        <w:t>2</w:t>
      </w:r>
      <w:r w:rsidRPr="00A805B4">
        <w:rPr>
          <w:lang w:val="es-ES"/>
        </w:rPr>
        <w:t> · MHz)</w:t>
      </w:r>
      <w:r w:rsidRPr="0029214F">
        <w:rPr>
          <w:lang w:val="es-ES"/>
        </w:rPr>
        <w:t>) producido en cualquier punto de la superficie terrestre, que no debe superarse durante más del 1% del tiempo en un periodo de 24 horas, es de aplicación a los enlaces espacio</w:t>
      </w:r>
      <w:r w:rsidRPr="0029214F">
        <w:rPr>
          <w:lang w:val="es-ES"/>
        </w:rPr>
        <w:noBreakHyphen/>
        <w:t>espacio. La Junta decidió que la Oficina aplicara la siguiente metodología para formular sus conclusiones con arreglo al número </w:t>
      </w:r>
      <w:r w:rsidRPr="0029214F">
        <w:rPr>
          <w:b/>
          <w:bCs/>
          <w:lang w:val="es-ES"/>
        </w:rPr>
        <w:t>11.31</w:t>
      </w:r>
      <w:r w:rsidRPr="0029214F">
        <w:rPr>
          <w:lang w:val="es-ES"/>
        </w:rPr>
        <w:t xml:space="preserve"> en relación con este límite de </w:t>
      </w:r>
      <w:proofErr w:type="spellStart"/>
      <w:r w:rsidRPr="0029214F">
        <w:rPr>
          <w:lang w:val="es-ES"/>
        </w:rPr>
        <w:t>dfp</w:t>
      </w:r>
      <w:proofErr w:type="spellEnd"/>
      <w:r w:rsidRPr="0029214F">
        <w:rPr>
          <w:lang w:val="es-ES"/>
        </w:rPr>
        <w:t>.</w:t>
      </w:r>
    </w:p>
    <w:p w14:paraId="5D97C44C" w14:textId="77777777" w:rsidR="0029214F" w:rsidRPr="0029214F" w:rsidRDefault="0029214F" w:rsidP="0029214F">
      <w:pPr>
        <w:pStyle w:val="Heading2"/>
        <w:spacing w:before="120"/>
        <w:rPr>
          <w:lang w:val="es-ES"/>
        </w:rPr>
      </w:pPr>
      <w:r w:rsidRPr="0029214F">
        <w:rPr>
          <w:lang w:val="es-ES"/>
        </w:rPr>
        <w:t>2.1</w:t>
      </w:r>
      <w:r w:rsidRPr="0029214F">
        <w:rPr>
          <w:lang w:val="es-ES"/>
        </w:rPr>
        <w:tab/>
        <w:t>Sentido de la transmisión</w:t>
      </w:r>
    </w:p>
    <w:p w14:paraId="22526E74" w14:textId="77777777" w:rsidR="0029214F" w:rsidRPr="0029214F" w:rsidRDefault="0029214F" w:rsidP="0029214F">
      <w:pPr>
        <w:keepNext/>
        <w:keepLines/>
        <w:spacing w:before="120"/>
        <w:rPr>
          <w:lang w:val="es-ES"/>
        </w:rPr>
      </w:pPr>
      <w:r w:rsidRPr="0029214F">
        <w:rPr>
          <w:lang w:val="es-ES"/>
        </w:rPr>
        <w:t>Se establecerá una conclusión sólo para las asignaciones de frecuencia en los haces de transmisión del satélite. En el caso de un haz receptor cuando la transmisión la realice una estación espacial asociada, la conclusión se determinará para las asignaciones de frecuencia de dicha estación espacial asociada.</w:t>
      </w:r>
    </w:p>
    <w:p w14:paraId="4F641F9F" w14:textId="77777777" w:rsidR="0029214F" w:rsidRPr="0029214F" w:rsidRDefault="0029214F" w:rsidP="0029214F">
      <w:pPr>
        <w:pStyle w:val="Heading2"/>
        <w:spacing w:before="120"/>
        <w:rPr>
          <w:lang w:val="es-ES"/>
        </w:rPr>
      </w:pPr>
      <w:r w:rsidRPr="0029214F">
        <w:rPr>
          <w:lang w:val="es-ES"/>
        </w:rPr>
        <w:t>2.2</w:t>
      </w:r>
      <w:r w:rsidRPr="0029214F">
        <w:rPr>
          <w:lang w:val="es-ES"/>
        </w:rPr>
        <w:tab/>
        <w:t>Caso en el que ambas estaciones espaciales utilizan la órbita de los satélites geoestacionarios</w:t>
      </w:r>
    </w:p>
    <w:p w14:paraId="4F1DFB8A" w14:textId="77777777" w:rsidR="0029214F" w:rsidRPr="0029214F" w:rsidRDefault="0029214F" w:rsidP="0029214F">
      <w:pPr>
        <w:spacing w:before="120"/>
        <w:rPr>
          <w:lang w:val="es-ES"/>
        </w:rPr>
      </w:pPr>
      <w:r w:rsidRPr="0029214F">
        <w:rPr>
          <w:lang w:val="es-ES"/>
        </w:rPr>
        <w:t xml:space="preserve">El nivel de </w:t>
      </w:r>
      <w:proofErr w:type="spellStart"/>
      <w:r w:rsidRPr="0029214F">
        <w:rPr>
          <w:lang w:val="es-ES"/>
        </w:rPr>
        <w:t>dfp</w:t>
      </w:r>
      <w:proofErr w:type="spellEnd"/>
      <w:r w:rsidRPr="0029214F">
        <w:rPr>
          <w:lang w:val="es-ES"/>
        </w:rPr>
        <w:t xml:space="preserve"> se calcula utilizando la geometría estática. Se considerará que el límite de </w:t>
      </w:r>
      <w:proofErr w:type="spellStart"/>
      <w:r w:rsidRPr="0029214F">
        <w:rPr>
          <w:lang w:val="es-ES"/>
        </w:rPr>
        <w:t>dfp</w:t>
      </w:r>
      <w:proofErr w:type="spellEnd"/>
      <w:r w:rsidRPr="0029214F">
        <w:rPr>
          <w:lang w:val="es-ES"/>
        </w:rPr>
        <w:t xml:space="preserve"> se ha rebasado cuando el nivel de </w:t>
      </w:r>
      <w:proofErr w:type="spellStart"/>
      <w:r w:rsidRPr="0029214F">
        <w:rPr>
          <w:lang w:val="es-ES"/>
        </w:rPr>
        <w:t>dfp</w:t>
      </w:r>
      <w:proofErr w:type="spellEnd"/>
      <w:r w:rsidRPr="0029214F">
        <w:rPr>
          <w:lang w:val="es-ES"/>
        </w:rPr>
        <w:t xml:space="preserve"> sea superior a </w:t>
      </w:r>
      <w:r w:rsidRPr="00F13FB7">
        <w:rPr>
          <w:i/>
          <w:iCs/>
          <w:lang w:val="es-ES"/>
        </w:rPr>
        <w:t>−</w:t>
      </w:r>
      <w:r w:rsidRPr="0029214F">
        <w:rPr>
          <w:lang w:val="es-ES"/>
        </w:rPr>
        <w:t>145,6 </w:t>
      </w:r>
      <w:proofErr w:type="gramStart"/>
      <w:r w:rsidRPr="0029214F">
        <w:rPr>
          <w:lang w:val="es-ES"/>
        </w:rPr>
        <w:t>dB</w:t>
      </w:r>
      <w:r w:rsidRPr="00A805B4">
        <w:rPr>
          <w:lang w:val="es-ES"/>
        </w:rPr>
        <w:t>(</w:t>
      </w:r>
      <w:proofErr w:type="gramEnd"/>
      <w:r w:rsidRPr="00A805B4">
        <w:rPr>
          <w:lang w:val="es-ES"/>
        </w:rPr>
        <w:t>W/(m</w:t>
      </w:r>
      <w:r w:rsidRPr="00A805B4">
        <w:rPr>
          <w:vertAlign w:val="superscript"/>
          <w:lang w:val="es-ES"/>
        </w:rPr>
        <w:t>2</w:t>
      </w:r>
      <w:r w:rsidRPr="00A805B4">
        <w:rPr>
          <w:lang w:val="es-ES"/>
        </w:rPr>
        <w:t> · MHz)</w:t>
      </w:r>
      <w:r w:rsidRPr="0029214F">
        <w:rPr>
          <w:lang w:val="es-ES"/>
        </w:rPr>
        <w:t>) en cualquier punto de la superficie de la Tierra.</w:t>
      </w:r>
    </w:p>
    <w:p w14:paraId="4C47C2BC" w14:textId="77777777" w:rsidR="0029214F" w:rsidRPr="0029214F" w:rsidRDefault="0029214F" w:rsidP="0029214F">
      <w:pPr>
        <w:pStyle w:val="Heading2"/>
        <w:spacing w:before="120"/>
        <w:rPr>
          <w:lang w:val="es-ES"/>
        </w:rPr>
      </w:pPr>
      <w:r w:rsidRPr="0029214F">
        <w:rPr>
          <w:lang w:val="es-ES"/>
        </w:rPr>
        <w:t>2.3</w:t>
      </w:r>
      <w:r w:rsidRPr="0029214F">
        <w:rPr>
          <w:lang w:val="es-ES"/>
        </w:rPr>
        <w:tab/>
        <w:t>Caso en el que alguna de las estaciones espaciales utilice una órbita de satélites no geoestacionarios</w:t>
      </w:r>
    </w:p>
    <w:p w14:paraId="78068BD2" w14:textId="77777777" w:rsidR="0029214F" w:rsidRPr="0029214F" w:rsidRDefault="0029214F" w:rsidP="0029214F">
      <w:pPr>
        <w:spacing w:before="120"/>
        <w:rPr>
          <w:lang w:val="es-ES"/>
        </w:rPr>
      </w:pPr>
      <w:r w:rsidRPr="0029214F">
        <w:rPr>
          <w:lang w:val="es-ES"/>
        </w:rPr>
        <w:t xml:space="preserve">El nivel de </w:t>
      </w:r>
      <w:proofErr w:type="spellStart"/>
      <w:r w:rsidRPr="0029214F">
        <w:rPr>
          <w:lang w:val="es-ES"/>
        </w:rPr>
        <w:t>dfp</w:t>
      </w:r>
      <w:proofErr w:type="spellEnd"/>
      <w:r w:rsidRPr="0029214F">
        <w:rPr>
          <w:lang w:val="es-ES"/>
        </w:rPr>
        <w:t xml:space="preserve"> se calcula en cada punto de la retícula de la superficie terrestre mediante una simulación dinámica durante un tiempo de ejecución suficiente. Para cada fase temporal, se establece un enlace espacio</w:t>
      </w:r>
      <w:r w:rsidRPr="0029214F">
        <w:rPr>
          <w:lang w:val="es-ES"/>
        </w:rPr>
        <w:noBreakHyphen/>
        <w:t>espacio utilizando las dos estaciones espaciales más cercanas.</w:t>
      </w:r>
    </w:p>
    <w:p w14:paraId="1E607B58" w14:textId="2E2EFC37" w:rsidR="00AC7611" w:rsidRPr="0029214F" w:rsidRDefault="0029214F" w:rsidP="0029214F">
      <w:pPr>
        <w:rPr>
          <w:lang w:val="es-ES"/>
        </w:rPr>
      </w:pPr>
      <w:r w:rsidRPr="0029214F">
        <w:rPr>
          <w:lang w:val="es-ES"/>
        </w:rPr>
        <w:t xml:space="preserve">Para determinar si se ha superado el límite de </w:t>
      </w:r>
      <w:proofErr w:type="spellStart"/>
      <w:r w:rsidRPr="0029214F">
        <w:rPr>
          <w:lang w:val="es-ES"/>
        </w:rPr>
        <w:t>dfp</w:t>
      </w:r>
      <w:proofErr w:type="spellEnd"/>
      <w:r w:rsidRPr="0029214F">
        <w:rPr>
          <w:lang w:val="es-ES"/>
        </w:rPr>
        <w:t xml:space="preserve">, se considera el periodo de 24 horas más desfavorable (es decir, que tenga el máximo número de eventos que superen el valor de </w:t>
      </w:r>
      <w:r w:rsidRPr="00A805B4">
        <w:rPr>
          <w:lang w:val="es-ES"/>
        </w:rPr>
        <w:t>−</w:t>
      </w:r>
      <w:r w:rsidRPr="0029214F">
        <w:rPr>
          <w:lang w:val="es-ES"/>
        </w:rPr>
        <w:t>145,6 </w:t>
      </w:r>
      <w:proofErr w:type="gramStart"/>
      <w:r w:rsidRPr="0029214F">
        <w:rPr>
          <w:lang w:val="es-ES"/>
        </w:rPr>
        <w:t>dB(</w:t>
      </w:r>
      <w:proofErr w:type="gramEnd"/>
      <w:r w:rsidRPr="0029214F">
        <w:rPr>
          <w:lang w:val="es-ES"/>
        </w:rPr>
        <w:t>W/(</w:t>
      </w:r>
      <w:r w:rsidRPr="00A805B4">
        <w:rPr>
          <w:lang w:val="es-ES"/>
        </w:rPr>
        <w:t>m</w:t>
      </w:r>
      <w:r w:rsidRPr="00A805B4">
        <w:rPr>
          <w:vertAlign w:val="superscript"/>
          <w:lang w:val="es-ES"/>
        </w:rPr>
        <w:t>2</w:t>
      </w:r>
      <w:r w:rsidRPr="00A805B4">
        <w:rPr>
          <w:lang w:val="es-ES"/>
        </w:rPr>
        <w:t> · MHz</w:t>
      </w:r>
      <w:r w:rsidRPr="0029214F">
        <w:rPr>
          <w:lang w:val="es-ES"/>
        </w:rPr>
        <w:t>)) en cualquier punto de la retícula.</w:t>
      </w:r>
    </w:p>
    <w:p w14:paraId="1BC99C71" w14:textId="77777777" w:rsidR="00BC68BD" w:rsidRPr="0029214F" w:rsidRDefault="00BC68BD">
      <w:pPr>
        <w:tabs>
          <w:tab w:val="clear" w:pos="1134"/>
          <w:tab w:val="clear" w:pos="1871"/>
          <w:tab w:val="clear" w:pos="2268"/>
        </w:tabs>
        <w:overflowPunct/>
        <w:autoSpaceDE/>
        <w:autoSpaceDN/>
        <w:adjustRightInd/>
        <w:spacing w:before="0"/>
        <w:jc w:val="left"/>
        <w:textAlignment w:val="auto"/>
        <w:rPr>
          <w:lang w:val="es-ES"/>
        </w:rPr>
      </w:pPr>
      <w:r w:rsidRPr="0029214F">
        <w:rPr>
          <w:lang w:val="es-ES"/>
        </w:rPr>
        <w:br w:type="page"/>
      </w:r>
    </w:p>
    <w:p w14:paraId="64CE2470" w14:textId="77777777" w:rsidR="0029214F" w:rsidRPr="0029214F" w:rsidRDefault="0029214F" w:rsidP="0029214F">
      <w:pPr>
        <w:pStyle w:val="Heading2"/>
        <w:spacing w:before="120"/>
        <w:rPr>
          <w:lang w:val="es-ES"/>
        </w:rPr>
      </w:pPr>
      <w:r w:rsidRPr="0029214F">
        <w:rPr>
          <w:lang w:val="es-ES"/>
        </w:rPr>
        <w:lastRenderedPageBreak/>
        <w:t>2.4</w:t>
      </w:r>
      <w:r w:rsidRPr="0029214F">
        <w:rPr>
          <w:lang w:val="es-ES"/>
        </w:rPr>
        <w:tab/>
        <w:t>Diagramas de antena de radiación de la estación espacial</w:t>
      </w:r>
    </w:p>
    <w:p w14:paraId="5358BBFF" w14:textId="77777777" w:rsidR="0029214F" w:rsidRPr="0029214F" w:rsidRDefault="0029214F" w:rsidP="0029214F">
      <w:pPr>
        <w:spacing w:before="120"/>
        <w:rPr>
          <w:lang w:val="es-ES"/>
        </w:rPr>
      </w:pPr>
      <w:r w:rsidRPr="0029214F">
        <w:rPr>
          <w:lang w:val="es-ES"/>
        </w:rPr>
        <w:t>Las administraciones que presenten estaciones espaciales del servicio de investigación espacial en la banda de frecuencias 14,8</w:t>
      </w:r>
      <w:r w:rsidRPr="0029214F">
        <w:rPr>
          <w:lang w:val="es-ES"/>
        </w:rPr>
        <w:noBreakHyphen/>
        <w:t xml:space="preserve">15,35 GHz deberán facilitar el diagrama de radiación de antena normalizado de la estación espacial u obtener un diagrama de antena no normalizado mediante el </w:t>
      </w:r>
      <w:r w:rsidRPr="0029214F">
        <w:rPr>
          <w:i/>
          <w:iCs/>
          <w:lang w:val="es-ES"/>
        </w:rPr>
        <w:t>software</w:t>
      </w:r>
      <w:r w:rsidRPr="0029214F">
        <w:rPr>
          <w:lang w:val="es-ES"/>
        </w:rPr>
        <w:t xml:space="preserve"> del sistema gráfico de gestión de interferencias (GIMS).</w:t>
      </w:r>
    </w:p>
    <w:p w14:paraId="0E310147" w14:textId="77777777" w:rsidR="0029214F" w:rsidRPr="00A805B4" w:rsidRDefault="0029214F" w:rsidP="0029214F">
      <w:pPr>
        <w:pStyle w:val="Heading2"/>
        <w:spacing w:before="120"/>
        <w:rPr>
          <w:lang w:val="es-ES"/>
        </w:rPr>
      </w:pPr>
      <w:r w:rsidRPr="00A805B4">
        <w:rPr>
          <w:lang w:val="es-ES"/>
        </w:rPr>
        <w:t>2.5</w:t>
      </w:r>
      <w:r w:rsidRPr="00A805B4">
        <w:rPr>
          <w:lang w:val="es-ES"/>
        </w:rPr>
        <w:tab/>
        <w:t>Estado de la notificación de la estación espacial asociada</w:t>
      </w:r>
    </w:p>
    <w:p w14:paraId="090AB9E4" w14:textId="77777777" w:rsidR="0029214F" w:rsidRPr="00A805B4" w:rsidRDefault="0029214F" w:rsidP="0029214F">
      <w:pPr>
        <w:spacing w:before="120"/>
        <w:rPr>
          <w:lang w:val="es-ES"/>
        </w:rPr>
      </w:pPr>
      <w:r w:rsidRPr="00A805B4">
        <w:rPr>
          <w:lang w:val="es-ES"/>
        </w:rPr>
        <w:t>En los casos en que se someta una notificación de asignación de frecuencias a una estación espacial del servicio de investigación espacial en la banda de frecuencias 14,8</w:t>
      </w:r>
      <w:r>
        <w:rPr>
          <w:lang w:val="es-ES"/>
        </w:rPr>
        <w:noBreakHyphen/>
      </w:r>
      <w:r w:rsidRPr="00A805B4">
        <w:rPr>
          <w:lang w:val="es-ES"/>
        </w:rPr>
        <w:t>15,35</w:t>
      </w:r>
      <w:r>
        <w:rPr>
          <w:lang w:val="es-ES"/>
        </w:rPr>
        <w:t> GHz</w:t>
      </w:r>
      <w:r w:rsidRPr="00A805B4">
        <w:rPr>
          <w:lang w:val="es-ES"/>
        </w:rPr>
        <w:t xml:space="preserve"> para coordinación, pero la notificación de las asignaciones de frecuencias a la estación espacial asociada en la órbita de los satélites no geoestacionarios aún no se haya comunicado a la Oficina, ésta establecerá una conclusión favorable con reservas que se revisará en la fase de notificación.</w:t>
      </w:r>
    </w:p>
    <w:p w14:paraId="149439A0" w14:textId="7B8A2309" w:rsidR="001B1BDB" w:rsidRPr="0029214F" w:rsidRDefault="0029214F" w:rsidP="0029214F">
      <w:pPr>
        <w:spacing w:before="120"/>
        <w:rPr>
          <w:lang w:val="es-ES"/>
        </w:rPr>
      </w:pPr>
      <w:r w:rsidRPr="00A805B4">
        <w:rPr>
          <w:lang w:val="es-ES"/>
        </w:rPr>
        <w:t>En los casos en que se notifiquen de asignaciones de frecuencias a una estación espacial del servicio de investigación espacial en la banda de frecuencias 14,8-15,35</w:t>
      </w:r>
      <w:r>
        <w:rPr>
          <w:lang w:val="es-ES"/>
        </w:rPr>
        <w:t> GHz</w:t>
      </w:r>
      <w:r w:rsidRPr="00A805B4">
        <w:rPr>
          <w:lang w:val="es-ES"/>
        </w:rPr>
        <w:t xml:space="preserve">, pero la notificación de las asignaciones de frecuencias a la estación espacial asociada para publicación anticipada o coordinación, según proceda, no se haya recibido, la notificación mencionada se considerará inadmisible (véase el </w:t>
      </w:r>
      <w:r>
        <w:rPr>
          <w:lang w:val="es-ES"/>
        </w:rPr>
        <w:t>§ </w:t>
      </w:r>
      <w:r w:rsidRPr="00A805B4">
        <w:rPr>
          <w:lang w:val="es-ES"/>
        </w:rPr>
        <w:t>4.3.3 de las Reglas relativas a la admisibilidad).</w:t>
      </w:r>
    </w:p>
    <w:p w14:paraId="3370F54D" w14:textId="585010DE" w:rsidR="000E7624" w:rsidRPr="0029214F" w:rsidRDefault="000E7624" w:rsidP="000E7624">
      <w:pPr>
        <w:spacing w:before="0"/>
        <w:rPr>
          <w:sz w:val="16"/>
          <w:szCs w:val="16"/>
          <w:lang w:val="es-ES"/>
        </w:rPr>
      </w:pPr>
    </w:p>
    <w:p w14:paraId="01D1B84D" w14:textId="0CD730B2" w:rsidR="00E052A7" w:rsidRDefault="00E052A7" w:rsidP="00D55F11">
      <w:pPr>
        <w:spacing w:before="120"/>
        <w:jc w:val="center"/>
        <w:rPr>
          <w:color w:val="000000"/>
        </w:rPr>
      </w:pPr>
      <w:r>
        <w:rPr>
          <w:color w:val="000000"/>
        </w:rPr>
        <w:t>____________________</w:t>
      </w:r>
    </w:p>
    <w:p w14:paraId="7896D9C9" w14:textId="77777777" w:rsidR="000071D0" w:rsidRDefault="000071D0" w:rsidP="000071D0"/>
    <w:p w14:paraId="54131F9F" w14:textId="77777777" w:rsidR="000071D0" w:rsidRDefault="000071D0" w:rsidP="000071D0"/>
    <w:p w14:paraId="2E7D8DEA" w14:textId="77777777" w:rsidR="000071D0" w:rsidRDefault="000071D0" w:rsidP="000071D0"/>
    <w:p w14:paraId="7D0F4CB9" w14:textId="77777777" w:rsidR="000071D0" w:rsidRDefault="000071D0" w:rsidP="000071D0"/>
    <w:p w14:paraId="36765821" w14:textId="77777777" w:rsidR="000071D0" w:rsidRDefault="000071D0" w:rsidP="000071D0"/>
    <w:p w14:paraId="602C7C3A" w14:textId="77777777" w:rsidR="000071D0" w:rsidRDefault="000071D0" w:rsidP="000071D0"/>
    <w:p w14:paraId="05C6D9FD" w14:textId="77777777" w:rsidR="000071D0" w:rsidRDefault="000071D0" w:rsidP="000071D0"/>
    <w:p w14:paraId="3EE588D8" w14:textId="77777777" w:rsidR="000071D0" w:rsidRDefault="000071D0" w:rsidP="000071D0"/>
    <w:p w14:paraId="7EA41D51" w14:textId="77777777" w:rsidR="000071D0" w:rsidRDefault="000071D0" w:rsidP="000071D0"/>
    <w:p w14:paraId="6BFB545E" w14:textId="77777777" w:rsidR="000071D0" w:rsidRDefault="000071D0" w:rsidP="000071D0"/>
    <w:p w14:paraId="78C25522" w14:textId="77777777" w:rsidR="000071D0" w:rsidRPr="00D55F11" w:rsidRDefault="000071D0" w:rsidP="000071D0"/>
    <w:p w14:paraId="65980689"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799E7" w14:textId="77777777" w:rsidR="005525D9" w:rsidRDefault="005525D9">
      <w:r>
        <w:separator/>
      </w:r>
    </w:p>
  </w:endnote>
  <w:endnote w:type="continuationSeparator" w:id="0">
    <w:p w14:paraId="2EDFAF23" w14:textId="77777777" w:rsidR="005525D9" w:rsidRDefault="0055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68064" w14:textId="77777777" w:rsidR="005525D9" w:rsidRDefault="005525D9">
      <w:r>
        <w:rPr>
          <w:b/>
        </w:rPr>
        <w:t>_______________</w:t>
      </w:r>
    </w:p>
  </w:footnote>
  <w:footnote w:type="continuationSeparator" w:id="0">
    <w:p w14:paraId="1E22B0F2" w14:textId="77777777" w:rsidR="005525D9" w:rsidRDefault="00552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1D0" w14:paraId="32CEE82A" w14:textId="77777777" w:rsidTr="000071D0">
      <w:trPr>
        <w:cantSplit/>
      </w:trPr>
      <w:tc>
        <w:tcPr>
          <w:tcW w:w="1701" w:type="dxa"/>
          <w:tcBorders>
            <w:top w:val="single" w:sz="6" w:space="0" w:color="auto"/>
            <w:left w:val="single" w:sz="6" w:space="0" w:color="auto"/>
            <w:bottom w:val="single" w:sz="6" w:space="0" w:color="auto"/>
            <w:right w:val="single" w:sz="6" w:space="0" w:color="auto"/>
          </w:tcBorders>
        </w:tcPr>
        <w:p w14:paraId="5F31F06C" w14:textId="19C6A71B" w:rsidR="000071D0" w:rsidRDefault="000071D0" w:rsidP="000071D0">
          <w:pPr>
            <w:pStyle w:val="HeaderRegProc"/>
          </w:pPr>
          <w:r>
            <w:t>Part</w:t>
          </w:r>
          <w:r w:rsidR="00CF75E8">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19E1419E" w14:textId="77777777" w:rsidR="000071D0" w:rsidRDefault="000071D0" w:rsidP="000071D0">
          <w:pPr>
            <w:pStyle w:val="HeaderRegProc"/>
            <w:rPr>
              <w:lang w:val="fr-FR"/>
            </w:rPr>
          </w:pPr>
          <w:r>
            <w:t>RES678</w:t>
          </w:r>
        </w:p>
      </w:tc>
      <w:tc>
        <w:tcPr>
          <w:tcW w:w="1701" w:type="dxa"/>
          <w:tcBorders>
            <w:top w:val="single" w:sz="6" w:space="0" w:color="auto"/>
            <w:left w:val="single" w:sz="6" w:space="0" w:color="auto"/>
            <w:bottom w:val="single" w:sz="6" w:space="0" w:color="auto"/>
            <w:right w:val="single" w:sz="6" w:space="0" w:color="auto"/>
          </w:tcBorders>
        </w:tcPr>
        <w:p w14:paraId="719F10D4" w14:textId="20ADF5E2" w:rsidR="000071D0" w:rsidRDefault="000071D0" w:rsidP="000071D0">
          <w:pPr>
            <w:pStyle w:val="HeaderRegProc"/>
            <w:rPr>
              <w:lang w:val="fr-CH"/>
            </w:rPr>
          </w:pPr>
          <w:proofErr w:type="spellStart"/>
          <w:proofErr w:type="gramStart"/>
          <w:r>
            <w:rPr>
              <w:lang w:val="fr-FR"/>
            </w:rPr>
            <w:t>p</w:t>
          </w:r>
          <w:r w:rsidR="00CF75E8">
            <w:rPr>
              <w:lang w:val="fr-FR"/>
            </w:rPr>
            <w:t>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558B53" w14:textId="77777777" w:rsidR="000071D0" w:rsidRDefault="000071D0" w:rsidP="000071D0">
          <w:pPr>
            <w:pStyle w:val="HeaderRegProc"/>
            <w:rPr>
              <w:lang w:val="fr-CH"/>
            </w:rPr>
          </w:pPr>
          <w:proofErr w:type="spellStart"/>
          <w:proofErr w:type="gramStart"/>
          <w:r>
            <w:rPr>
              <w:lang w:val="fr-CH"/>
            </w:rPr>
            <w:t>rev</w:t>
          </w:r>
          <w:proofErr w:type="spellEnd"/>
          <w:proofErr w:type="gramEnd"/>
          <w:r>
            <w:rPr>
              <w:lang w:val="fr-CH"/>
            </w:rPr>
            <w:t>. 5</w:t>
          </w:r>
        </w:p>
      </w:tc>
    </w:tr>
  </w:tbl>
  <w:p w14:paraId="430F01B3" w14:textId="77777777" w:rsidR="000A14AD" w:rsidRPr="000071D0" w:rsidRDefault="000A14AD" w:rsidP="00007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002B2C45" w:rsidR="000A14AD" w:rsidRDefault="000A14AD" w:rsidP="001221BA">
          <w:pPr>
            <w:pStyle w:val="HeaderRegProc"/>
          </w:pPr>
          <w:r>
            <w:t>Part</w:t>
          </w:r>
          <w:r w:rsidR="00826E3A">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09056DC1" w:rsidR="000A14AD" w:rsidRDefault="000A14AD" w:rsidP="001221BA">
          <w:pPr>
            <w:pStyle w:val="HeaderRegProc"/>
            <w:rPr>
              <w:lang w:val="fr-FR"/>
            </w:rPr>
          </w:pPr>
          <w:r>
            <w:t>RES</w:t>
          </w:r>
          <w:r w:rsidR="003D33FD">
            <w:t>678</w:t>
          </w:r>
        </w:p>
      </w:tc>
      <w:tc>
        <w:tcPr>
          <w:tcW w:w="1701" w:type="dxa"/>
          <w:tcBorders>
            <w:top w:val="single" w:sz="6" w:space="0" w:color="auto"/>
            <w:left w:val="single" w:sz="6" w:space="0" w:color="auto"/>
            <w:bottom w:val="single" w:sz="6" w:space="0" w:color="auto"/>
            <w:right w:val="single" w:sz="6" w:space="0" w:color="auto"/>
          </w:tcBorders>
        </w:tcPr>
        <w:p w14:paraId="51F83765" w14:textId="2B3E4214" w:rsidR="000A14AD" w:rsidRDefault="000A14AD">
          <w:pPr>
            <w:pStyle w:val="HeaderRegProc"/>
            <w:rPr>
              <w:lang w:val="fr-CH"/>
            </w:rPr>
          </w:pPr>
          <w:proofErr w:type="spellStart"/>
          <w:proofErr w:type="gramStart"/>
          <w:r>
            <w:rPr>
              <w:lang w:val="fr-FR"/>
            </w:rPr>
            <w:t>p</w:t>
          </w:r>
          <w:r w:rsidR="00826E3A">
            <w:rPr>
              <w:lang w:val="fr-FR"/>
            </w:rPr>
            <w:t>á</w:t>
          </w:r>
          <w:r>
            <w:rPr>
              <w:lang w:val="fr-FR"/>
            </w:rPr>
            <w:t>g</w:t>
          </w:r>
          <w:r w:rsidR="00826E3A">
            <w:rPr>
              <w:lang w:val="fr-FR"/>
            </w:rPr>
            <w:t>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0E2246DA" w:rsidR="000A14AD" w:rsidRDefault="000A14AD" w:rsidP="006A4C0E">
          <w:pPr>
            <w:pStyle w:val="HeaderRegProc"/>
            <w:rPr>
              <w:lang w:val="fr-CH"/>
            </w:rPr>
          </w:pPr>
          <w:proofErr w:type="spellStart"/>
          <w:proofErr w:type="gramStart"/>
          <w:r>
            <w:rPr>
              <w:lang w:val="fr-CH"/>
            </w:rPr>
            <w:t>rev</w:t>
          </w:r>
          <w:proofErr w:type="spellEnd"/>
          <w:proofErr w:type="gramEnd"/>
          <w:r>
            <w:rPr>
              <w:lang w:val="fr-CH"/>
            </w:rPr>
            <w:t>.</w:t>
          </w:r>
          <w:r w:rsidR="000E7624">
            <w:rPr>
              <w:lang w:val="fr-CH"/>
            </w:rPr>
            <w:t xml:space="preserve"> </w:t>
          </w:r>
          <w:r w:rsidR="003D33FD">
            <w:rPr>
              <w:lang w:val="fr-CH"/>
            </w:rPr>
            <w:t>5</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071D0"/>
    <w:rsid w:val="000A14AD"/>
    <w:rsid w:val="000B52F9"/>
    <w:rsid w:val="000D1D6D"/>
    <w:rsid w:val="000E051F"/>
    <w:rsid w:val="000E7624"/>
    <w:rsid w:val="000F7D8B"/>
    <w:rsid w:val="00117C3F"/>
    <w:rsid w:val="001221BA"/>
    <w:rsid w:val="001A7879"/>
    <w:rsid w:val="001B1BDB"/>
    <w:rsid w:val="0029214F"/>
    <w:rsid w:val="002A688C"/>
    <w:rsid w:val="002E60F1"/>
    <w:rsid w:val="002F6FCF"/>
    <w:rsid w:val="0031098C"/>
    <w:rsid w:val="00382B7D"/>
    <w:rsid w:val="00387B77"/>
    <w:rsid w:val="003B50A6"/>
    <w:rsid w:val="003D33FD"/>
    <w:rsid w:val="003E1D7F"/>
    <w:rsid w:val="003F0B46"/>
    <w:rsid w:val="003F2AFA"/>
    <w:rsid w:val="00442396"/>
    <w:rsid w:val="00461D63"/>
    <w:rsid w:val="00526977"/>
    <w:rsid w:val="00545224"/>
    <w:rsid w:val="005525D9"/>
    <w:rsid w:val="005C4282"/>
    <w:rsid w:val="00636EA8"/>
    <w:rsid w:val="006948D0"/>
    <w:rsid w:val="006A4C0E"/>
    <w:rsid w:val="0075378D"/>
    <w:rsid w:val="00762ECE"/>
    <w:rsid w:val="00771BBD"/>
    <w:rsid w:val="007E3EEF"/>
    <w:rsid w:val="00824378"/>
    <w:rsid w:val="00826E3A"/>
    <w:rsid w:val="00844A76"/>
    <w:rsid w:val="0089365D"/>
    <w:rsid w:val="008A34C6"/>
    <w:rsid w:val="00935263"/>
    <w:rsid w:val="009421B6"/>
    <w:rsid w:val="0099265C"/>
    <w:rsid w:val="00A70933"/>
    <w:rsid w:val="00AC7611"/>
    <w:rsid w:val="00B84975"/>
    <w:rsid w:val="00BA6673"/>
    <w:rsid w:val="00BC68BD"/>
    <w:rsid w:val="00C218F7"/>
    <w:rsid w:val="00C344DE"/>
    <w:rsid w:val="00C55D4B"/>
    <w:rsid w:val="00C73FC1"/>
    <w:rsid w:val="00C91547"/>
    <w:rsid w:val="00CC1BC0"/>
    <w:rsid w:val="00CF75E8"/>
    <w:rsid w:val="00D41107"/>
    <w:rsid w:val="00D5087A"/>
    <w:rsid w:val="00D55F11"/>
    <w:rsid w:val="00DA610C"/>
    <w:rsid w:val="00E052A7"/>
    <w:rsid w:val="00E224FB"/>
    <w:rsid w:val="00E40145"/>
    <w:rsid w:val="00E557EE"/>
    <w:rsid w:val="00E70951"/>
    <w:rsid w:val="00F1791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link w:val="Heading2Char"/>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paragraph" w:styleId="ListParagraph">
    <w:name w:val="List Paragraph"/>
    <w:basedOn w:val="Normal"/>
    <w:uiPriority w:val="34"/>
    <w:qFormat/>
    <w:rsid w:val="001B1BDB"/>
    <w:pPr>
      <w:ind w:left="720"/>
      <w:contextualSpacing/>
    </w:pPr>
  </w:style>
  <w:style w:type="character" w:customStyle="1" w:styleId="Heading2Char">
    <w:name w:val="Heading 2 Char"/>
    <w:aliases w:val="h2 Char,UNDERRUBRIK 1-2 Char"/>
    <w:link w:val="Heading2"/>
    <w:rsid w:val="0029214F"/>
    <w:rPr>
      <w:b/>
      <w:sz w:val="26"/>
      <w:lang w:val="en-GB" w:eastAsia="en-US"/>
    </w:rPr>
  </w:style>
  <w:style w:type="paragraph" w:customStyle="1" w:styleId="StyleResBefore18pt">
    <w:name w:val="Style Res_# + Before:  18 pt"/>
    <w:basedOn w:val="Res"/>
    <w:rsid w:val="005C4282"/>
    <w:pPr>
      <w:spacing w:before="36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57</TotalTime>
  <Pages>3</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
  <dc:creator>Composition des Publications</dc:creator>
  <cp:keywords/>
  <dc:description/>
  <cp:lastModifiedBy>Catalano Moreira, Rossana</cp:lastModifiedBy>
  <cp:revision>36</cp:revision>
  <cp:lastPrinted>2024-11-28T12:33:00Z</cp:lastPrinted>
  <dcterms:created xsi:type="dcterms:W3CDTF">2020-11-18T16:15:00Z</dcterms:created>
  <dcterms:modified xsi:type="dcterms:W3CDTF">2024-12-03T12:58:00Z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