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0BB48C" w14:textId="6FDF647E" w:rsidR="008C497B" w:rsidRDefault="008C497B" w:rsidP="001E6ED1">
      <w:pPr>
        <w:pStyle w:val="Heading1"/>
        <w:spacing w:before="300"/>
        <w:jc w:val="center"/>
      </w:pPr>
      <w:r>
        <w:t>PART</w:t>
      </w:r>
      <w:r w:rsidR="007B3C20">
        <w:t>IE</w:t>
      </w:r>
      <w:r>
        <w:t xml:space="preserve">  </w:t>
      </w:r>
      <w:r>
        <w:rPr>
          <w:rStyle w:val="href"/>
        </w:rPr>
        <w:t>B</w:t>
      </w:r>
    </w:p>
    <w:p w14:paraId="539FAEC8" w14:textId="77777777" w:rsidR="009177E9" w:rsidRPr="006B40CA" w:rsidRDefault="009177E9" w:rsidP="009177E9">
      <w:pPr>
        <w:rPr>
          <w:sz w:val="16"/>
          <w:szCs w:val="16"/>
        </w:rPr>
      </w:pPr>
      <w:r w:rsidRPr="006B40CA">
        <w:rPr>
          <w:sz w:val="16"/>
          <w:szCs w:val="16"/>
        </w:rPr>
        <w:t>(ADD RRB2</w:t>
      </w:r>
      <w:r>
        <w:rPr>
          <w:sz w:val="16"/>
          <w:szCs w:val="16"/>
        </w:rPr>
        <w:t>4</w:t>
      </w:r>
      <w:r w:rsidRPr="006B40CA">
        <w:rPr>
          <w:sz w:val="16"/>
          <w:szCs w:val="16"/>
        </w:rPr>
        <w:t>/</w:t>
      </w:r>
      <w:r>
        <w:rPr>
          <w:sz w:val="16"/>
          <w:szCs w:val="16"/>
        </w:rPr>
        <w:t>510</w:t>
      </w:r>
      <w:r w:rsidRPr="006B40CA">
        <w:rPr>
          <w:sz w:val="16"/>
          <w:szCs w:val="16"/>
        </w:rPr>
        <w:t>)</w:t>
      </w:r>
    </w:p>
    <w:p w14:paraId="23D65F09" w14:textId="77777777" w:rsidR="00E24CF2" w:rsidRPr="00E24CF2" w:rsidRDefault="00E24CF2" w:rsidP="00E24CF2">
      <w:pPr>
        <w:pStyle w:val="Heading2"/>
        <w:jc w:val="center"/>
        <w:rPr>
          <w:rFonts w:eastAsia="SimSun"/>
          <w:color w:val="000000"/>
          <w:szCs w:val="24"/>
        </w:rPr>
      </w:pPr>
      <w:r w:rsidRPr="00E24CF2">
        <w:rPr>
          <w:rFonts w:eastAsia="SimSun"/>
        </w:rPr>
        <w:t>SECTION B8</w:t>
      </w:r>
    </w:p>
    <w:p w14:paraId="72089ECE" w14:textId="5FF9D57C" w:rsidR="00E24CF2" w:rsidRPr="00E24CF2" w:rsidRDefault="00E24CF2" w:rsidP="00E24CF2">
      <w:pPr>
        <w:keepNext/>
        <w:keepLines/>
        <w:tabs>
          <w:tab w:val="clear" w:pos="1134"/>
          <w:tab w:val="clear" w:pos="1871"/>
          <w:tab w:val="clear" w:pos="2268"/>
          <w:tab w:val="left" w:pos="794"/>
          <w:tab w:val="left" w:pos="1191"/>
          <w:tab w:val="left" w:pos="1588"/>
          <w:tab w:val="left" w:pos="1985"/>
        </w:tabs>
        <w:spacing w:before="480" w:after="280"/>
        <w:jc w:val="center"/>
        <w:rPr>
          <w:rFonts w:eastAsia="SimSun"/>
          <w:b/>
          <w:sz w:val="28"/>
          <w:szCs w:val="28"/>
          <w:lang w:val="fr-FR"/>
        </w:rPr>
      </w:pPr>
      <w:r w:rsidRPr="00E24CF2">
        <w:rPr>
          <w:rFonts w:eastAsia="SimSun"/>
          <w:b/>
          <w:sz w:val="28"/>
          <w:szCs w:val="28"/>
          <w:lang w:val="fr-FR"/>
        </w:rPr>
        <w:t xml:space="preserve">Calcul des niveaux de puissance surfacique produits par les stations terriennes aéronautiques en mouvement (A-ESIM) et validation de ces niveaux par rapport aux limites indiquées dans l'Annexe 3 de la Résolution 169 (Rév.CMR-23), l'Annexe 2 de la Résolution 121 (CMR-23) </w:t>
      </w:r>
      <w:r>
        <w:rPr>
          <w:rFonts w:eastAsia="SimSun"/>
          <w:b/>
          <w:sz w:val="28"/>
          <w:szCs w:val="28"/>
          <w:lang w:val="fr-FR"/>
        </w:rPr>
        <w:br/>
      </w:r>
      <w:r w:rsidRPr="00E24CF2">
        <w:rPr>
          <w:rFonts w:eastAsia="SimSun"/>
          <w:b/>
          <w:sz w:val="28"/>
          <w:szCs w:val="28"/>
          <w:lang w:val="fr-FR"/>
        </w:rPr>
        <w:t>et l'Annexe 2 de la Résolution 123 (CMR-23)</w:t>
      </w:r>
    </w:p>
    <w:p w14:paraId="4FC12A10" w14:textId="77777777" w:rsidR="00E24CF2" w:rsidRPr="00E24CF2" w:rsidRDefault="00E24CF2" w:rsidP="00E24CF2">
      <w:pPr>
        <w:spacing w:before="400"/>
        <w:rPr>
          <w:rFonts w:eastAsia="SimSun"/>
          <w:lang w:val="fr-FR"/>
        </w:rPr>
      </w:pPr>
      <w:r w:rsidRPr="00E24CF2">
        <w:rPr>
          <w:rFonts w:eastAsia="SimSun"/>
          <w:lang w:val="fr-FR"/>
        </w:rPr>
        <w:t xml:space="preserve">L'Annexe 2 de la Résolution </w:t>
      </w:r>
      <w:r w:rsidRPr="00E24CF2">
        <w:rPr>
          <w:rFonts w:eastAsia="SimSun"/>
          <w:b/>
          <w:bCs/>
          <w:lang w:val="fr-FR"/>
        </w:rPr>
        <w:t>121 (CMR-23)</w:t>
      </w:r>
      <w:r w:rsidRPr="00E24CF2">
        <w:rPr>
          <w:rFonts w:eastAsia="SimSun"/>
          <w:lang w:val="fr-FR"/>
        </w:rPr>
        <w:t xml:space="preserve"> et l'Annexe 2 de la Résolution </w:t>
      </w:r>
      <w:r w:rsidRPr="00E24CF2">
        <w:rPr>
          <w:rFonts w:eastAsia="SimSun"/>
          <w:b/>
          <w:bCs/>
          <w:lang w:val="fr-FR"/>
        </w:rPr>
        <w:t>123 (CMR-23)</w:t>
      </w:r>
      <w:r w:rsidRPr="00E24CF2">
        <w:rPr>
          <w:rFonts w:eastAsia="SimSun"/>
          <w:lang w:val="fr-FR"/>
        </w:rPr>
        <w:t xml:space="preserve"> contiennent des méthodes et des procédures permettant d'examiner les niveaux de puissance surfacique produite à la surface de la Terre par les stations A-ESIM. La méthode correspondante pour la Résolution </w:t>
      </w:r>
      <w:r w:rsidRPr="00E24CF2">
        <w:rPr>
          <w:rFonts w:eastAsia="SimSun"/>
          <w:b/>
          <w:bCs/>
          <w:lang w:val="fr-FR"/>
        </w:rPr>
        <w:t>169 (Rév.CMR-23)</w:t>
      </w:r>
      <w:r w:rsidRPr="00E24CF2">
        <w:rPr>
          <w:rFonts w:eastAsia="SimSun"/>
          <w:lang w:val="fr-FR"/>
        </w:rPr>
        <w:t xml:space="preserve"> est décrite dans la Recommandation UIT-R S.2158-0.</w:t>
      </w:r>
    </w:p>
    <w:p w14:paraId="407790F0" w14:textId="77777777" w:rsidR="00E24CF2" w:rsidRPr="00E24CF2" w:rsidRDefault="00E24CF2" w:rsidP="00E24CF2">
      <w:pPr>
        <w:rPr>
          <w:rFonts w:eastAsia="SimSun"/>
          <w:b/>
          <w:bCs/>
          <w:lang w:val="fr-FR"/>
        </w:rPr>
      </w:pPr>
      <w:r w:rsidRPr="00E24CF2">
        <w:rPr>
          <w:rFonts w:eastAsia="SimSun"/>
          <w:b/>
          <w:bCs/>
          <w:lang w:val="fr-FR"/>
        </w:rPr>
        <w:t>Largeur de bande de référence du gabarit de puissance surfacique</w:t>
      </w:r>
    </w:p>
    <w:p w14:paraId="46001AF5" w14:textId="77777777" w:rsidR="00E24CF2" w:rsidRPr="00E24CF2" w:rsidRDefault="00E24CF2" w:rsidP="00E24CF2">
      <w:pPr>
        <w:rPr>
          <w:rFonts w:eastAsia="SimSun"/>
          <w:lang w:val="fr-FR"/>
        </w:rPr>
      </w:pPr>
      <w:r w:rsidRPr="00E24CF2">
        <w:rPr>
          <w:rFonts w:eastAsia="SimSun"/>
          <w:lang w:val="fr-FR"/>
        </w:rPr>
        <w:t>Les trois méthodes reposent sur la même formule pour calculer la puissance d'émission à partir des densités spectrales de puissance maximale ou minimale des stations A-ESIM.</w:t>
      </w:r>
    </w:p>
    <w:p w14:paraId="0D1705B2" w14:textId="77777777" w:rsidR="00E24CF2" w:rsidRPr="00E24CF2" w:rsidRDefault="00E24CF2" w:rsidP="00E24CF2">
      <w:pPr>
        <w:rPr>
          <w:rFonts w:eastAsia="SimSun"/>
          <w:lang w:val="fr-FR"/>
        </w:rPr>
      </w:pPr>
      <w:r w:rsidRPr="00E24CF2">
        <w:rPr>
          <w:rFonts w:eastAsia="SimSun"/>
          <w:lang w:val="fr-FR"/>
        </w:rPr>
        <w:t>Selon l'ensemble de limites de puissance surfacique considéré (c'est-à-dire pour des altitudes A</w:t>
      </w:r>
      <w:r w:rsidRPr="00E24CF2">
        <w:rPr>
          <w:rFonts w:eastAsia="SimSun"/>
          <w:lang w:val="fr-FR"/>
        </w:rPr>
        <w:noBreakHyphen/>
        <w:t>ESIM inférieures à 3 km ou supérieures à 3 km), deux largeurs de bande de référence différentes doivent être considérées, à savoir 1 MHz et 14 MHz, respectivement.</w:t>
      </w:r>
    </w:p>
    <w:p w14:paraId="4742253A" w14:textId="77777777" w:rsidR="00E24CF2" w:rsidRPr="00E24CF2" w:rsidRDefault="00E24CF2" w:rsidP="00E24CF2">
      <w:pPr>
        <w:rPr>
          <w:rFonts w:eastAsia="SimSun"/>
          <w:lang w:val="fr-FR"/>
        </w:rPr>
      </w:pPr>
      <w:r w:rsidRPr="00E24CF2">
        <w:rPr>
          <w:rFonts w:eastAsia="SimSun"/>
          <w:lang w:val="fr-FR"/>
        </w:rPr>
        <w:t xml:space="preserve">Le Comité a observé que la note 2 de la Recommandation UIT-R S.2158-0 indiquait ce qui </w:t>
      </w:r>
      <w:proofErr w:type="gramStart"/>
      <w:r w:rsidRPr="00E24CF2">
        <w:rPr>
          <w:rFonts w:eastAsia="SimSun"/>
          <w:lang w:val="fr-FR"/>
        </w:rPr>
        <w:t>suit:</w:t>
      </w:r>
      <w:proofErr w:type="gramEnd"/>
      <w:r w:rsidRPr="00E24CF2">
        <w:rPr>
          <w:rFonts w:eastAsia="SimSun"/>
          <w:lang w:val="fr-FR"/>
        </w:rPr>
        <w:t xml:space="preserve"> «Pour les émissions dans une largeur de bande inférieure à la largeur de bande de référence, cette méthode est applicable à condition que l'administration notificatrice confirme que la station A-ESIM émet uniquement à l'intérieur de la largeur de bande de référence. Si cette confirmation n'est pas fournie, cette méthode n'est pas </w:t>
      </w:r>
      <w:proofErr w:type="gramStart"/>
      <w:r w:rsidRPr="00E24CF2">
        <w:rPr>
          <w:rFonts w:eastAsia="SimSun"/>
          <w:lang w:val="fr-FR"/>
        </w:rPr>
        <w:t>applicable»</w:t>
      </w:r>
      <w:proofErr w:type="gramEnd"/>
      <w:r w:rsidRPr="00E24CF2">
        <w:rPr>
          <w:rFonts w:eastAsia="SimSun"/>
          <w:lang w:val="fr-FR"/>
        </w:rPr>
        <w:t xml:space="preserve">. De plus, la remarque figurant dans la Résolution </w:t>
      </w:r>
      <w:r w:rsidRPr="00E24CF2">
        <w:rPr>
          <w:rFonts w:eastAsia="SimSun"/>
          <w:b/>
          <w:lang w:val="fr-FR"/>
        </w:rPr>
        <w:t>121 (CMR-23)</w:t>
      </w:r>
      <w:r w:rsidRPr="00E24CF2">
        <w:rPr>
          <w:rFonts w:eastAsia="SimSun"/>
          <w:lang w:val="fr-FR"/>
        </w:rPr>
        <w:t xml:space="preserve"> indique que</w:t>
      </w:r>
      <w:proofErr w:type="gramStart"/>
      <w:r w:rsidRPr="00E24CF2">
        <w:rPr>
          <w:rFonts w:eastAsia="SimSun"/>
          <w:lang w:val="fr-FR"/>
        </w:rPr>
        <w:t xml:space="preserve"> «Dans</w:t>
      </w:r>
      <w:proofErr w:type="gramEnd"/>
      <w:r w:rsidRPr="00E24CF2">
        <w:rPr>
          <w:rFonts w:eastAsia="SimSun"/>
          <w:lang w:val="fr-FR"/>
        </w:rPr>
        <w:t xml:space="preserve"> cette méthode, on suppose que la station A-ESIM émet uniquement à l'intérieur de la largeur de bande de référence de 14 MHz».</w:t>
      </w:r>
    </w:p>
    <w:p w14:paraId="4F9AF850" w14:textId="77777777" w:rsidR="00E24CF2" w:rsidRPr="00E24CF2" w:rsidRDefault="00E24CF2" w:rsidP="00E24CF2">
      <w:pPr>
        <w:rPr>
          <w:rFonts w:eastAsia="SimSun"/>
          <w:lang w:val="fr-FR"/>
        </w:rPr>
      </w:pPr>
      <w:r w:rsidRPr="00E24CF2">
        <w:rPr>
          <w:rFonts w:eastAsia="SimSun"/>
          <w:lang w:val="fr-FR"/>
        </w:rPr>
        <w:t xml:space="preserve">En conséquence, le Comité croit comprendre que l'intention de la Conférence mondiale des radiocommunications (Charm el-Cheikh, 2019) (CMR-19) et de la Conférence mondiale des radiocommunications (Dubaï, 2023) (CMR-23) était de n'autoriser qu'une seule émission porteuse à fonctionner dans la largeur de bande de référence de 14 MHz pour les trois cas traités dans les Résolutions </w:t>
      </w:r>
      <w:r w:rsidRPr="00E24CF2">
        <w:rPr>
          <w:rFonts w:eastAsia="SimSun"/>
          <w:b/>
          <w:lang w:val="fr-FR"/>
        </w:rPr>
        <w:t>121 (CMR-23)</w:t>
      </w:r>
      <w:r w:rsidRPr="00E24CF2">
        <w:rPr>
          <w:rFonts w:eastAsia="SimSun"/>
          <w:bCs/>
          <w:lang w:val="fr-FR"/>
        </w:rPr>
        <w:t xml:space="preserve">, </w:t>
      </w:r>
      <w:r w:rsidRPr="00E24CF2">
        <w:rPr>
          <w:rFonts w:eastAsia="SimSun"/>
          <w:b/>
          <w:lang w:val="fr-FR"/>
        </w:rPr>
        <w:t>123 (CMR-23)</w:t>
      </w:r>
      <w:r w:rsidRPr="00E24CF2">
        <w:rPr>
          <w:rFonts w:eastAsia="SimSun"/>
          <w:bCs/>
          <w:lang w:val="fr-FR"/>
        </w:rPr>
        <w:t xml:space="preserve"> et</w:t>
      </w:r>
      <w:r w:rsidRPr="00E24CF2">
        <w:rPr>
          <w:rFonts w:eastAsia="SimSun"/>
          <w:b/>
          <w:lang w:val="fr-FR"/>
        </w:rPr>
        <w:t xml:space="preserve"> 169 (Rév.CMR-23)</w:t>
      </w:r>
      <w:r w:rsidRPr="00E24CF2">
        <w:rPr>
          <w:rFonts w:eastAsia="SimSun"/>
          <w:lang w:val="fr-FR"/>
        </w:rPr>
        <w:t>.</w:t>
      </w:r>
      <w:bookmarkStart w:id="0" w:name="_Hlk172797910"/>
      <w:bookmarkEnd w:id="0"/>
    </w:p>
    <w:p w14:paraId="6B2B8DFC" w14:textId="77777777" w:rsidR="00E24CF2" w:rsidRDefault="00E24CF2" w:rsidP="00E24CF2">
      <w:pPr>
        <w:rPr>
          <w:rFonts w:eastAsia="SimSun"/>
          <w:lang w:val="fr-FR"/>
        </w:rPr>
      </w:pPr>
      <w:r>
        <w:rPr>
          <w:rFonts w:eastAsia="SimSun"/>
          <w:lang w:val="fr-FR"/>
        </w:rPr>
        <w:br w:type="page"/>
      </w:r>
    </w:p>
    <w:p w14:paraId="0734F187" w14:textId="1F571774" w:rsidR="00E24CF2" w:rsidRPr="00E24CF2" w:rsidRDefault="00E24CF2" w:rsidP="00E24CF2">
      <w:pPr>
        <w:rPr>
          <w:rFonts w:eastAsia="SimSun"/>
          <w:lang w:val="fr-FR"/>
        </w:rPr>
      </w:pPr>
      <w:r w:rsidRPr="00E24CF2">
        <w:rPr>
          <w:rFonts w:eastAsia="SimSun"/>
          <w:lang w:val="fr-FR"/>
        </w:rPr>
        <w:lastRenderedPageBreak/>
        <w:t>Le Comité a donc conclu que lorsqu'une administration soumet une assignation de fréquence à une station A-ESIM avec une largeur de bande d'émission inférieure à une largeur de bande de référence de 14 MHz, elle s'engage également à n'exploiter qu'une seule émission avec cette largeur de bande d'émission donnée dans une largeur de bande quelconque de 14 MHz.</w:t>
      </w:r>
    </w:p>
    <w:p w14:paraId="15228111" w14:textId="77777777" w:rsidR="00E24CF2" w:rsidRPr="00E24CF2" w:rsidRDefault="00E24CF2" w:rsidP="00E24CF2">
      <w:pPr>
        <w:rPr>
          <w:rFonts w:eastAsia="SimSun"/>
          <w:lang w:val="fr-FR"/>
        </w:rPr>
      </w:pPr>
      <w:r w:rsidRPr="00E24CF2">
        <w:rPr>
          <w:rFonts w:eastAsia="SimSun"/>
          <w:lang w:val="fr-FR"/>
        </w:rPr>
        <w:t xml:space="preserve">Lorsqu'une administration souhaite procéder simultanément à plusieurs transmissions avec des largeurs de bande d'émission inférieures à une largeur de bande de référence de 14 MHz, les caractéristiques d'émission de la porteuse devraient être modifiées de manière appropriée pour indiquer que plusieurs voies par porteuse seront exploitées dans le cadre d'une seule émission (voir l'Appendice </w:t>
      </w:r>
      <w:r w:rsidRPr="00E24CF2">
        <w:rPr>
          <w:rFonts w:eastAsia="SimSun"/>
          <w:b/>
          <w:bCs/>
          <w:lang w:val="fr-FR"/>
        </w:rPr>
        <w:t>1</w:t>
      </w:r>
      <w:r w:rsidRPr="00E24CF2">
        <w:rPr>
          <w:rFonts w:eastAsia="SimSun"/>
          <w:lang w:val="fr-FR"/>
        </w:rPr>
        <w:t xml:space="preserve"> du Règlement des radiocommunications).</w:t>
      </w:r>
    </w:p>
    <w:p w14:paraId="04AE5536" w14:textId="77777777" w:rsidR="00E24CF2" w:rsidRPr="00E24CF2" w:rsidRDefault="00E24CF2" w:rsidP="00E24CF2">
      <w:pPr>
        <w:rPr>
          <w:rFonts w:eastAsia="SimSun"/>
          <w:b/>
          <w:bCs/>
          <w:lang w:val="fr-FR"/>
        </w:rPr>
      </w:pPr>
      <w:r w:rsidRPr="00E24CF2">
        <w:rPr>
          <w:rFonts w:eastAsia="SimSun"/>
          <w:b/>
          <w:bCs/>
          <w:lang w:val="fr-FR"/>
        </w:rPr>
        <w:t>Conditions de conformité aux limites de puissance surfacique</w:t>
      </w:r>
    </w:p>
    <w:p w14:paraId="2F07BC34" w14:textId="77777777" w:rsidR="00E24CF2" w:rsidRPr="00E24CF2" w:rsidRDefault="00E24CF2" w:rsidP="00E24CF2">
      <w:pPr>
        <w:rPr>
          <w:rFonts w:eastAsia="SimSun"/>
          <w:lang w:val="fr-FR"/>
        </w:rPr>
      </w:pPr>
      <w:r w:rsidRPr="00E24CF2">
        <w:rPr>
          <w:rFonts w:eastAsia="SimSun"/>
          <w:lang w:val="fr-FR"/>
        </w:rPr>
        <w:t xml:space="preserve">La méthode décrite dans l'Annexe 2 de la Résolution </w:t>
      </w:r>
      <w:r w:rsidRPr="00E24CF2">
        <w:rPr>
          <w:rFonts w:eastAsia="SimSun"/>
          <w:b/>
          <w:lang w:val="fr-FR"/>
        </w:rPr>
        <w:t>121 (CMR-23)</w:t>
      </w:r>
      <w:r w:rsidRPr="00E24CF2">
        <w:rPr>
          <w:rFonts w:eastAsia="SimSun"/>
          <w:lang w:val="fr-FR"/>
        </w:rPr>
        <w:t>, dans l'Annexe 2 de la Résolution </w:t>
      </w:r>
      <w:r w:rsidRPr="00E24CF2">
        <w:rPr>
          <w:rFonts w:eastAsia="SimSun"/>
          <w:b/>
          <w:lang w:val="fr-FR"/>
        </w:rPr>
        <w:t xml:space="preserve">123 (CMR-23) </w:t>
      </w:r>
      <w:r w:rsidRPr="00E24CF2">
        <w:rPr>
          <w:rFonts w:eastAsia="SimSun"/>
          <w:lang w:val="fr-FR"/>
        </w:rPr>
        <w:t xml:space="preserve">ou dans la Recommandation UIT-R S.2158-0 permet de déterminer la puissance maximale admissible </w:t>
      </w:r>
      <w:r w:rsidRPr="00E24CF2">
        <w:rPr>
          <w:i/>
          <w:iCs/>
          <w:lang w:val="fr-FR"/>
        </w:rPr>
        <w:t>P</w:t>
      </w:r>
      <w:r w:rsidRPr="00E24CF2">
        <w:rPr>
          <w:i/>
          <w:iCs/>
          <w:vertAlign w:val="subscript"/>
          <w:lang w:val="fr-FR"/>
        </w:rPr>
        <w:t>j</w:t>
      </w:r>
      <w:r w:rsidRPr="00E24CF2">
        <w:rPr>
          <w:rFonts w:eastAsia="SimSun"/>
          <w:lang w:val="fr-FR"/>
        </w:rPr>
        <w:t xml:space="preserve"> pour un émetteur A-ESIM.</w:t>
      </w:r>
    </w:p>
    <w:p w14:paraId="56CBEA96" w14:textId="77777777" w:rsidR="00E24CF2" w:rsidRPr="00E24CF2" w:rsidRDefault="00E24CF2" w:rsidP="00E24CF2">
      <w:pPr>
        <w:rPr>
          <w:rFonts w:eastAsia="SimSun"/>
          <w:lang w:val="fr-FR"/>
        </w:rPr>
      </w:pPr>
      <w:r w:rsidRPr="00E24CF2">
        <w:rPr>
          <w:rFonts w:eastAsia="SimSun"/>
          <w:lang w:val="fr-FR"/>
        </w:rPr>
        <w:t xml:space="preserve">On compare alors dans cette méthode la valeur calculée de </w:t>
      </w:r>
      <w:r w:rsidRPr="00E24CF2">
        <w:rPr>
          <w:i/>
          <w:iCs/>
          <w:lang w:val="fr-FR"/>
        </w:rPr>
        <w:t>P</w:t>
      </w:r>
      <w:r w:rsidRPr="00E24CF2">
        <w:rPr>
          <w:i/>
          <w:iCs/>
          <w:vertAlign w:val="subscript"/>
          <w:lang w:val="fr-FR"/>
        </w:rPr>
        <w:t>j</w:t>
      </w:r>
      <w:r w:rsidRPr="00E24CF2">
        <w:rPr>
          <w:rFonts w:eastAsia="SimSun"/>
          <w:lang w:val="fr-FR"/>
        </w:rPr>
        <w:t xml:space="preserve"> à la plage de puissance notifiée des émissions de la station A-ESIM. Les valeurs minimales et maximales de puissance des émissions des stations A-ESIM, </w:t>
      </w:r>
      <w:r w:rsidRPr="00E24CF2">
        <w:rPr>
          <w:i/>
          <w:iCs/>
          <w:lang w:val="fr-FR"/>
        </w:rPr>
        <w:t>P</w:t>
      </w:r>
      <w:r w:rsidRPr="00E24CF2">
        <w:rPr>
          <w:vertAlign w:val="subscript"/>
          <w:lang w:val="fr-FR"/>
        </w:rPr>
        <w:t>min</w:t>
      </w:r>
      <w:r w:rsidRPr="00E24CF2">
        <w:rPr>
          <w:i/>
          <w:iCs/>
          <w:vertAlign w:val="subscript"/>
          <w:lang w:val="fr-FR"/>
        </w:rPr>
        <w:t>_</w:t>
      </w:r>
      <w:proofErr w:type="gramStart"/>
      <w:r w:rsidRPr="00E24CF2">
        <w:rPr>
          <w:i/>
          <w:iCs/>
          <w:vertAlign w:val="subscript"/>
          <w:lang w:val="fr-FR"/>
        </w:rPr>
        <w:t>emission,j</w:t>
      </w:r>
      <w:proofErr w:type="gramEnd"/>
      <w:r w:rsidRPr="00E24CF2">
        <w:rPr>
          <w:rFonts w:eastAsia="SimSun"/>
          <w:lang w:val="fr-FR"/>
        </w:rPr>
        <w:t xml:space="preserve"> et </w:t>
      </w:r>
      <w:r w:rsidRPr="00E24CF2">
        <w:rPr>
          <w:i/>
          <w:iCs/>
          <w:lang w:val="fr-FR"/>
        </w:rPr>
        <w:t>P</w:t>
      </w:r>
      <w:r w:rsidRPr="00E24CF2">
        <w:rPr>
          <w:vertAlign w:val="subscript"/>
          <w:lang w:val="fr-FR"/>
        </w:rPr>
        <w:t>max</w:t>
      </w:r>
      <w:r w:rsidRPr="00E24CF2">
        <w:rPr>
          <w:i/>
          <w:iCs/>
          <w:vertAlign w:val="subscript"/>
          <w:lang w:val="fr-FR"/>
        </w:rPr>
        <w:t>_emission,j</w:t>
      </w:r>
      <w:r w:rsidRPr="00E24CF2">
        <w:rPr>
          <w:rFonts w:eastAsia="SimSun"/>
          <w:lang w:val="fr-FR"/>
        </w:rPr>
        <w:t>, sont calculées à partir des densités spectrales de puissance minimale et maximale des émissions A-ESIM.</w:t>
      </w:r>
    </w:p>
    <w:p w14:paraId="67F35235" w14:textId="77777777" w:rsidR="00E24CF2" w:rsidRPr="00E24CF2" w:rsidRDefault="00E24CF2" w:rsidP="00E24CF2">
      <w:pPr>
        <w:rPr>
          <w:rFonts w:eastAsia="SimSun"/>
          <w:lang w:val="fr-FR"/>
        </w:rPr>
      </w:pPr>
      <w:r w:rsidRPr="00E24CF2">
        <w:rPr>
          <w:rFonts w:eastAsia="SimSun"/>
          <w:lang w:val="fr-FR"/>
        </w:rPr>
        <w:t xml:space="preserve">Une émission A-ESIM est autorisée à une certaine altitude j si la condition suivante est </w:t>
      </w:r>
      <w:proofErr w:type="gramStart"/>
      <w:r w:rsidRPr="00E24CF2">
        <w:rPr>
          <w:rFonts w:eastAsia="SimSun"/>
          <w:lang w:val="fr-FR"/>
        </w:rPr>
        <w:t>remplie:</w:t>
      </w:r>
      <w:proofErr w:type="gramEnd"/>
    </w:p>
    <w:p w14:paraId="7CA5B3A9" w14:textId="77777777" w:rsidR="00E24CF2" w:rsidRPr="00E24CF2" w:rsidRDefault="00E24CF2" w:rsidP="00E24CF2">
      <w:pPr>
        <w:tabs>
          <w:tab w:val="clear" w:pos="1134"/>
          <w:tab w:val="clear" w:pos="1871"/>
          <w:tab w:val="clear" w:pos="2268"/>
          <w:tab w:val="left" w:pos="794"/>
          <w:tab w:val="left" w:pos="1191"/>
          <w:tab w:val="left" w:pos="1588"/>
          <w:tab w:val="left" w:pos="1985"/>
        </w:tabs>
        <w:spacing w:before="160" w:line="276" w:lineRule="auto"/>
        <w:jc w:val="center"/>
        <w:rPr>
          <w:rFonts w:ascii="Calibri" w:eastAsia="SimSun" w:hAnsi="Calibri" w:cs="Calibri"/>
          <w:szCs w:val="24"/>
          <w:lang w:val="fr-FR"/>
        </w:rPr>
      </w:pPr>
      <w:r w:rsidRPr="00E24CF2">
        <w:rPr>
          <w:rFonts w:ascii="Calibri" w:eastAsia="SimSun" w:hAnsi="Calibri" w:cs="Calibri"/>
          <w:position w:val="-16"/>
          <w:lang w:val="fr-FR"/>
        </w:rPr>
        <w:object w:dxaOrig="3675" w:dyaOrig="390" w14:anchorId="6719E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pt;height:18.4pt" o:ole="">
            <v:imagedata r:id="rId6" o:title=""/>
          </v:shape>
          <o:OLEObject Type="Embed" ProgID="Equation.DSMT4" ShapeID="_x0000_i1025" DrawAspect="Content" ObjectID="_1794899130" r:id="rId7"/>
        </w:object>
      </w:r>
    </w:p>
    <w:p w14:paraId="7BEA569F" w14:textId="77777777" w:rsidR="00E24CF2" w:rsidRPr="00E24CF2" w:rsidRDefault="00E24CF2" w:rsidP="00E24CF2">
      <w:pPr>
        <w:rPr>
          <w:rFonts w:eastAsia="SimSun"/>
          <w:lang w:val="fr-FR"/>
        </w:rPr>
      </w:pPr>
      <w:r w:rsidRPr="00E24CF2">
        <w:rPr>
          <w:rFonts w:eastAsia="SimSun"/>
          <w:lang w:val="fr-FR"/>
        </w:rPr>
        <w:t xml:space="preserve">Étant donné que cette condition empêchera l'utilisation de l'altitude j dans les cas où la puissance admissible est suffisamment élevée pour permettre l'exploitation des stations A-ESIM avec leur densité spectrale de puissance maximale notifiée, le Comité a conclu que le Bureau devrait également vérifier la condition </w:t>
      </w:r>
      <w:proofErr w:type="gramStart"/>
      <w:r w:rsidRPr="00E24CF2">
        <w:rPr>
          <w:rFonts w:eastAsia="SimSun"/>
          <w:lang w:val="fr-FR"/>
        </w:rPr>
        <w:t>suivante:</w:t>
      </w:r>
      <w:proofErr w:type="gramEnd"/>
    </w:p>
    <w:p w14:paraId="680A1842" w14:textId="77777777" w:rsidR="00E24CF2" w:rsidRPr="00E24CF2" w:rsidRDefault="00E24CF2" w:rsidP="00E24CF2">
      <w:pPr>
        <w:tabs>
          <w:tab w:val="clear" w:pos="1134"/>
          <w:tab w:val="clear" w:pos="1871"/>
          <w:tab w:val="clear" w:pos="2268"/>
          <w:tab w:val="left" w:pos="794"/>
          <w:tab w:val="center" w:pos="4820"/>
          <w:tab w:val="right" w:pos="9639"/>
        </w:tabs>
        <w:spacing w:before="160" w:line="276" w:lineRule="auto"/>
        <w:jc w:val="center"/>
        <w:rPr>
          <w:rFonts w:ascii="Calibri" w:eastAsia="SimSun" w:hAnsi="Calibri" w:cs="Calibri"/>
          <w:szCs w:val="24"/>
          <w:lang w:val="fr-FR"/>
        </w:rPr>
      </w:pPr>
      <w:r w:rsidRPr="00E24CF2">
        <w:rPr>
          <w:rFonts w:ascii="Calibri" w:eastAsia="SimSun" w:hAnsi="Calibri" w:cs="Calibri"/>
          <w:position w:val="-16"/>
          <w:lang w:val="fr-FR"/>
        </w:rPr>
        <w:object w:dxaOrig="2070" w:dyaOrig="390" w14:anchorId="68B28648">
          <v:shape id="_x0000_i1026" type="#_x0000_t75" style="width:103.8pt;height:18.4pt" o:ole="">
            <v:imagedata r:id="rId8" o:title=""/>
          </v:shape>
          <o:OLEObject Type="Embed" ProgID="Equation.DSMT4" ShapeID="_x0000_i1026" DrawAspect="Content" ObjectID="_1794899131" r:id="rId9"/>
        </w:object>
      </w:r>
    </w:p>
    <w:p w14:paraId="6651779D" w14:textId="77777777" w:rsidR="00E24CF2" w:rsidRPr="00E24CF2" w:rsidRDefault="00E24CF2" w:rsidP="00E24CF2">
      <w:pPr>
        <w:rPr>
          <w:rFonts w:eastAsia="SimSun"/>
          <w:lang w:val="fr-FR"/>
        </w:rPr>
      </w:pPr>
      <w:r w:rsidRPr="00E24CF2">
        <w:rPr>
          <w:rFonts w:eastAsia="SimSun"/>
          <w:lang w:val="fr-FR"/>
        </w:rPr>
        <w:t>Chaque fois que cette condition est remplie, il est entendu que toute la gamme des niveaux de puissance d'une station A-ESIM peut être utilisée.</w:t>
      </w:r>
    </w:p>
    <w:p w14:paraId="1ACC1345" w14:textId="77777777" w:rsidR="00D20D95" w:rsidRDefault="00D20D95" w:rsidP="002D62BE">
      <w:pPr>
        <w:jc w:val="center"/>
      </w:pPr>
    </w:p>
    <w:p w14:paraId="3226E2D6" w14:textId="4D9CFE14" w:rsidR="002D62BE" w:rsidRDefault="002D62BE" w:rsidP="002D62BE">
      <w:pPr>
        <w:jc w:val="center"/>
      </w:pPr>
      <w:r>
        <w:t>______________</w:t>
      </w:r>
    </w:p>
    <w:p w14:paraId="18D8F447" w14:textId="77777777" w:rsidR="002D62BE" w:rsidRDefault="002D62BE" w:rsidP="002D62BE">
      <w:pPr>
        <w:pStyle w:val="TableText"/>
        <w:rPr>
          <w:lang w:val="en-US"/>
        </w:rPr>
      </w:pPr>
    </w:p>
    <w:p w14:paraId="043D9AB4" w14:textId="77777777" w:rsidR="002D62BE" w:rsidRDefault="002D62BE" w:rsidP="002D62BE">
      <w:pPr>
        <w:pStyle w:val="TableText"/>
        <w:rPr>
          <w:lang w:val="en-US"/>
        </w:rPr>
      </w:pPr>
    </w:p>
    <w:p w14:paraId="4A64AB9B" w14:textId="77777777" w:rsidR="008C497B" w:rsidRDefault="008C497B" w:rsidP="001E6ED1"/>
    <w:p w14:paraId="58B1B892" w14:textId="77777777" w:rsidR="00CB06A1" w:rsidRDefault="00CB06A1" w:rsidP="00A53717">
      <w:pPr>
        <w:sectPr w:rsidR="00CB06A1" w:rsidSect="003F4E3E">
          <w:headerReference w:type="even" r:id="rId10"/>
          <w:headerReference w:type="first" r:id="rId11"/>
          <w:footnotePr>
            <w:pos w:val="beneathText"/>
          </w:footnotePr>
          <w:pgSz w:w="11907" w:h="16840" w:code="9"/>
          <w:pgMar w:top="1701" w:right="851" w:bottom="1134" w:left="1985" w:header="720" w:footer="482" w:gutter="0"/>
          <w:cols w:space="720"/>
          <w:vAlign w:val="both"/>
          <w:titlePg/>
        </w:sectPr>
      </w:pPr>
    </w:p>
    <w:p w14:paraId="6FE90867" w14:textId="77777777" w:rsidR="008C497B" w:rsidRDefault="008C497B" w:rsidP="00A53717"/>
    <w:sectPr w:rsidR="008C497B" w:rsidSect="003F4E3E">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6227EF" w14:textId="77777777" w:rsidR="00B611BD" w:rsidRDefault="00B611BD">
      <w:r>
        <w:separator/>
      </w:r>
    </w:p>
  </w:endnote>
  <w:endnote w:type="continuationSeparator" w:id="0">
    <w:p w14:paraId="1D881605" w14:textId="77777777" w:rsidR="00B611BD" w:rsidRDefault="00B61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41397" w14:textId="77777777" w:rsidR="00B611BD" w:rsidRDefault="00B611BD">
      <w:r>
        <w:rPr>
          <w:b/>
        </w:rPr>
        <w:t>_______________</w:t>
      </w:r>
    </w:p>
  </w:footnote>
  <w:footnote w:type="continuationSeparator" w:id="0">
    <w:p w14:paraId="116758E2" w14:textId="77777777" w:rsidR="00B611BD" w:rsidRDefault="00B61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8156F" w14:paraId="219CF64E" w14:textId="77777777" w:rsidTr="0068156F">
      <w:trPr>
        <w:cantSplit/>
      </w:trPr>
      <w:tc>
        <w:tcPr>
          <w:tcW w:w="1701" w:type="dxa"/>
          <w:tcBorders>
            <w:top w:val="single" w:sz="6" w:space="0" w:color="auto"/>
            <w:left w:val="single" w:sz="6" w:space="0" w:color="auto"/>
            <w:bottom w:val="single" w:sz="6" w:space="0" w:color="auto"/>
            <w:right w:val="single" w:sz="6" w:space="0" w:color="auto"/>
          </w:tcBorders>
        </w:tcPr>
        <w:p w14:paraId="6C831AC6" w14:textId="0F72A4AD" w:rsidR="0068156F" w:rsidRDefault="0068156F" w:rsidP="0068156F">
          <w:pPr>
            <w:pStyle w:val="HeaderRegProc"/>
          </w:pPr>
          <w:r>
            <w:t>Part</w:t>
          </w:r>
          <w:r w:rsidR="00E24CF2">
            <w:t>ie</w:t>
          </w:r>
          <w:r>
            <w:t xml:space="preserve"> B</w:t>
          </w:r>
        </w:p>
      </w:tc>
      <w:tc>
        <w:tcPr>
          <w:tcW w:w="1701" w:type="dxa"/>
          <w:tcBorders>
            <w:top w:val="single" w:sz="6" w:space="0" w:color="auto"/>
            <w:left w:val="single" w:sz="6" w:space="0" w:color="auto"/>
            <w:bottom w:val="single" w:sz="6" w:space="0" w:color="auto"/>
            <w:right w:val="single" w:sz="6" w:space="0" w:color="auto"/>
          </w:tcBorders>
        </w:tcPr>
        <w:p w14:paraId="7CA7185C" w14:textId="3B480D73" w:rsidR="0068156F" w:rsidRDefault="00E24CF2" w:rsidP="0068156F">
          <w:pPr>
            <w:pStyle w:val="HeaderRegProc"/>
            <w:rPr>
              <w:lang w:val="fr-FR"/>
            </w:rPr>
          </w:pPr>
          <w:r w:rsidRPr="00E24CF2">
            <w:rPr>
              <w:lang w:val="fr-FR"/>
            </w:rPr>
            <w:t>B8</w:t>
          </w:r>
        </w:p>
      </w:tc>
      <w:tc>
        <w:tcPr>
          <w:tcW w:w="1701" w:type="dxa"/>
          <w:tcBorders>
            <w:top w:val="single" w:sz="6" w:space="0" w:color="auto"/>
            <w:left w:val="single" w:sz="6" w:space="0" w:color="auto"/>
            <w:bottom w:val="single" w:sz="6" w:space="0" w:color="auto"/>
            <w:right w:val="single" w:sz="6" w:space="0" w:color="auto"/>
          </w:tcBorders>
        </w:tcPr>
        <w:p w14:paraId="315E7A22" w14:textId="77777777" w:rsidR="0068156F" w:rsidRDefault="0068156F" w:rsidP="0068156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8035CF" w14:textId="48A52729" w:rsidR="0068156F" w:rsidRDefault="0068156F" w:rsidP="0068156F">
          <w:pPr>
            <w:pStyle w:val="HeaderRegProc"/>
            <w:rPr>
              <w:lang w:val="fr-CH"/>
            </w:rPr>
          </w:pPr>
          <w:proofErr w:type="gramStart"/>
          <w:r>
            <w:rPr>
              <w:lang w:val="fr-CH"/>
            </w:rPr>
            <w:t>r</w:t>
          </w:r>
          <w:r w:rsidR="00E24CF2">
            <w:rPr>
              <w:lang w:val="fr-CH"/>
            </w:rPr>
            <w:t>é</w:t>
          </w:r>
          <w:r>
            <w:rPr>
              <w:lang w:val="fr-CH"/>
            </w:rPr>
            <w:t>v</w:t>
          </w:r>
          <w:proofErr w:type="gramEnd"/>
          <w:r>
            <w:rPr>
              <w:lang w:val="fr-CH"/>
            </w:rPr>
            <w:t xml:space="preserve">. </w:t>
          </w:r>
          <w:r w:rsidR="00CB06A1">
            <w:t>5</w:t>
          </w:r>
        </w:p>
      </w:tc>
    </w:tr>
  </w:tbl>
  <w:p w14:paraId="1854335D" w14:textId="77777777" w:rsidR="0068156F" w:rsidRDefault="006815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156F" w14:paraId="510436C8" w14:textId="77777777" w:rsidTr="000008A2">
      <w:trPr>
        <w:cantSplit/>
        <w:jc w:val="right"/>
      </w:trPr>
      <w:tc>
        <w:tcPr>
          <w:tcW w:w="1701" w:type="dxa"/>
          <w:tcBorders>
            <w:top w:val="single" w:sz="6" w:space="0" w:color="auto"/>
            <w:left w:val="single" w:sz="6" w:space="0" w:color="auto"/>
            <w:bottom w:val="single" w:sz="6" w:space="0" w:color="auto"/>
            <w:right w:val="single" w:sz="6" w:space="0" w:color="auto"/>
          </w:tcBorders>
        </w:tcPr>
        <w:p w14:paraId="56809263" w14:textId="40007935" w:rsidR="0068156F" w:rsidRDefault="0068156F" w:rsidP="0068156F">
          <w:pPr>
            <w:pStyle w:val="HeaderRegProc"/>
          </w:pPr>
          <w:r>
            <w:t>Part</w:t>
          </w:r>
          <w:r w:rsidR="00E24CF2">
            <w:t>ie</w:t>
          </w:r>
          <w:r>
            <w:t xml:space="preserve"> B</w:t>
          </w:r>
        </w:p>
      </w:tc>
      <w:tc>
        <w:tcPr>
          <w:tcW w:w="1701" w:type="dxa"/>
          <w:tcBorders>
            <w:top w:val="single" w:sz="6" w:space="0" w:color="auto"/>
            <w:left w:val="single" w:sz="6" w:space="0" w:color="auto"/>
            <w:bottom w:val="single" w:sz="6" w:space="0" w:color="auto"/>
            <w:right w:val="single" w:sz="6" w:space="0" w:color="auto"/>
          </w:tcBorders>
        </w:tcPr>
        <w:p w14:paraId="1D7CC379" w14:textId="3F5DC4FD" w:rsidR="0068156F" w:rsidRDefault="00E24CF2" w:rsidP="0068156F">
          <w:pPr>
            <w:pStyle w:val="HeaderRegProc"/>
            <w:rPr>
              <w:lang w:val="fr-FR"/>
            </w:rPr>
          </w:pPr>
          <w:r w:rsidRPr="00E24CF2">
            <w:rPr>
              <w:lang w:val="fr-FR"/>
            </w:rPr>
            <w:t>B8</w:t>
          </w:r>
        </w:p>
      </w:tc>
      <w:tc>
        <w:tcPr>
          <w:tcW w:w="1701" w:type="dxa"/>
          <w:tcBorders>
            <w:top w:val="single" w:sz="6" w:space="0" w:color="auto"/>
            <w:left w:val="single" w:sz="6" w:space="0" w:color="auto"/>
            <w:bottom w:val="single" w:sz="6" w:space="0" w:color="auto"/>
            <w:right w:val="single" w:sz="6" w:space="0" w:color="auto"/>
          </w:tcBorders>
        </w:tcPr>
        <w:p w14:paraId="5663B4D3" w14:textId="77777777" w:rsidR="0068156F" w:rsidRDefault="0068156F" w:rsidP="0068156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1CE183" w14:textId="001E66DF" w:rsidR="0068156F" w:rsidRDefault="0068156F" w:rsidP="0068156F">
          <w:pPr>
            <w:pStyle w:val="HeaderRegProc"/>
            <w:rPr>
              <w:lang w:val="fr-CH"/>
            </w:rPr>
          </w:pPr>
          <w:proofErr w:type="gramStart"/>
          <w:r>
            <w:rPr>
              <w:lang w:val="fr-CH"/>
            </w:rPr>
            <w:t>r</w:t>
          </w:r>
          <w:r w:rsidR="00E24CF2">
            <w:rPr>
              <w:lang w:val="fr-CH"/>
            </w:rPr>
            <w:t>é</w:t>
          </w:r>
          <w:r>
            <w:rPr>
              <w:lang w:val="fr-CH"/>
            </w:rPr>
            <w:t>v</w:t>
          </w:r>
          <w:proofErr w:type="gramEnd"/>
          <w:r>
            <w:rPr>
              <w:lang w:val="fr-CH"/>
            </w:rPr>
            <w:t xml:space="preserve">. </w:t>
          </w:r>
          <w:r>
            <w:t>5</w:t>
          </w:r>
        </w:p>
      </w:tc>
    </w:tr>
  </w:tbl>
  <w:p w14:paraId="5A135DAD" w14:textId="77777777" w:rsidR="003F4E3E" w:rsidRDefault="003F4E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44B2E" w14:textId="77777777" w:rsidR="00CB06A1" w:rsidRDefault="00CB06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97B"/>
    <w:rsid w:val="000349FB"/>
    <w:rsid w:val="0008403B"/>
    <w:rsid w:val="00091804"/>
    <w:rsid w:val="000B423B"/>
    <w:rsid w:val="000B4FD4"/>
    <w:rsid w:val="000D12FA"/>
    <w:rsid w:val="00177017"/>
    <w:rsid w:val="001879DD"/>
    <w:rsid w:val="001E6ED1"/>
    <w:rsid w:val="0023244B"/>
    <w:rsid w:val="00254F75"/>
    <w:rsid w:val="00291B32"/>
    <w:rsid w:val="002D62BE"/>
    <w:rsid w:val="002F1B94"/>
    <w:rsid w:val="002F6FCF"/>
    <w:rsid w:val="003061FA"/>
    <w:rsid w:val="00331CD4"/>
    <w:rsid w:val="003632A2"/>
    <w:rsid w:val="003A19C7"/>
    <w:rsid w:val="003F2D4A"/>
    <w:rsid w:val="003F4E3E"/>
    <w:rsid w:val="00433573"/>
    <w:rsid w:val="004470DE"/>
    <w:rsid w:val="00482885"/>
    <w:rsid w:val="004B034C"/>
    <w:rsid w:val="004E6CE6"/>
    <w:rsid w:val="00627E24"/>
    <w:rsid w:val="00650922"/>
    <w:rsid w:val="00653CBA"/>
    <w:rsid w:val="0066546A"/>
    <w:rsid w:val="00672828"/>
    <w:rsid w:val="0068156F"/>
    <w:rsid w:val="00721254"/>
    <w:rsid w:val="007A5970"/>
    <w:rsid w:val="007B3C20"/>
    <w:rsid w:val="007F0B48"/>
    <w:rsid w:val="00826A17"/>
    <w:rsid w:val="00845C9A"/>
    <w:rsid w:val="0089302D"/>
    <w:rsid w:val="00894163"/>
    <w:rsid w:val="008A2011"/>
    <w:rsid w:val="008C497B"/>
    <w:rsid w:val="00901C6C"/>
    <w:rsid w:val="009177E9"/>
    <w:rsid w:val="00924A26"/>
    <w:rsid w:val="009C7EA3"/>
    <w:rsid w:val="009D5C48"/>
    <w:rsid w:val="00A53717"/>
    <w:rsid w:val="00A70933"/>
    <w:rsid w:val="00A842D5"/>
    <w:rsid w:val="00AF1C6C"/>
    <w:rsid w:val="00B104FC"/>
    <w:rsid w:val="00B1708E"/>
    <w:rsid w:val="00B34D59"/>
    <w:rsid w:val="00B517A2"/>
    <w:rsid w:val="00B611BD"/>
    <w:rsid w:val="00C67B98"/>
    <w:rsid w:val="00C8511F"/>
    <w:rsid w:val="00CA0E7E"/>
    <w:rsid w:val="00CB06A1"/>
    <w:rsid w:val="00CF02DE"/>
    <w:rsid w:val="00D20D95"/>
    <w:rsid w:val="00D32D08"/>
    <w:rsid w:val="00D37662"/>
    <w:rsid w:val="00DA1FCB"/>
    <w:rsid w:val="00E24CF2"/>
    <w:rsid w:val="00E70951"/>
    <w:rsid w:val="00EA5EFB"/>
    <w:rsid w:val="00FF7A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2BD1EC"/>
  <w15:docId w15:val="{FA87E9DD-E4E4-4C80-9F76-5BF4C72D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eastAsia="en-US"/>
    </w:rPr>
  </w:style>
  <w:style w:type="paragraph" w:styleId="Heading1">
    <w:name w:val="heading 1"/>
    <w:aliases w:val="h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val="en-US"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rPr>
      <w:rFonts w:ascii="Times New Roman" w:hAnsi="Times New Roman"/>
      <w:b/>
    </w:rPr>
  </w:style>
  <w:style w:type="character" w:customStyle="1" w:styleId="Appdef0">
    <w:name w:val="App#_def"/>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FooterQP">
    <w:name w:val="Footer_QP"/>
    <w:basedOn w:val="Normal"/>
    <w:rsid w:val="00924A26"/>
    <w:pPr>
      <w:tabs>
        <w:tab w:val="clear" w:pos="1134"/>
        <w:tab w:val="clear" w:pos="1871"/>
        <w:tab w:val="clear" w:pos="2268"/>
        <w:tab w:val="left" w:pos="907"/>
        <w:tab w:val="right" w:pos="8789"/>
        <w:tab w:val="right" w:pos="9639"/>
      </w:tabs>
      <w:spacing w:before="0"/>
      <w:jc w:val="left"/>
    </w:pPr>
    <w:rPr>
      <w:b/>
      <w:sz w:val="22"/>
    </w:rPr>
  </w:style>
  <w:style w:type="character" w:customStyle="1" w:styleId="Heading1Char">
    <w:name w:val="Heading 1 Char"/>
    <w:aliases w:val="h1 Char"/>
    <w:link w:val="Heading1"/>
    <w:rsid w:val="002D62BE"/>
    <w:rPr>
      <w:b/>
      <w:sz w:val="28"/>
      <w:lang w:val="en-GB" w:eastAsia="en-US"/>
    </w:rPr>
  </w:style>
  <w:style w:type="character" w:customStyle="1" w:styleId="TabletextChar">
    <w:name w:val="Table_text Char"/>
    <w:link w:val="Tabletext0"/>
    <w:rsid w:val="002D62BE"/>
    <w:rPr>
      <w:sz w:val="22"/>
      <w:lang w:val="fr-FR" w:eastAsia="en-US"/>
    </w:rPr>
  </w:style>
  <w:style w:type="paragraph" w:customStyle="1" w:styleId="SectionNo">
    <w:name w:val="Section_No"/>
    <w:basedOn w:val="Normal"/>
    <w:rsid w:val="00E24CF2"/>
    <w:pPr>
      <w:keepNext/>
      <w:keepLines/>
      <w:tabs>
        <w:tab w:val="clear" w:pos="1134"/>
        <w:tab w:val="clear" w:pos="1871"/>
        <w:tab w:val="clear" w:pos="2268"/>
        <w:tab w:val="left" w:pos="794"/>
        <w:tab w:val="left" w:pos="1191"/>
        <w:tab w:val="left" w:pos="1588"/>
        <w:tab w:val="left" w:pos="1985"/>
      </w:tabs>
      <w:spacing w:before="480" w:after="80"/>
      <w:jc w:val="center"/>
    </w:pPr>
    <w:rPr>
      <w:rFonts w:ascii="Calibri" w:eastAsia="SimSun" w:hAnsi="Calibri" w:cs="Calibri"/>
      <w:b/>
      <w:bCs/>
      <w:caps/>
      <w:sz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14</TotalTime>
  <Pages>3</Pages>
  <Words>653</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SECB6 du RR</dc:subject>
  <dc:creator>Composition des Publications</dc:creator>
  <cp:keywords/>
  <dc:description/>
  <cp:lastModifiedBy>Saez Grau, Ricardo</cp:lastModifiedBy>
  <cp:revision>11</cp:revision>
  <cp:lastPrinted>2024-11-28T11:12:00Z</cp:lastPrinted>
  <dcterms:created xsi:type="dcterms:W3CDTF">2024-11-28T09:32:00Z</dcterms:created>
  <dcterms:modified xsi:type="dcterms:W3CDTF">2024-12-05T09:17:00Z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