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23051" w14:textId="77777777" w:rsidR="004E6E38" w:rsidRPr="00D972EF" w:rsidRDefault="004E6E38" w:rsidP="009C39CD">
      <w:pPr>
        <w:pStyle w:val="Heading1"/>
        <w:spacing w:before="300"/>
        <w:jc w:val="center"/>
        <w:rPr>
          <w:lang w:val="fr-FR"/>
        </w:rPr>
      </w:pPr>
      <w:proofErr w:type="gramStart"/>
      <w:r w:rsidRPr="00D972EF">
        <w:rPr>
          <w:lang w:val="fr-FR"/>
        </w:rPr>
        <w:t xml:space="preserve">PARTIE  </w:t>
      </w:r>
      <w:r w:rsidRPr="00D972EF">
        <w:rPr>
          <w:rStyle w:val="href"/>
          <w:lang w:val="fr-FR"/>
        </w:rPr>
        <w:t>A</w:t>
      </w:r>
      <w:proofErr w:type="gramEnd"/>
      <w:r w:rsidRPr="00D972EF">
        <w:rPr>
          <w:rStyle w:val="href"/>
          <w:lang w:val="fr-FR"/>
        </w:rPr>
        <w:t>10</w:t>
      </w:r>
    </w:p>
    <w:p w14:paraId="57948145" w14:textId="77777777" w:rsidR="004E6E38" w:rsidRPr="00D972EF" w:rsidRDefault="004E6E38" w:rsidP="009C39CD">
      <w:pPr>
        <w:pStyle w:val="Heading1"/>
        <w:ind w:left="0" w:firstLine="0"/>
        <w:jc w:val="center"/>
        <w:rPr>
          <w:lang w:val="fr-FR"/>
        </w:rPr>
      </w:pPr>
      <w:r w:rsidRPr="00D972EF">
        <w:rPr>
          <w:lang w:val="fr-FR"/>
        </w:rPr>
        <w:t xml:space="preserve">Règles </w:t>
      </w:r>
      <w:r w:rsidR="00763F56" w:rsidRPr="00D972EF">
        <w:rPr>
          <w:lang w:val="fr-FR"/>
        </w:rPr>
        <w:t xml:space="preserve">concernant </w:t>
      </w:r>
      <w:r w:rsidRPr="00D972EF">
        <w:rPr>
          <w:lang w:val="fr-FR"/>
        </w:rPr>
        <w:t>à l'Accord régional relatif à la planification du service</w:t>
      </w:r>
      <w:r w:rsidR="009C39CD" w:rsidRPr="00D972EF">
        <w:rPr>
          <w:lang w:val="fr-FR"/>
        </w:rPr>
        <w:t xml:space="preserve"> </w:t>
      </w:r>
      <w:r w:rsidRPr="00D972EF">
        <w:rPr>
          <w:lang w:val="fr-FR"/>
        </w:rPr>
        <w:t>de</w:t>
      </w:r>
      <w:r w:rsidR="009C39CD" w:rsidRPr="00D972EF">
        <w:rPr>
          <w:lang w:val="fr-FR"/>
        </w:rPr>
        <w:br/>
      </w:r>
      <w:r w:rsidRPr="00D972EF">
        <w:rPr>
          <w:lang w:val="fr-FR"/>
        </w:rPr>
        <w:t>radiodiffusion numérique de Terre dans certaines parties des</w:t>
      </w:r>
      <w:r w:rsidR="009C39CD" w:rsidRPr="00D972EF">
        <w:rPr>
          <w:lang w:val="fr-FR"/>
        </w:rPr>
        <w:t xml:space="preserve"> </w:t>
      </w:r>
      <w:r w:rsidRPr="00D972EF">
        <w:rPr>
          <w:lang w:val="fr-FR"/>
        </w:rPr>
        <w:t>Régions</w:t>
      </w:r>
      <w:r w:rsidR="009C39CD" w:rsidRPr="00D972EF">
        <w:rPr>
          <w:lang w:val="fr-FR"/>
        </w:rPr>
        <w:t> </w:t>
      </w:r>
      <w:r w:rsidRPr="00D972EF">
        <w:rPr>
          <w:lang w:val="fr-FR"/>
        </w:rPr>
        <w:t>1</w:t>
      </w:r>
      <w:r w:rsidR="009C39CD" w:rsidRPr="00D972EF">
        <w:rPr>
          <w:lang w:val="fr-FR"/>
        </w:rPr>
        <w:br/>
      </w:r>
      <w:r w:rsidRPr="00D972EF">
        <w:rPr>
          <w:lang w:val="fr-FR"/>
        </w:rPr>
        <w:t>et</w:t>
      </w:r>
      <w:r w:rsidR="009C39CD" w:rsidRPr="00D972EF">
        <w:rPr>
          <w:lang w:val="fr-FR"/>
        </w:rPr>
        <w:t> </w:t>
      </w:r>
      <w:r w:rsidRPr="00D972EF">
        <w:rPr>
          <w:lang w:val="fr-FR"/>
        </w:rPr>
        <w:t>3, dans les bandes de fréquences 174-230 MHz et 470-862 MHz</w:t>
      </w:r>
      <w:r w:rsidRPr="00D972EF">
        <w:rPr>
          <w:lang w:val="fr-FR"/>
        </w:rPr>
        <w:br/>
        <w:t>(Genève, 2006) (GE06)</w:t>
      </w:r>
    </w:p>
    <w:p w14:paraId="773018D8" w14:textId="77777777" w:rsidR="004E6E38" w:rsidRPr="00D972EF" w:rsidRDefault="004E6E38">
      <w:pPr>
        <w:pStyle w:val="Heading1"/>
        <w:rPr>
          <w:lang w:val="fr-FR"/>
        </w:rPr>
      </w:pPr>
      <w:r w:rsidRPr="00D972EF">
        <w:rPr>
          <w:lang w:val="fr-FR"/>
        </w:rPr>
        <w:t>1</w:t>
      </w:r>
      <w:r w:rsidRPr="00D972EF">
        <w:rPr>
          <w:lang w:val="fr-FR"/>
        </w:rPr>
        <w:tab/>
        <w:t>Recevabilité des fiches de notification</w:t>
      </w:r>
    </w:p>
    <w:p w14:paraId="0B35FC13" w14:textId="77777777" w:rsidR="004E6E38" w:rsidRPr="00D972EF" w:rsidRDefault="004E6E38" w:rsidP="009C39CD">
      <w:pPr>
        <w:rPr>
          <w:lang w:val="fr-FR"/>
        </w:rPr>
      </w:pPr>
      <w:r w:rsidRPr="00D972EF">
        <w:rPr>
          <w:lang w:val="fr-FR"/>
        </w:rPr>
        <w:t>Pour l'application de l'Accord régional relatif à la planification du service de radiodiffusion numérique de Terre dans la Région 1 (parties de la Région 1 situées à l'ouest du méridien 170°</w:t>
      </w:r>
      <w:r w:rsidR="009C39CD" w:rsidRPr="00D972EF">
        <w:rPr>
          <w:lang w:val="fr-FR"/>
        </w:rPr>
        <w:t> </w:t>
      </w:r>
      <w:r w:rsidRPr="00D972EF">
        <w:rPr>
          <w:lang w:val="fr-FR"/>
        </w:rPr>
        <w:t>E et au nord du parallèle 40°</w:t>
      </w:r>
      <w:r w:rsidR="009C39CD" w:rsidRPr="00D972EF">
        <w:rPr>
          <w:lang w:val="fr-FR"/>
        </w:rPr>
        <w:t> </w:t>
      </w:r>
      <w:r w:rsidRPr="00D972EF">
        <w:rPr>
          <w:lang w:val="fr-FR"/>
        </w:rPr>
        <w:t>S, à l'exception du territoire de la Mongolie) et en République islamique d'Iran, dans les bandes de fréquences 174-230 MHz et 470-862 MHz (Genève, 2006), le Bureau appliquera les procédures contenues dans les Articles 4 et 5 de l'Accord et les critères techniques associés aux fiches de notification soumises par toutes les administrations dont le territoire est situé dans la zone de planification, à condition que la station concernée (ou la zone d'allotissement concernée) soit située à l'intérieur de la zone de planification.</w:t>
      </w:r>
    </w:p>
    <w:p w14:paraId="31142411" w14:textId="77777777" w:rsidR="000109A5" w:rsidRPr="000109A5" w:rsidRDefault="000109A5" w:rsidP="000109A5">
      <w:pPr>
        <w:pStyle w:val="Heading1"/>
        <w:rPr>
          <w:lang w:val="fr-CH"/>
        </w:rPr>
      </w:pPr>
      <w:r>
        <w:rPr>
          <w:lang w:val="fr-CH"/>
        </w:rPr>
        <w:t>2</w:t>
      </w:r>
      <w:r>
        <w:rPr>
          <w:lang w:val="fr-CH"/>
        </w:rPr>
        <w:tab/>
      </w:r>
      <w:r w:rsidRPr="000109A5">
        <w:rPr>
          <w:lang w:val="fr-CH"/>
        </w:rPr>
        <w:t xml:space="preserve">Protection d'une inscription du Plan contre les brouillages causés </w:t>
      </w:r>
      <w:proofErr w:type="gramStart"/>
      <w:r w:rsidRPr="000109A5">
        <w:rPr>
          <w:lang w:val="fr-CH"/>
        </w:rPr>
        <w:t>par</w:t>
      </w:r>
      <w:proofErr w:type="gramEnd"/>
      <w:r w:rsidRPr="000109A5">
        <w:rPr>
          <w:lang w:val="fr-CH"/>
        </w:rPr>
        <w:t xml:space="preserve"> une inscription du Plan d'une autre administration avec laquelle la procédure de coordination n'a pas été déclenchée en application de l'Article 4 de l'Accord GE06</w:t>
      </w:r>
    </w:p>
    <w:p w14:paraId="6CB87EBC" w14:textId="77777777" w:rsidR="000109A5" w:rsidRDefault="000109A5" w:rsidP="000109A5">
      <w:pPr>
        <w:rPr>
          <w:szCs w:val="22"/>
          <w:lang w:val="fr-CH"/>
        </w:rPr>
      </w:pPr>
      <w:r>
        <w:rPr>
          <w:lang w:val="fr-CH"/>
        </w:rPr>
        <w:t>1)</w:t>
      </w:r>
      <w:r>
        <w:rPr>
          <w:lang w:val="fr-CH"/>
        </w:rPr>
        <w:tab/>
        <w:t>Pendant la CRR-06, une analyse de compatibilité a été menée pour tous les besoins (allotissements et assignations) dans les deux sens de transmission (émission et réception). Lorsque les besoins n'étaient pas compatibles entre eux dans un sens de transmission ou dans les deux sens de transmission, les administrations concernées devaient résoudre le problème d'incompatibilité. On avait ainsi l'assurance que toutes les inscriptions du Plan, tel qu'il a été adopté par la CRR-06, avaient été évaluées et jugées compatibles par les administrations concernées.</w:t>
      </w:r>
    </w:p>
    <w:p w14:paraId="7CE2D4F9" w14:textId="77777777" w:rsidR="000109A5" w:rsidRDefault="000109A5" w:rsidP="000109A5">
      <w:pPr>
        <w:rPr>
          <w:lang w:val="fr-CH"/>
        </w:rPr>
      </w:pPr>
      <w:r>
        <w:rPr>
          <w:lang w:val="fr-CH"/>
        </w:rPr>
        <w:t>2)</w:t>
      </w:r>
      <w:r>
        <w:rPr>
          <w:lang w:val="fr-CH"/>
        </w:rPr>
        <w:tab/>
        <w:t>Depuis lors, des assignations/allotissements nouveaux ou modifiés ont été inclus dans le Plan après l'application réussie de la procédure prévue à l'Article 4 de l'Accord GE06. Toutefois, selon cette procédure, les administrations sont considérées comme affectées par un projet de modification uniquement lorsque les limites indiquées dans la Section I de l'Annexe 4 de l'Accord sont dépassées. Cette approche était destinée à déclencher la nécessité de la coordination avec la ou les administrations susceptibles d'être affectées, afin de faire en sorte que le projet de modification ne limite pas la possibilité pour d'autres administrations de recevoir des émissions de radiodiffusion sur n'importe quel canal sur leur territoire. Toutefois, l'Accord ne traite pas des brouillages qu'un projet de modification subira de la part d'assignations inscrites antérieurement dans le Plan.</w:t>
      </w:r>
    </w:p>
    <w:p w14:paraId="25115D34"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6315A66" w14:textId="77777777" w:rsidR="000109A5" w:rsidRDefault="000109A5" w:rsidP="000109A5">
      <w:pPr>
        <w:rPr>
          <w:lang w:val="fr-CH"/>
        </w:rPr>
      </w:pPr>
      <w:r>
        <w:rPr>
          <w:lang w:val="fr-CH"/>
        </w:rPr>
        <w:lastRenderedPageBreak/>
        <w:t>3)</w:t>
      </w:r>
      <w:r>
        <w:rPr>
          <w:lang w:val="fr-CH"/>
        </w:rPr>
        <w:tab/>
        <w:t>En application de l'Article 4 de l'Accord GE06, le Bureau a reçu d'une administration une demande en vue de figurer dans la liste des administrations affectées par un projet de modification du Plan, étant donné ce projet de modification risque d'être affecté par les propres inscriptions dans le Plan de cette administration. Toutefois, étant donné que le projet de modification ne dépassait pas les limites indiquées dans l'Annexe 4 de l'Accord GE06, le Bureau n'a pu accéder à cette demande.</w:t>
      </w:r>
    </w:p>
    <w:p w14:paraId="4E65D1F9" w14:textId="77777777" w:rsidR="000109A5" w:rsidRDefault="000109A5" w:rsidP="000109A5">
      <w:pPr>
        <w:rPr>
          <w:lang w:val="fr-CH"/>
        </w:rPr>
      </w:pPr>
      <w:r>
        <w:rPr>
          <w:lang w:val="fr-CH"/>
        </w:rPr>
        <w:t>4)</w:t>
      </w:r>
      <w:r>
        <w:rPr>
          <w:lang w:val="fr-CH"/>
        </w:rPr>
        <w:tab/>
        <w:t xml:space="preserve">Cette situation met en lumière le fait que les procédures de l'Accord GE06 n'exigent pas de coordonner la protection d'un projet de modification du Plan contre les brouillages qu'il pourrait subir de la part d'inscriptions déjà inscrites dans le Plan avant d'inclure ce projet de modification dans le Plan. </w:t>
      </w:r>
    </w:p>
    <w:p w14:paraId="33350BE8" w14:textId="77777777" w:rsidR="000109A5" w:rsidRDefault="000109A5" w:rsidP="000109A5">
      <w:pPr>
        <w:rPr>
          <w:lang w:val="fr-CH"/>
        </w:rPr>
      </w:pPr>
      <w:r>
        <w:rPr>
          <w:lang w:val="fr-CH"/>
        </w:rPr>
        <w:t>5)</w:t>
      </w:r>
      <w:r>
        <w:rPr>
          <w:lang w:val="fr-CH"/>
        </w:rPr>
        <w:tab/>
        <w:t xml:space="preserve">Le Comité a considéré que, en vertu d'un principe général du Règlement des radiocommunications, le statut, c'est-à-dire les droits de transmission ou les droits de protection de nouvelles assignations, découle de l'application réussie des procédures pertinentes (voir le numéro </w:t>
      </w:r>
      <w:r w:rsidRPr="00017EF1">
        <w:rPr>
          <w:b/>
          <w:bCs/>
          <w:lang w:val="fr-CH"/>
        </w:rPr>
        <w:t>8.3</w:t>
      </w:r>
      <w:r>
        <w:rPr>
          <w:lang w:val="fr-CH"/>
        </w:rPr>
        <w:t xml:space="preserve"> du RR). </w:t>
      </w:r>
    </w:p>
    <w:p w14:paraId="1516A3F1" w14:textId="77777777" w:rsidR="000109A5" w:rsidRDefault="000109A5" w:rsidP="000109A5">
      <w:pPr>
        <w:rPr>
          <w:lang w:val="fr-CH"/>
        </w:rPr>
      </w:pPr>
      <w:r>
        <w:rPr>
          <w:lang w:val="fr-CH"/>
        </w:rPr>
        <w:t>6)</w:t>
      </w:r>
      <w:r>
        <w:rPr>
          <w:lang w:val="fr-CH"/>
        </w:rPr>
        <w:tab/>
        <w:t xml:space="preserve">En l'absence de procédure pertinente dans l'Accord GE06 concernant l'acquisition de ces droits, le Comité a estimé que, sauf si les administrations concernées en conviennent autrement, une assignation conforme au Plan et inscrite dans le Fichier de référence ne peut prétendre à une protection vis-à-vis des assignations qui sont conformes au Plan, </w:t>
      </w:r>
      <w:r w:rsidRPr="004424E2">
        <w:rPr>
          <w:color w:val="000000"/>
          <w:lang w:val="fr-CH"/>
        </w:rPr>
        <w:t xml:space="preserve">indépendamment de la question de savoir si les inscriptions figurant dans le Plan sont ou non assorties </w:t>
      </w:r>
      <w:r>
        <w:rPr>
          <w:color w:val="000000"/>
          <w:lang w:val="fr-CH"/>
        </w:rPr>
        <w:t xml:space="preserve">d'observations </w:t>
      </w:r>
      <w:r w:rsidRPr="004424E2">
        <w:rPr>
          <w:color w:val="000000"/>
          <w:lang w:val="fr-CH"/>
        </w:rPr>
        <w:t>(R2, R3),</w:t>
      </w:r>
      <w:r>
        <w:rPr>
          <w:lang w:val="fr-CH"/>
        </w:rPr>
        <w:t xml:space="preserve"> correspondant à une inscription qui a été inscrite dans le Plan avant l'inscription correspondant à l'assignation pour laquelle une protection est demandée.</w:t>
      </w:r>
    </w:p>
    <w:p w14:paraId="209C142B" w14:textId="77777777" w:rsidR="000109A5" w:rsidRDefault="000109A5" w:rsidP="000109A5">
      <w:pPr>
        <w:rPr>
          <w:lang w:val="fr-CH"/>
        </w:rPr>
      </w:pPr>
      <w:r>
        <w:rPr>
          <w:lang w:val="fr-CH"/>
        </w:rPr>
        <w:t>7)</w:t>
      </w:r>
      <w:r>
        <w:rPr>
          <w:lang w:val="fr-CH"/>
        </w:rPr>
        <w:tab/>
        <w:t>Le Comité a noté que plusieurs dispositions de l'Accord GE06 indiquent que, après l'application réussie de la procédure, la nouvelle inscription aura le même statut que les autres inscriptions figurant dans le Plan. Au vu de ce qui précède, le Comité est d'avis que toutes les inscriptions dans le Plan supposent un droit de transmission pour les assignations correspondantes et un droit de protection de ces assignations vis-à-vis d'inscriptions ultérieures dans le Plan. La conformité au Plan ne signifie pas qu'il y a un droit à une protection vis-à-vis d'inscriptions antérieures dans le Plan.</w:t>
      </w:r>
    </w:p>
    <w:p w14:paraId="1EBE7144" w14:textId="77777777" w:rsidR="000109A5" w:rsidRDefault="000109A5" w:rsidP="000109A5">
      <w:pPr>
        <w:rPr>
          <w:lang w:val="fr-CH"/>
        </w:rPr>
      </w:pPr>
      <w:r>
        <w:rPr>
          <w:lang w:val="fr-CH"/>
        </w:rPr>
        <w:t>8)</w:t>
      </w:r>
      <w:r>
        <w:rPr>
          <w:lang w:val="fr-CH"/>
        </w:rPr>
        <w:tab/>
        <w:t>Le Comité a également noté que plusieurs administrations avaient communiqué au Bureau des projets de modification du Plan GE06 sur la base de stations de faible puissance situées à proximité de la frontière de leur territoire de façon à ne pas déclencher les limites de l'Annexe 4 de l'Accord GE06. Au vu de ce qui précède, le Comité est d'avis que l'inclusion dans le Plan et/ou le Fichier de référence international des fréquences des assignations correspondantes ne confère aucun droit additionnel à une protection de ces assignations vis-à-vis d'assignations inscrites antérieurement dans le Plan</w:t>
      </w:r>
      <w:r>
        <w:rPr>
          <w:rStyle w:val="FootnoteReference"/>
          <w:lang w:val="fr-CH"/>
        </w:rPr>
        <w:footnoteReference w:id="1"/>
      </w:r>
      <w:r>
        <w:rPr>
          <w:lang w:val="fr-CH"/>
        </w:rPr>
        <w:t>,</w:t>
      </w:r>
      <w:r w:rsidRPr="004424E2">
        <w:rPr>
          <w:color w:val="000000"/>
          <w:lang w:val="fr-CH"/>
        </w:rPr>
        <w:t xml:space="preserve"> </w:t>
      </w:r>
      <w:r>
        <w:rPr>
          <w:color w:val="000000"/>
          <w:lang w:val="fr-CH"/>
        </w:rPr>
        <w:t>étant donné que l</w:t>
      </w:r>
      <w:r w:rsidRPr="004424E2">
        <w:rPr>
          <w:color w:val="000000"/>
          <w:lang w:val="fr-CH"/>
        </w:rPr>
        <w:t>a protection vis-à-vis d</w:t>
      </w:r>
      <w:r>
        <w:rPr>
          <w:color w:val="000000"/>
          <w:lang w:val="fr-CH"/>
        </w:rPr>
        <w:t xml:space="preserve">e ces </w:t>
      </w:r>
      <w:r w:rsidRPr="004424E2">
        <w:rPr>
          <w:color w:val="000000"/>
          <w:lang w:val="fr-CH"/>
        </w:rPr>
        <w:t xml:space="preserve">assignations ne peut </w:t>
      </w:r>
      <w:r>
        <w:rPr>
          <w:color w:val="000000"/>
          <w:lang w:val="fr-CH"/>
        </w:rPr>
        <w:t xml:space="preserve">pas </w:t>
      </w:r>
      <w:r w:rsidRPr="004424E2">
        <w:rPr>
          <w:color w:val="000000"/>
          <w:lang w:val="fr-CH"/>
        </w:rPr>
        <w:t>être obtenue par suite de l'application de l'Article 4 si les limites indiquées dans l'Annexe 4 ne sont pas dépassées.</w:t>
      </w:r>
      <w:r>
        <w:rPr>
          <w:lang w:val="fr-CH"/>
        </w:rPr>
        <w:t xml:space="preserve"> </w:t>
      </w:r>
    </w:p>
    <w:p w14:paraId="0B0C07A9"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678E9C95" w14:textId="77777777" w:rsidR="000109A5" w:rsidRPr="004424E2" w:rsidRDefault="000109A5" w:rsidP="000109A5">
      <w:pPr>
        <w:rPr>
          <w:lang w:val="fr-CH"/>
        </w:rPr>
      </w:pPr>
      <w:r>
        <w:rPr>
          <w:lang w:val="fr-CH"/>
        </w:rPr>
        <w:lastRenderedPageBreak/>
        <w:t>9)</w:t>
      </w:r>
      <w:r>
        <w:rPr>
          <w:lang w:val="fr-CH"/>
        </w:rPr>
        <w:tab/>
        <w:t>Le Comité a également noté que la présente Règle de procédure n'appelle aucune modification de la pratique suivie actuellement par le Bureau pour le traitement des fiches de notification en vue de l'application des Articles 4 et 5 de l'Accord GE06.</w:t>
      </w:r>
      <w:r w:rsidRPr="004424E2">
        <w:rPr>
          <w:color w:val="000000"/>
          <w:lang w:val="fr-CH"/>
        </w:rPr>
        <w:t xml:space="preserve"> De même, la présente Règle de procédure ne s'applique pas aux autres services de Terre primaires.</w:t>
      </w:r>
    </w:p>
    <w:p w14:paraId="6519F730" w14:textId="77777777" w:rsidR="000109A5" w:rsidRDefault="000109A5" w:rsidP="000109A5">
      <w:pPr>
        <w:rPr>
          <w:lang w:val="fr-CH"/>
        </w:rPr>
      </w:pPr>
      <w:r>
        <w:rPr>
          <w:lang w:val="fr-CH"/>
        </w:rPr>
        <w:t>10)</w:t>
      </w:r>
      <w:r>
        <w:rPr>
          <w:lang w:val="fr-CH"/>
        </w:rPr>
        <w:tab/>
        <w:t xml:space="preserve">La présente Règle de procédure </w:t>
      </w:r>
      <w:proofErr w:type="gramStart"/>
      <w:r>
        <w:rPr>
          <w:lang w:val="fr-CH"/>
        </w:rPr>
        <w:t>s'appliquent</w:t>
      </w:r>
      <w:proofErr w:type="gramEnd"/>
      <w:r>
        <w:rPr>
          <w:lang w:val="fr-CH"/>
        </w:rPr>
        <w:t xml:space="preserve"> avec effet immédiat, quelle que soit la date d'inscription dans le Plan/Fichier de référence international des fréquences des assignations/allotissements concernés.</w:t>
      </w:r>
    </w:p>
    <w:p w14:paraId="302CDE54" w14:textId="77777777" w:rsidR="00193957" w:rsidRDefault="00193957" w:rsidP="000109A5">
      <w:pPr>
        <w:rPr>
          <w:lang w:val="fr-CH"/>
        </w:rPr>
      </w:pPr>
    </w:p>
    <w:p w14:paraId="445A19F4" w14:textId="77777777" w:rsidR="004E6E38" w:rsidRPr="00D972EF" w:rsidRDefault="004E6E38" w:rsidP="009C39CD">
      <w:pPr>
        <w:pStyle w:val="Heading8"/>
        <w:tabs>
          <w:tab w:val="clear" w:pos="1134"/>
          <w:tab w:val="left" w:pos="1176"/>
        </w:tabs>
        <w:rPr>
          <w:lang w:val="fr-FR"/>
        </w:rPr>
      </w:pPr>
      <w:r w:rsidRPr="00D972EF">
        <w:rPr>
          <w:lang w:val="fr-FR"/>
        </w:rPr>
        <w:t>Art. 4</w:t>
      </w:r>
    </w:p>
    <w:p w14:paraId="4FA26C86" w14:textId="77777777" w:rsidR="004E6E38" w:rsidRPr="00D972EF" w:rsidRDefault="004E6E38" w:rsidP="009C39CD">
      <w:pPr>
        <w:pStyle w:val="Heading2"/>
        <w:ind w:left="0" w:firstLine="0"/>
        <w:jc w:val="center"/>
        <w:rPr>
          <w:lang w:val="fr-FR"/>
        </w:rPr>
      </w:pPr>
      <w:r w:rsidRPr="00D972EF">
        <w:rPr>
          <w:lang w:val="fr-FR"/>
        </w:rPr>
        <w:t>Procédure de modification des Plans et procédure de</w:t>
      </w:r>
      <w:r w:rsidRPr="00D972EF">
        <w:rPr>
          <w:lang w:val="fr-FR"/>
        </w:rPr>
        <w:br/>
        <w:t>coordination d'autres services de Terre primaires</w:t>
      </w:r>
    </w:p>
    <w:p w14:paraId="252A2414" w14:textId="77777777" w:rsidR="004E6E38" w:rsidRPr="00D972EF" w:rsidRDefault="004E6E38">
      <w:pPr>
        <w:pStyle w:val="Heading9"/>
        <w:rPr>
          <w:lang w:val="fr-FR"/>
        </w:rPr>
      </w:pPr>
      <w:r w:rsidRPr="00D972EF">
        <w:rPr>
          <w:lang w:val="fr-FR"/>
        </w:rPr>
        <w:t>4.1.1</w:t>
      </w:r>
    </w:p>
    <w:p w14:paraId="5CB6CD1C" w14:textId="77777777" w:rsidR="004E6E38" w:rsidRDefault="004E6E38" w:rsidP="009C39CD">
      <w:pPr>
        <w:rPr>
          <w:lang w:val="fr-FR"/>
        </w:rPr>
      </w:pPr>
      <w:r w:rsidRPr="00D972EF">
        <w:rPr>
          <w:lang w:val="fr-FR"/>
        </w:rPr>
        <w:t>1)</w:t>
      </w:r>
      <w:r w:rsidRPr="00D972EF">
        <w:rPr>
          <w:lang w:val="fr-FR"/>
        </w:rPr>
        <w:tab/>
        <w:t>Cette disposition précise les différents cas envisagés dans la procédure de modifi</w:t>
      </w:r>
      <w:r w:rsidR="009C39CD" w:rsidRPr="00D972EF">
        <w:rPr>
          <w:lang w:val="fr-FR"/>
        </w:rPr>
        <w:softHyphen/>
      </w:r>
      <w:r w:rsidRPr="00D972EF">
        <w:rPr>
          <w:lang w:val="fr-FR"/>
        </w:rPr>
        <w:t xml:space="preserve">cation aux </w:t>
      </w:r>
      <w:r w:rsidRPr="00D972EF">
        <w:rPr>
          <w:i/>
          <w:iCs/>
          <w:lang w:val="fr-FR"/>
        </w:rPr>
        <w:t>Plans</w:t>
      </w:r>
      <w:r w:rsidRPr="00D972EF">
        <w:rPr>
          <w:lang w:val="fr-FR"/>
        </w:rPr>
        <w:t>, qui prévoit essentiellement de procéder par étapes dans le cas où une administration souhaite ajouter au Plan numérique un allotissement et une (des) assignation(s) découlant de cet allotissement: l'administration doit d'abord mener à bien la procédure de modification au Plan pour l'allotissement et, une fois l'allotissement inscrit dans le Plan numérique, elle peut appliquer la procédure visée au § 4.1.1</w:t>
      </w:r>
      <w:r w:rsidR="009C39CD" w:rsidRPr="00D972EF">
        <w:rPr>
          <w:lang w:val="fr-FR"/>
        </w:rPr>
        <w:t xml:space="preserve"> </w:t>
      </w:r>
      <w:r w:rsidRPr="00D972EF">
        <w:rPr>
          <w:i/>
          <w:iCs/>
          <w:lang w:val="fr-FR"/>
        </w:rPr>
        <w:t>c)</w:t>
      </w:r>
      <w:r w:rsidRPr="00D972EF">
        <w:rPr>
          <w:lang w:val="fr-FR"/>
        </w:rPr>
        <w:t>. Le Comité a donc conclu qu'il n'était pas possible d'appliquer simultanément la procédure d'adjonction d'un allotissement dans le Plan et la procédure d'adjonction d'une (d') assignation(s) découlant de cet allotis</w:t>
      </w:r>
      <w:r w:rsidR="009C39CD" w:rsidRPr="00D972EF">
        <w:rPr>
          <w:lang w:val="fr-FR"/>
        </w:rPr>
        <w:softHyphen/>
      </w:r>
      <w:r w:rsidRPr="00D972EF">
        <w:rPr>
          <w:lang w:val="fr-FR"/>
        </w:rPr>
        <w:t>sement et a chargé le Bureau d'agir en conséquence.</w:t>
      </w:r>
    </w:p>
    <w:p w14:paraId="6BE78DB3" w14:textId="77777777" w:rsidR="000109A5" w:rsidRPr="00D972EF" w:rsidRDefault="000109A5" w:rsidP="000109A5">
      <w:pPr>
        <w:rPr>
          <w:lang w:val="fr-FR"/>
        </w:rPr>
      </w:pPr>
      <w:r w:rsidRPr="00D972EF">
        <w:rPr>
          <w:lang w:val="fr-FR"/>
        </w:rPr>
        <w:t>2)</w:t>
      </w:r>
      <w:r w:rsidRPr="00D972EF">
        <w:rPr>
          <w:lang w:val="fr-FR"/>
        </w:rPr>
        <w:tab/>
        <w:t>Dans le cas d'une proposition de modification des caractéristiques d'un allotis</w:t>
      </w:r>
      <w:r w:rsidRPr="00D972EF">
        <w:rPr>
          <w:lang w:val="fr-FR"/>
        </w:rPr>
        <w:softHyphen/>
        <w:t xml:space="preserve">sement déjà inscrit dans le Plan, associé à une ou à plusieurs assignations découlant dudit allotissement, le Bureau procédera comme </w:t>
      </w:r>
      <w:proofErr w:type="gramStart"/>
      <w:r w:rsidRPr="00D972EF">
        <w:rPr>
          <w:lang w:val="fr-FR"/>
        </w:rPr>
        <w:t>suit:</w:t>
      </w:r>
      <w:proofErr w:type="gramEnd"/>
    </w:p>
    <w:p w14:paraId="2D3406C3" w14:textId="77777777" w:rsidR="000109A5" w:rsidRPr="00D972EF" w:rsidRDefault="000109A5" w:rsidP="000109A5">
      <w:pPr>
        <w:pStyle w:val="enumlev1"/>
        <w:rPr>
          <w:lang w:val="fr-FR"/>
        </w:rPr>
      </w:pPr>
      <w:r w:rsidRPr="00D972EF">
        <w:rPr>
          <w:lang w:val="fr-FR"/>
        </w:rPr>
        <w:t>–</w:t>
      </w:r>
      <w:r w:rsidRPr="00D972EF">
        <w:rPr>
          <w:lang w:val="fr-FR"/>
        </w:rPr>
        <w:tab/>
        <w:t xml:space="preserve">en application du § 4.1.1 </w:t>
      </w:r>
      <w:r w:rsidRPr="00D972EF">
        <w:rPr>
          <w:i/>
          <w:iCs/>
          <w:lang w:val="fr-FR"/>
        </w:rPr>
        <w:t>a)</w:t>
      </w:r>
      <w:r w:rsidRPr="00D972EF">
        <w:rPr>
          <w:lang w:val="fr-FR"/>
        </w:rPr>
        <w:t>, le Bureau publiera les caractéristiques de l'allotissement modifié et inclura à cette fin des notes appropriées dans la Section spéciale concernée, selon les cas, de façon à indiquer le type de la situation, notamment: 1) le Plan contient une ou plusieurs assignations découlant de l'allotissement initial, qui seront examinées après que la procédure de modification du Plan aura été menée à bien pour l'allotissement concerné; et 2) l'administration concernée a annoncé la soumission d'autres assignations découlant de l'allotissement modifié, qui seront examinées après que la procédure de modification du Plan aura été menée à bien pour l'allotissement modifié et qui seront dûment prises en considération dans une autre Section spéciale;</w:t>
      </w:r>
    </w:p>
    <w:p w14:paraId="3FF42EB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5B043ED" w14:textId="77777777" w:rsidR="004E6E38" w:rsidRPr="00D972EF" w:rsidRDefault="004E6E38" w:rsidP="009A5645">
      <w:pPr>
        <w:pStyle w:val="enumlev1"/>
        <w:spacing w:before="0"/>
        <w:rPr>
          <w:lang w:val="fr-FR"/>
        </w:rPr>
      </w:pPr>
      <w:r w:rsidRPr="00D972EF">
        <w:rPr>
          <w:lang w:val="fr-FR"/>
        </w:rPr>
        <w:lastRenderedPageBreak/>
        <w:t>–</w:t>
      </w:r>
      <w:r w:rsidRPr="00D972EF">
        <w:rPr>
          <w:lang w:val="fr-FR"/>
        </w:rPr>
        <w:tab/>
        <w:t>jusqu'à ce que la procédure de modification du Plan soit menée à bien pour l'allotissement modifié le Bureau maintiendra l'allotissement précédent (ainsi que les assignations découlant de cet allotissement</w:t>
      </w:r>
      <w:proofErr w:type="gramStart"/>
      <w:r w:rsidRPr="00D972EF">
        <w:rPr>
          <w:lang w:val="fr-FR"/>
        </w:rPr>
        <w:t>);</w:t>
      </w:r>
      <w:proofErr w:type="gramEnd"/>
    </w:p>
    <w:p w14:paraId="262A85BC" w14:textId="77777777" w:rsidR="004E6E38" w:rsidRDefault="004E6E38" w:rsidP="009A5645">
      <w:pPr>
        <w:pStyle w:val="enumlev1"/>
        <w:spacing w:before="60"/>
        <w:rPr>
          <w:lang w:val="fr-FR"/>
        </w:rPr>
      </w:pPr>
      <w:r w:rsidRPr="00D972EF">
        <w:rPr>
          <w:lang w:val="fr-FR"/>
        </w:rPr>
        <w:t>–</w:t>
      </w:r>
      <w:r w:rsidRPr="00D972EF">
        <w:rPr>
          <w:lang w:val="fr-FR"/>
        </w:rPr>
        <w:tab/>
        <w:t xml:space="preserve">une fois que la procédure de modification du Plan aura été menée à bien pour l'allotissement modifié, le Bureau l'inclura dans le Plan (comme remplacement au précédent allotissement) et examinera toutes les assignations, si elles existent, découlant de l'allotissement précédent, du point de vue de leur conformité avec l'allotissement de remplacement. Si elles sont en conformité avec l'allotissement de remplacement, elles seront maintenues dans le </w:t>
      </w:r>
      <w:proofErr w:type="gramStart"/>
      <w:r w:rsidRPr="00D972EF">
        <w:rPr>
          <w:lang w:val="fr-FR"/>
        </w:rPr>
        <w:t>Plan;</w:t>
      </w:r>
      <w:proofErr w:type="gramEnd"/>
      <w:r w:rsidRPr="00D972EF">
        <w:rPr>
          <w:lang w:val="fr-FR"/>
        </w:rPr>
        <w:t xml:space="preserve"> sinon, elles seront supprimées du Plan et l'administration concernée en sera informée. Si elle le souhaite, l'administration notificatrice peut soumettre une ou plusieurs autres assignations découlant de l'allotissement modifié au titre du</w:t>
      </w:r>
      <w:r w:rsidR="009C39CD" w:rsidRPr="00D972EF">
        <w:rPr>
          <w:lang w:val="fr-FR"/>
        </w:rPr>
        <w:t xml:space="preserve"> </w:t>
      </w:r>
      <w:r w:rsidRPr="00D972EF">
        <w:rPr>
          <w:lang w:val="fr-FR"/>
        </w:rPr>
        <w:t>§</w:t>
      </w:r>
      <w:r w:rsidR="009C39CD" w:rsidRPr="00D972EF">
        <w:rPr>
          <w:lang w:val="fr-FR"/>
        </w:rPr>
        <w:t> </w:t>
      </w:r>
      <w:r w:rsidRPr="00D972EF">
        <w:rPr>
          <w:lang w:val="fr-FR"/>
        </w:rPr>
        <w:t xml:space="preserve">4.1.1 </w:t>
      </w:r>
      <w:r w:rsidRPr="00D972EF">
        <w:rPr>
          <w:i/>
          <w:iCs/>
          <w:lang w:val="fr-FR"/>
        </w:rPr>
        <w:t>c)</w:t>
      </w:r>
      <w:r w:rsidRPr="00D972EF">
        <w:rPr>
          <w:lang w:val="fr-FR"/>
        </w:rPr>
        <w:t>. Dès qu'il reçoit ces nouvelles assignations découlant de l'allotissement modifié, le Bureau les examinera au titre du</w:t>
      </w:r>
      <w:r w:rsidR="009C39CD" w:rsidRPr="00D972EF">
        <w:rPr>
          <w:lang w:val="fr-FR"/>
        </w:rPr>
        <w:t xml:space="preserve"> </w:t>
      </w:r>
      <w:r w:rsidRPr="00D972EF">
        <w:rPr>
          <w:lang w:val="fr-FR"/>
        </w:rPr>
        <w:t>§ 4.1.2.7 et agira en conséquence.</w:t>
      </w:r>
    </w:p>
    <w:p w14:paraId="48593E56" w14:textId="77777777" w:rsidR="009A5645" w:rsidRPr="00D972EF" w:rsidRDefault="009A5645" w:rsidP="002A7850">
      <w:pPr>
        <w:pStyle w:val="Heading9"/>
        <w:rPr>
          <w:lang w:val="fr-FR"/>
        </w:rPr>
      </w:pPr>
      <w:r w:rsidRPr="009A5645">
        <w:rPr>
          <w:lang w:val="fr-FR"/>
        </w:rPr>
        <w:t>4.1.4/4.2.4</w:t>
      </w:r>
    </w:p>
    <w:p w14:paraId="22B93632" w14:textId="77777777" w:rsidR="009A5645" w:rsidRPr="009A5645" w:rsidRDefault="009A5645" w:rsidP="009A5645">
      <w:pPr>
        <w:pStyle w:val="Heading2"/>
        <w:spacing w:before="240"/>
        <w:jc w:val="center"/>
        <w:rPr>
          <w:lang w:val="fr-FR"/>
        </w:rPr>
      </w:pPr>
      <w:r w:rsidRPr="009A5645">
        <w:rPr>
          <w:lang w:val="fr-FR"/>
        </w:rPr>
        <w:t>Projet de Règle de procédure</w:t>
      </w:r>
    </w:p>
    <w:p w14:paraId="3660E48C" w14:textId="77777777" w:rsidR="009A5645" w:rsidRPr="009A5645" w:rsidRDefault="009A5645" w:rsidP="009A5645">
      <w:pPr>
        <w:spacing w:before="120"/>
        <w:rPr>
          <w:lang w:val="fr-FR"/>
        </w:rPr>
      </w:pPr>
      <w:r w:rsidRPr="009A5645">
        <w:rPr>
          <w:lang w:val="fr-FR"/>
        </w:rPr>
        <w:t>Les sections 4.1.4 et 4.2.4 de l'Accord régional GE06 décrivent les procédures à suivre par les administrations et le Bureau pour obtenir l'accord des administrations qui sont considérées comme affectées et dont l'accord doit encore être obtenu.</w:t>
      </w:r>
    </w:p>
    <w:p w14:paraId="3E2C942B" w14:textId="77777777" w:rsidR="009A5645" w:rsidRPr="009A5645" w:rsidRDefault="009A5645" w:rsidP="009A5645">
      <w:pPr>
        <w:spacing w:before="120"/>
        <w:rPr>
          <w:lang w:val="fr-FR"/>
        </w:rPr>
      </w:pPr>
      <w:r w:rsidRPr="009A5645">
        <w:rPr>
          <w:lang w:val="fr-FR"/>
        </w:rPr>
        <w:t xml:space="preserve">En particulier, conformément aux paragraphes 4.1.4.10 et 4.2.4.9, le Bureau est chargé d'envoyer, sur demande d'une administration, un rappel aux administrations qui n'ont pas répondu dans un délai de 75 jours après la date de publication de la BR IFIC correspondante, en leur demandant une décision. </w:t>
      </w:r>
    </w:p>
    <w:p w14:paraId="4F3D1022" w14:textId="77777777" w:rsidR="009A5645" w:rsidRPr="009A5645" w:rsidRDefault="009A5645" w:rsidP="009A5645">
      <w:pPr>
        <w:spacing w:before="120"/>
        <w:rPr>
          <w:lang w:val="fr-FR"/>
        </w:rPr>
      </w:pPr>
      <w:r w:rsidRPr="009A5645">
        <w:rPr>
          <w:lang w:val="fr-FR"/>
        </w:rPr>
        <w:t>Outre l'envoi des rappels conformément au paragraphe 4.1.4.10 ou 4.2.4.9 de l'Accord régional GE06, le Bureau les mettra également simultanément à la disposition des administrations concernées par un autre moyen de communication électronique, par exemple au moyen de l'application eeb</w:t>
      </w:r>
      <w:proofErr w:type="gramStart"/>
      <w:r w:rsidRPr="009A5645">
        <w:rPr>
          <w:lang w:val="fr-FR"/>
        </w:rPr>
        <w:t xml:space="preserve"> «MyAdmin</w:t>
      </w:r>
      <w:proofErr w:type="gramEnd"/>
      <w:r w:rsidRPr="009A5645">
        <w:rPr>
          <w:lang w:val="fr-FR"/>
        </w:rPr>
        <w:t>» (voir la Lettre circulaire CR/408 datée du 5 juillet 2016).</w:t>
      </w:r>
    </w:p>
    <w:p w14:paraId="74A0D25F" w14:textId="77777777" w:rsidR="009A5645" w:rsidRPr="009A5645" w:rsidRDefault="009A5645" w:rsidP="009A5645">
      <w:pPr>
        <w:spacing w:before="120"/>
        <w:rPr>
          <w:lang w:val="fr-FR"/>
        </w:rPr>
      </w:pPr>
      <w:r w:rsidRPr="009A5645">
        <w:rPr>
          <w:lang w:val="fr-FR"/>
        </w:rPr>
        <w:t>En vertu des paragraphes 4.1.4.11 et 4.2.4.10, si aucune décision n'est communiquée au Bureau dans un délai de 40 jours après la date d'envoi du rappel, l'administration sera réputée avoir accepté la modification proposée.</w:t>
      </w:r>
    </w:p>
    <w:p w14:paraId="58B38789" w14:textId="77777777" w:rsidR="004E6E38" w:rsidRPr="00D972EF" w:rsidRDefault="004E6E38" w:rsidP="009A5645">
      <w:pPr>
        <w:pStyle w:val="Heading8"/>
        <w:spacing w:before="240"/>
        <w:rPr>
          <w:lang w:val="fr-FR"/>
        </w:rPr>
      </w:pPr>
      <w:r w:rsidRPr="00D972EF">
        <w:rPr>
          <w:lang w:val="fr-FR"/>
        </w:rPr>
        <w:t>Art. 5</w:t>
      </w:r>
    </w:p>
    <w:p w14:paraId="7A638AE0" w14:textId="77777777" w:rsidR="004E6E38" w:rsidRPr="00D972EF" w:rsidRDefault="004E6E38" w:rsidP="009A5645">
      <w:pPr>
        <w:pStyle w:val="Heading2"/>
        <w:spacing w:before="120"/>
        <w:jc w:val="center"/>
        <w:rPr>
          <w:u w:val="single"/>
          <w:lang w:val="fr-FR"/>
        </w:rPr>
      </w:pPr>
      <w:r w:rsidRPr="00D972EF">
        <w:rPr>
          <w:lang w:val="fr-FR"/>
        </w:rPr>
        <w:t>Notification des assignations de fréquence</w:t>
      </w:r>
    </w:p>
    <w:p w14:paraId="57D3BA18" w14:textId="77777777" w:rsidR="004E6E38" w:rsidRPr="00D972EF" w:rsidRDefault="004E6E38" w:rsidP="009A5645">
      <w:pPr>
        <w:pStyle w:val="Heading9"/>
        <w:spacing w:before="120"/>
        <w:rPr>
          <w:lang w:val="fr-FR"/>
        </w:rPr>
      </w:pPr>
      <w:r w:rsidRPr="00D972EF">
        <w:rPr>
          <w:lang w:val="fr-FR"/>
        </w:rPr>
        <w:t>5.1.2</w:t>
      </w:r>
    </w:p>
    <w:p w14:paraId="70971B55" w14:textId="77777777" w:rsidR="00193957" w:rsidRDefault="004E6E38" w:rsidP="00193957">
      <w:pPr>
        <w:spacing w:before="120"/>
        <w:rPr>
          <w:lang w:val="fr-FR"/>
        </w:rPr>
      </w:pPr>
      <w:r w:rsidRPr="00D972EF">
        <w:rPr>
          <w:lang w:val="fr-FR"/>
        </w:rPr>
        <w:t>1)</w:t>
      </w:r>
      <w:r w:rsidRPr="00D972EF">
        <w:rPr>
          <w:lang w:val="fr-FR"/>
        </w:rPr>
        <w:tab/>
        <w:t xml:space="preserve">Cette disposition traite de l'examen par le Bureau de l'assignation relativement au numéro </w:t>
      </w:r>
      <w:r w:rsidRPr="00D972EF">
        <w:rPr>
          <w:rStyle w:val="Artref"/>
          <w:b/>
          <w:color w:val="auto"/>
          <w:lang w:val="fr-FR"/>
        </w:rPr>
        <w:t>11.34</w:t>
      </w:r>
      <w:r w:rsidRPr="00D972EF">
        <w:rPr>
          <w:lang w:val="fr-FR"/>
        </w:rPr>
        <w:t xml:space="preserve"> du Règlement des radiocommunications (RR), c'est</w:t>
      </w:r>
      <w:r w:rsidRPr="00D972EF">
        <w:rPr>
          <w:lang w:val="fr-FR"/>
        </w:rPr>
        <w:noBreakHyphen/>
        <w:t>à</w:t>
      </w:r>
      <w:r w:rsidRPr="00D972EF">
        <w:rPr>
          <w:lang w:val="fr-FR"/>
        </w:rPr>
        <w:noBreakHyphen/>
        <w:t>dire du point de vue de sa conformité avec les Plans et les dispositions associées. Dans le cas d'une assignation de télévision analogique, le sous-paragraphe a), qui dispose que les conditions de la Section</w:t>
      </w:r>
      <w:r w:rsidR="009C39CD" w:rsidRPr="00D972EF">
        <w:rPr>
          <w:lang w:val="fr-FR"/>
        </w:rPr>
        <w:t> </w:t>
      </w:r>
      <w:r w:rsidRPr="00D972EF">
        <w:rPr>
          <w:lang w:val="fr-FR"/>
        </w:rPr>
        <w:t xml:space="preserve">II de l'Annexe 4 doivent être remplies, s'applique. Toutefois, la Section II de l'Annexe 4 ne porte que sur l'examen de conformité avec l'inscription dans le Plan numérique. Le Comité a donc </w:t>
      </w:r>
      <w:r w:rsidR="00193957">
        <w:rPr>
          <w:lang w:val="fr-FR"/>
        </w:rPr>
        <w:br/>
      </w:r>
      <w:r w:rsidR="00193957">
        <w:rPr>
          <w:lang w:val="fr-FR"/>
        </w:rPr>
        <w:br w:type="page"/>
      </w:r>
    </w:p>
    <w:p w14:paraId="70008C4E" w14:textId="77777777" w:rsidR="004E6E38" w:rsidRDefault="004E6E38" w:rsidP="009A5645">
      <w:pPr>
        <w:spacing w:before="120"/>
        <w:rPr>
          <w:lang w:val="fr-FR"/>
        </w:rPr>
      </w:pPr>
      <w:proofErr w:type="gramStart"/>
      <w:r w:rsidRPr="00D972EF">
        <w:rPr>
          <w:lang w:val="fr-FR"/>
        </w:rPr>
        <w:lastRenderedPageBreak/>
        <w:t>conclu</w:t>
      </w:r>
      <w:proofErr w:type="gramEnd"/>
      <w:r w:rsidRPr="00D972EF">
        <w:rPr>
          <w:lang w:val="fr-FR"/>
        </w:rPr>
        <w:t xml:space="preserve"> que, par analogie avec le §</w:t>
      </w:r>
      <w:r w:rsidR="009C39CD" w:rsidRPr="00D972EF">
        <w:rPr>
          <w:lang w:val="fr-FR"/>
        </w:rPr>
        <w:t> </w:t>
      </w:r>
      <w:r w:rsidRPr="00D972EF">
        <w:rPr>
          <w:lang w:val="fr-FR"/>
        </w:rPr>
        <w:t>4.2 de la Section II de l'Annexe 4 (concernant une inscription dans le Plan numérique correspondant à une seule assignation), l'assignation de fréquence notifiée correspondant à une assignation de télévision analogique sera considérée conforme au Plan pour la télévision analogique, si elle satisfait aux conditions énoncées au</w:t>
      </w:r>
      <w:r w:rsidR="009C39CD" w:rsidRPr="00D972EF">
        <w:rPr>
          <w:lang w:val="fr-FR"/>
        </w:rPr>
        <w:t>  </w:t>
      </w:r>
      <w:r w:rsidRPr="00D972EF">
        <w:rPr>
          <w:lang w:val="fr-FR"/>
        </w:rPr>
        <w:t>§ 4.2 de la Section II de l'Annexe 4, adaptées au cas d'une assignation de télévision analogique.</w:t>
      </w:r>
    </w:p>
    <w:p w14:paraId="60137310" w14:textId="77777777" w:rsidR="000109A5" w:rsidRDefault="000109A5" w:rsidP="009A5645">
      <w:pPr>
        <w:spacing w:before="60" w:line="216" w:lineRule="auto"/>
        <w:rPr>
          <w:lang w:val="fr-FR"/>
        </w:rPr>
      </w:pPr>
      <w:r w:rsidRPr="00D972EF">
        <w:rPr>
          <w:lang w:val="fr-FR"/>
        </w:rPr>
        <w:t>2)</w:t>
      </w:r>
      <w:r w:rsidRPr="00D972EF">
        <w:rPr>
          <w:lang w:val="fr-FR"/>
        </w:rPr>
        <w:tab/>
      </w:r>
      <w:r w:rsidRPr="009A5645">
        <w:rPr>
          <w:spacing w:val="-4"/>
          <w:lang w:val="fr-FR"/>
        </w:rPr>
        <w:t xml:space="preserve">En outre, le Comité a conclu que les assignations de télévision analogique dans les bandes 174-230 MHz (170-230 MHz pour le Maroc) et 470-862 MHz, qui étaient inscrites dans le Fichier de référence avec des conclusions favorables relativement au numéro </w:t>
      </w:r>
      <w:r w:rsidRPr="009A5645">
        <w:rPr>
          <w:rStyle w:val="Artref"/>
          <w:b/>
          <w:color w:val="auto"/>
          <w:spacing w:val="-4"/>
          <w:lang w:val="fr-FR"/>
        </w:rPr>
        <w:t>11.34</w:t>
      </w:r>
      <w:r w:rsidRPr="009A5645">
        <w:rPr>
          <w:spacing w:val="-4"/>
          <w:lang w:val="fr-FR"/>
        </w:rPr>
        <w:t xml:space="preserve"> du  RR, au moment de l'établissement du Plan analogique de l'Accord GE06, continueront d'être assorties de ces conclusions favorables tant que leurs caractéristiques et celles de l'inscription équivalente figurant dans le Plan pour la télévision analogique de l'Accord GE06 demeureront inchangées.</w:t>
      </w:r>
    </w:p>
    <w:p w14:paraId="653207D9" w14:textId="77777777" w:rsidR="00141158" w:rsidRPr="00D972EF" w:rsidRDefault="00141158" w:rsidP="009A5645">
      <w:pPr>
        <w:pStyle w:val="Heading9"/>
        <w:spacing w:before="120"/>
        <w:rPr>
          <w:lang w:val="fr-FR"/>
        </w:rPr>
      </w:pPr>
      <w:r w:rsidRPr="00D972EF">
        <w:rPr>
          <w:lang w:val="fr-FR"/>
        </w:rPr>
        <w:t xml:space="preserve">5.1.2 </w:t>
      </w:r>
      <w:r w:rsidRPr="00D972EF">
        <w:rPr>
          <w:i/>
          <w:iCs/>
          <w:lang w:val="fr-FR"/>
        </w:rPr>
        <w:t>e)</w:t>
      </w:r>
    </w:p>
    <w:p w14:paraId="4B640445" w14:textId="77777777" w:rsidR="00141158" w:rsidRPr="00D972EF" w:rsidRDefault="00141158" w:rsidP="009A5645">
      <w:pPr>
        <w:spacing w:before="60" w:line="216" w:lineRule="auto"/>
        <w:rPr>
          <w:lang w:val="fr-FR"/>
        </w:rPr>
      </w:pPr>
      <w:r>
        <w:rPr>
          <w:lang w:val="fr-FR"/>
        </w:rPr>
        <w:t>1)</w:t>
      </w:r>
      <w:r>
        <w:rPr>
          <w:lang w:val="fr-FR"/>
        </w:rPr>
        <w:tab/>
      </w:r>
      <w:r w:rsidRPr="00D972EF">
        <w:rPr>
          <w:lang w:val="fr-FR"/>
        </w:rPr>
        <w:t xml:space="preserve">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5.1.2 </w:t>
      </w:r>
      <w:r w:rsidRPr="00D972EF">
        <w:rPr>
          <w:i/>
          <w:iCs/>
          <w:lang w:val="fr-FR"/>
        </w:rPr>
        <w:t>e)</w:t>
      </w:r>
      <w:r w:rsidRPr="00D972EF">
        <w:rPr>
          <w:lang w:val="fr-FR"/>
        </w:rPr>
        <w:t xml:space="preserve"> est favorable, si tous les accords nécessaires ont été obtenus et si les conditions prescrites dans la Section II de l'Annexe 4 sont remplies.</w:t>
      </w:r>
      <w:r w:rsidRPr="0085136E">
        <w:rPr>
          <w:lang w:val="fr-CH"/>
        </w:rPr>
        <w:t xml:space="preserve">   </w:t>
      </w:r>
    </w:p>
    <w:p w14:paraId="5704AF3F" w14:textId="77777777" w:rsidR="00141158" w:rsidRPr="0085136E" w:rsidRDefault="00141158" w:rsidP="009A5645">
      <w:pPr>
        <w:spacing w:before="60" w:line="216" w:lineRule="auto"/>
        <w:rPr>
          <w:lang w:val="fr-CH"/>
        </w:rPr>
      </w:pPr>
      <w:r w:rsidRPr="0085136E">
        <w:rPr>
          <w:lang w:val="fr-CH"/>
        </w:rPr>
        <w:t>2)</w:t>
      </w:r>
      <w:r w:rsidRPr="0085136E">
        <w:rPr>
          <w:lang w:val="fr-CH"/>
        </w:rPr>
        <w:tab/>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85136E">
        <w:rPr>
          <w:lang w:val="fr-CH"/>
        </w:rPr>
        <w:softHyphen/>
        <w:t xml:space="preserve">sition 5.1.2 </w:t>
      </w:r>
      <w:r w:rsidRPr="0085136E">
        <w:rPr>
          <w:i/>
          <w:iCs/>
          <w:lang w:val="fr-CH"/>
        </w:rPr>
        <w:t>e)</w:t>
      </w:r>
      <w:r w:rsidRPr="0085136E">
        <w:rPr>
          <w:lang w:val="fr-CH"/>
        </w:rPr>
        <w:t xml:space="preserve"> est favorable, si l'administration notificatrice déclare que toutes les conditions associées à l'observation sont entièrement respectées et si les conditions prescrites dans la Section II de l'Annexe 4 sont remplies</w:t>
      </w:r>
      <w:r w:rsidRPr="0085136E">
        <w:rPr>
          <w:sz w:val="20"/>
          <w:lang w:val="fr-CH"/>
        </w:rPr>
        <w:t>.</w:t>
      </w:r>
      <w:r w:rsidRPr="0085136E">
        <w:rPr>
          <w:lang w:val="fr-CH"/>
        </w:rPr>
        <w:t xml:space="preserve">   </w:t>
      </w:r>
    </w:p>
    <w:p w14:paraId="69C3D81B" w14:textId="77777777" w:rsidR="00141158" w:rsidRPr="0085136E" w:rsidRDefault="00141158" w:rsidP="009A5645">
      <w:pPr>
        <w:spacing w:before="60" w:line="216" w:lineRule="auto"/>
        <w:rPr>
          <w:b/>
          <w:bCs/>
          <w:lang w:val="fr-CH"/>
        </w:rPr>
      </w:pPr>
      <w:r w:rsidRPr="0085136E">
        <w:rPr>
          <w:lang w:val="fr-CH"/>
        </w:rPr>
        <w:t>3)</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dans le Plan numérique correspondant à une seule assignation pour la radiodiffusion DVB-T, si l'assignation de fréquence notifiée utilise plus d'une fois les mêmes fréquences de l'assignation du Plan pour la radiodiffusion DVB-T, la conclusion de l'assignation notifiée sera défavorable et la fiche de notification sera retournée à l'administration notificatrice.    </w:t>
      </w:r>
    </w:p>
    <w:p w14:paraId="194663F2" w14:textId="77777777" w:rsidR="00141158" w:rsidRPr="0085136E" w:rsidRDefault="00141158" w:rsidP="009A5645">
      <w:pPr>
        <w:spacing w:before="60" w:line="216" w:lineRule="auto"/>
        <w:rPr>
          <w:lang w:val="fr-CH"/>
        </w:rPr>
      </w:pPr>
      <w:r w:rsidRPr="0085136E">
        <w:rPr>
          <w:lang w:val="fr-CH"/>
        </w:rPr>
        <w:t>4)</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(assignation ou allotissement) dans le Plan pour la radiodiffusion DVB-T, lorsque le Bureau examine si les conditions de la Section II de l'Annexe 4 de l'Accord GE06 sont remplies, il ajoutera à la p.a.r. de l'assignation notifiée pour la radiodiffusion T-DAB un facteur de correction correspondant indiqué dans le Tableau ci-dessous pour tenir compte de la différence des densités spectrales de puissance résultant des largeurs de bande différentes de l'assignation pour la radiodiffusion T-DAB et de l'inscription dans le Plan pour la radiodiffusion DVB-T. Les valeurs calculées du facteur de correction correspondent au rapport entre la largeur de bande de l'inscription dans le Plan pour la radiodiffusion télévisuelle numérique et la largeur de bande nécessaire de l'assignation notifiée.</w:t>
      </w:r>
    </w:p>
    <w:p w14:paraId="3C74F01D" w14:textId="77777777" w:rsidR="00193957" w:rsidRDefault="00193957">
      <w:pPr>
        <w:tabs>
          <w:tab w:val="clear" w:pos="1134"/>
          <w:tab w:val="clear" w:pos="1871"/>
          <w:tab w:val="clear" w:pos="2268"/>
        </w:tabs>
        <w:overflowPunct/>
        <w:autoSpaceDE/>
        <w:autoSpaceDN/>
        <w:adjustRightInd/>
        <w:spacing w:before="0"/>
        <w:jc w:val="left"/>
        <w:textAlignment w:val="auto"/>
        <w:rPr>
          <w:b/>
          <w:lang w:val="fr-CH"/>
        </w:rPr>
      </w:pPr>
      <w:r>
        <w:rPr>
          <w:lang w:val="fr-CH"/>
        </w:rPr>
        <w:br w:type="page"/>
      </w:r>
    </w:p>
    <w:p w14:paraId="6D2C6106" w14:textId="77777777" w:rsidR="00141158" w:rsidRPr="0085136E" w:rsidRDefault="00141158" w:rsidP="009A5645">
      <w:pPr>
        <w:pStyle w:val="Heading4"/>
        <w:spacing w:before="120" w:after="60"/>
        <w:ind w:left="0" w:firstLine="0"/>
        <w:jc w:val="center"/>
        <w:rPr>
          <w:lang w:val="fr-CH"/>
        </w:rPr>
      </w:pPr>
      <w:r w:rsidRPr="0085136E">
        <w:rPr>
          <w:lang w:val="fr-CH"/>
        </w:rPr>
        <w:lastRenderedPageBreak/>
        <w:t xml:space="preserve">Facteur de correction à appliquer à la p.a.r. des assignations notifiées </w:t>
      </w:r>
      <w:r w:rsidRPr="0085136E">
        <w:rPr>
          <w:lang w:val="fr-CH"/>
        </w:rPr>
        <w:br/>
        <w:t xml:space="preserve">pour la radiodiffusion T-DAB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842"/>
        <w:gridCol w:w="2658"/>
      </w:tblGrid>
      <w:tr w:rsidR="00141158" w:rsidRPr="00B52F2C" w14:paraId="7EA883D2" w14:textId="77777777" w:rsidTr="000109A5">
        <w:trPr>
          <w:cantSplit/>
        </w:trPr>
        <w:tc>
          <w:tcPr>
            <w:tcW w:w="2403" w:type="dxa"/>
            <w:vAlign w:val="center"/>
          </w:tcPr>
          <w:p w14:paraId="5A9310E0" w14:textId="77777777" w:rsidR="00141158" w:rsidRPr="0085136E" w:rsidRDefault="00141158" w:rsidP="00ED4744">
            <w:pPr>
              <w:framePr w:hSpace="181" w:wrap="around" w:vAnchor="text" w:hAnchor="margin" w:xAlign="center" w:y="1"/>
              <w:spacing w:before="20" w:after="20"/>
              <w:jc w:val="center"/>
              <w:rPr>
                <w:lang w:val="fr-CH"/>
              </w:rPr>
            </w:pPr>
          </w:p>
        </w:tc>
        <w:tc>
          <w:tcPr>
            <w:tcW w:w="4399" w:type="dxa"/>
            <w:gridSpan w:val="2"/>
            <w:vAlign w:val="center"/>
          </w:tcPr>
          <w:p w14:paraId="56FB3837" w14:textId="77777777" w:rsidR="00141158" w:rsidRPr="0085136E" w:rsidRDefault="00141158" w:rsidP="00ED4744">
            <w:pPr>
              <w:framePr w:hSpace="181" w:wrap="around" w:vAnchor="text" w:hAnchor="margin" w:xAlign="center" w:y="1"/>
              <w:spacing w:before="20" w:after="20"/>
              <w:jc w:val="center"/>
              <w:rPr>
                <w:lang w:val="fr-CH"/>
              </w:rPr>
            </w:pPr>
            <w:r w:rsidRPr="0085136E">
              <w:rPr>
                <w:lang w:val="fr-CH"/>
              </w:rPr>
              <w:t xml:space="preserve">Disposition des canaux de l'inscription dans le Plan pour la radiodiffusion DVB-T </w:t>
            </w:r>
          </w:p>
        </w:tc>
      </w:tr>
      <w:tr w:rsidR="00141158" w:rsidRPr="00DD423D" w14:paraId="381C208E" w14:textId="77777777" w:rsidTr="000109A5">
        <w:trPr>
          <w:cantSplit/>
        </w:trPr>
        <w:tc>
          <w:tcPr>
            <w:tcW w:w="2403" w:type="dxa"/>
            <w:vAlign w:val="center"/>
          </w:tcPr>
          <w:p w14:paraId="21D61A6F" w14:textId="77777777" w:rsidR="00141158" w:rsidRPr="0085136E" w:rsidRDefault="00141158" w:rsidP="00ED4744">
            <w:pPr>
              <w:framePr w:hSpace="181" w:wrap="around" w:vAnchor="text" w:hAnchor="margin" w:xAlign="center" w:y="1"/>
              <w:spacing w:before="0"/>
              <w:jc w:val="center"/>
              <w:rPr>
                <w:lang w:val="fr-CH"/>
              </w:rPr>
            </w:pPr>
          </w:p>
        </w:tc>
        <w:tc>
          <w:tcPr>
            <w:tcW w:w="2273" w:type="dxa"/>
            <w:vAlign w:val="center"/>
          </w:tcPr>
          <w:p w14:paraId="2DC0D3A4" w14:textId="77777777" w:rsidR="00141158" w:rsidRPr="00DD423D" w:rsidRDefault="00141158" w:rsidP="00ED4744">
            <w:pPr>
              <w:framePr w:hSpace="181" w:wrap="around" w:vAnchor="text" w:hAnchor="margin" w:xAlign="center" w:y="1"/>
              <w:spacing w:before="0"/>
              <w:jc w:val="center"/>
            </w:pPr>
            <w:r w:rsidRPr="00DD423D">
              <w:t>7 MHz</w:t>
            </w:r>
          </w:p>
        </w:tc>
        <w:tc>
          <w:tcPr>
            <w:tcW w:w="2126" w:type="dxa"/>
            <w:vAlign w:val="center"/>
          </w:tcPr>
          <w:p w14:paraId="598400B6" w14:textId="77777777" w:rsidR="00141158" w:rsidRPr="00DD423D" w:rsidRDefault="00141158" w:rsidP="00ED4744">
            <w:pPr>
              <w:framePr w:hSpace="181" w:wrap="around" w:vAnchor="text" w:hAnchor="margin" w:xAlign="center" w:y="1"/>
              <w:spacing w:before="0"/>
              <w:jc w:val="center"/>
            </w:pPr>
            <w:r w:rsidRPr="00DD423D">
              <w:t>8 MHz</w:t>
            </w:r>
          </w:p>
        </w:tc>
      </w:tr>
      <w:tr w:rsidR="00141158" w:rsidRPr="00DD423D" w14:paraId="664CB3AB" w14:textId="77777777" w:rsidTr="000109A5">
        <w:trPr>
          <w:cantSplit/>
        </w:trPr>
        <w:tc>
          <w:tcPr>
            <w:tcW w:w="2403" w:type="dxa"/>
            <w:vAlign w:val="center"/>
          </w:tcPr>
          <w:p w14:paraId="2A19CAA5" w14:textId="77777777" w:rsidR="00141158" w:rsidRPr="00DD423D" w:rsidRDefault="00141158" w:rsidP="00ED4744">
            <w:pPr>
              <w:framePr w:hSpace="181" w:wrap="around" w:vAnchor="text" w:hAnchor="margin" w:xAlign="center" w:y="1"/>
              <w:spacing w:before="0"/>
              <w:jc w:val="center"/>
            </w:pPr>
            <w:r>
              <w:t xml:space="preserve">Facteur de correction </w:t>
            </w:r>
          </w:p>
        </w:tc>
        <w:tc>
          <w:tcPr>
            <w:tcW w:w="2273" w:type="dxa"/>
            <w:vAlign w:val="center"/>
          </w:tcPr>
          <w:p w14:paraId="3A7FD45D" w14:textId="77777777" w:rsidR="00141158" w:rsidRPr="00DD423D" w:rsidRDefault="00141158" w:rsidP="00ED4744">
            <w:pPr>
              <w:framePr w:hSpace="181" w:wrap="around" w:vAnchor="text" w:hAnchor="margin" w:xAlign="center" w:y="1"/>
              <w:spacing w:before="0"/>
              <w:jc w:val="center"/>
            </w:pPr>
            <w:r w:rsidRPr="00DD423D">
              <w:t>6</w:t>
            </w:r>
            <w:r>
              <w:t>,</w:t>
            </w:r>
            <w:r w:rsidRPr="00DD423D">
              <w:t>3</w:t>
            </w:r>
            <w:r>
              <w:t>71</w:t>
            </w:r>
            <w:r w:rsidRPr="00DD423D">
              <w:t xml:space="preserve"> dB</w:t>
            </w:r>
          </w:p>
        </w:tc>
        <w:tc>
          <w:tcPr>
            <w:tcW w:w="2126" w:type="dxa"/>
            <w:vAlign w:val="center"/>
          </w:tcPr>
          <w:p w14:paraId="5502C502" w14:textId="77777777" w:rsidR="00141158" w:rsidRPr="00DD423D" w:rsidRDefault="00141158" w:rsidP="00ED4744">
            <w:pPr>
              <w:framePr w:hSpace="181" w:wrap="around" w:vAnchor="text" w:hAnchor="margin" w:xAlign="center" w:y="1"/>
              <w:spacing w:before="0"/>
              <w:jc w:val="center"/>
            </w:pPr>
            <w:r>
              <w:t>6,950</w:t>
            </w:r>
            <w:r w:rsidRPr="00DD423D">
              <w:t xml:space="preserve"> dB</w:t>
            </w:r>
          </w:p>
        </w:tc>
      </w:tr>
    </w:tbl>
    <w:p w14:paraId="27958E13" w14:textId="77777777" w:rsidR="00141158" w:rsidRPr="00A302FC" w:rsidRDefault="00141158" w:rsidP="00141158">
      <w:pPr>
        <w:spacing w:before="0"/>
        <w:rPr>
          <w:sz w:val="4"/>
          <w:szCs w:val="4"/>
        </w:rPr>
      </w:pPr>
    </w:p>
    <w:p w14:paraId="2F783869" w14:textId="77777777" w:rsidR="009A5645" w:rsidRDefault="00141158" w:rsidP="003E6AAE">
      <w:pPr>
        <w:spacing w:before="60" w:line="216" w:lineRule="auto"/>
        <w:rPr>
          <w:lang w:val="fr-CH"/>
        </w:rPr>
      </w:pPr>
      <w:r w:rsidRPr="0085136E">
        <w:rPr>
          <w:lang w:val="fr-CH"/>
        </w:rPr>
        <w:t>NOTE – S'il existe une ou plusieurs inscriptions dans le Plan DVB-T utilisant la variante de système de MAQ-64-7/8, située à moins de 1 000 km (limite du modèle de propagation décrit dans l'Annexe 2 de l'Accord) du site de l'émetteur de l'assignation T-DAB notifiée, on utilisera un fac</w:t>
      </w:r>
      <w:r w:rsidR="003E6AAE">
        <w:rPr>
          <w:lang w:val="fr-CH"/>
        </w:rPr>
        <w:t>teur de correction de 8,1 dB.</w:t>
      </w:r>
    </w:p>
    <w:p w14:paraId="3218CEE4" w14:textId="77777777" w:rsidR="00141158" w:rsidRPr="00D972EF" w:rsidRDefault="00141158" w:rsidP="00141158">
      <w:pPr>
        <w:pStyle w:val="Heading9"/>
        <w:rPr>
          <w:lang w:val="fr-FR"/>
        </w:rPr>
      </w:pPr>
      <w:r w:rsidRPr="00D972EF">
        <w:rPr>
          <w:lang w:val="fr-FR"/>
        </w:rPr>
        <w:t>5.1.3</w:t>
      </w:r>
    </w:p>
    <w:p w14:paraId="7CC5C3E3" w14:textId="77777777" w:rsidR="00141158" w:rsidRPr="00D972EF" w:rsidRDefault="00141158" w:rsidP="00141158">
      <w:pPr>
        <w:rPr>
          <w:lang w:val="fr-FR"/>
        </w:rPr>
      </w:pPr>
      <w:r w:rsidRPr="00D972EF">
        <w:rPr>
          <w:lang w:val="fr-FR"/>
        </w:rPr>
        <w:t>1)</w:t>
      </w:r>
      <w:r w:rsidRPr="00D972EF">
        <w:rPr>
          <w:lang w:val="fr-FR"/>
        </w:rPr>
        <w:tab/>
        <w:t>Cette disposition traite de la notification d'une inscription numérique figurant dans le Plan avec des caractéristiques différentes de celles qui apparaissent dans le Plan. La définition des termes</w:t>
      </w:r>
      <w:proofErr w:type="gramStart"/>
      <w:r w:rsidRPr="00D972EF">
        <w:rPr>
          <w:lang w:val="fr-FR"/>
        </w:rPr>
        <w:t xml:space="preserve"> </w:t>
      </w:r>
      <w:r w:rsidRPr="0094565F">
        <w:rPr>
          <w:i/>
          <w:iCs/>
          <w:lang w:val="fr-FR"/>
        </w:rPr>
        <w:t>«inscription</w:t>
      </w:r>
      <w:proofErr w:type="gramEnd"/>
      <w:r w:rsidRPr="0094565F">
        <w:rPr>
          <w:i/>
          <w:iCs/>
          <w:lang w:val="fr-FR"/>
        </w:rPr>
        <w:t xml:space="preserve"> dans le Plan numérique»</w:t>
      </w:r>
      <w:r w:rsidRPr="00D972EF">
        <w:rPr>
          <w:lang w:val="fr-FR"/>
        </w:rPr>
        <w:t>, telle qu'elle figure au § 1.3.18 de l'Annexe 1 de l'Accord GE06, concerne aussi bien les assignations que les allotissements. Toutefois, compte tenu de la formulation du § 5.1 de l'Accord GE06, le Comité a conclu que, en application du § 5.1.3 de l'Accord de Genève, les administrations ne peuvent notifier que des assignations de fréquence.</w:t>
      </w:r>
    </w:p>
    <w:p w14:paraId="49F8CB1C" w14:textId="77777777" w:rsidR="00141158" w:rsidRPr="00C4249F" w:rsidRDefault="00141158" w:rsidP="00862274">
      <w:pPr>
        <w:rPr>
          <w:lang w:val="fr-CH"/>
        </w:rPr>
      </w:pPr>
      <w:r w:rsidRPr="00C4249F">
        <w:rPr>
          <w:lang w:val="fr-CH"/>
        </w:rPr>
        <w:t>2)</w:t>
      </w:r>
      <w:r w:rsidRPr="00C4249F">
        <w:rPr>
          <w:lang w:val="fr-CH"/>
        </w:rPr>
        <w:tab/>
        <w:t>Aux fins de l'examen de la conformité de l'assignation de fréquence du service de radiodiffusion ou d'autres services primaires, notifiée au titre du § 5.1.3 de l'Accord de GE06, avec l</w:t>
      </w:r>
      <w:proofErr w:type="gramStart"/>
      <w:r w:rsidRPr="00C4249F">
        <w:rPr>
          <w:lang w:val="fr-CH"/>
        </w:rPr>
        <w:t>'</w:t>
      </w:r>
      <w:r w:rsidRPr="0094565F">
        <w:rPr>
          <w:i/>
          <w:iCs/>
          <w:lang w:val="fr-CH"/>
        </w:rPr>
        <w:t>«inscription</w:t>
      </w:r>
      <w:proofErr w:type="gramEnd"/>
      <w:r w:rsidRPr="0094565F">
        <w:rPr>
          <w:i/>
          <w:iCs/>
          <w:lang w:val="fr-CH"/>
        </w:rPr>
        <w:t xml:space="preserve"> numérique correspondante figurant dans le Plan»</w:t>
      </w:r>
      <w:r w:rsidRPr="00C4249F">
        <w:rPr>
          <w:lang w:val="fr-CH"/>
        </w:rPr>
        <w:t xml:space="preserve">, le Bureau </w:t>
      </w:r>
      <w:r w:rsidRPr="0085136E">
        <w:rPr>
          <w:lang w:val="fr-CH"/>
        </w:rPr>
        <w:t xml:space="preserve">s'assurera </w:t>
      </w:r>
      <w:r w:rsidRPr="00C4249F">
        <w:rPr>
          <w:lang w:val="fr-CH"/>
        </w:rPr>
        <w:t xml:space="preserve">que le potentiel de brouillage de l'assignation de fréquence notifiée n'est pas supérieur à celui de l'inscription numérique correspondante figurant dans le Plan. Le § 5.1.3 </w:t>
      </w:r>
      <w:proofErr w:type="gramStart"/>
      <w:r w:rsidRPr="00C4249F">
        <w:rPr>
          <w:lang w:val="fr-CH"/>
        </w:rPr>
        <w:t>fixe</w:t>
      </w:r>
      <w:proofErr w:type="gramEnd"/>
      <w:r w:rsidRPr="00C4249F">
        <w:rPr>
          <w:lang w:val="fr-CH"/>
        </w:rPr>
        <w:t xml:space="preserve"> comme seule condition que la densité de puissance de crête, dans toute bande de 4 kHz, de l'assignation de fréquence notifiée, ne dépasse pas la densité spectrale de puissance dans la même bande de 4 kHz de l'inscription numérique figurant dans le Plan. Le numéro 5.6 du Tableau 3 de l'Annexe 3 de l'Accord GE06 indique qu'il s'agit de la densité spectrale de puissance fournie à la ligne de transmission de l'antenne. Le Comité croit comprendre que</w:t>
      </w:r>
      <w:r>
        <w:rPr>
          <w:lang w:val="fr-CH"/>
        </w:rPr>
        <w:t xml:space="preserve"> la </w:t>
      </w:r>
      <w:r w:rsidRPr="00C4249F">
        <w:rPr>
          <w:lang w:val="fr-CH"/>
        </w:rPr>
        <w:t xml:space="preserve">densité spectrale de </w:t>
      </w:r>
      <w:r>
        <w:rPr>
          <w:lang w:val="fr-CH"/>
        </w:rPr>
        <w:t xml:space="preserve">puissance maximale </w:t>
      </w:r>
      <w:r w:rsidRPr="00C4249F">
        <w:rPr>
          <w:lang w:val="fr-CH"/>
        </w:rPr>
        <w:t>(dB(W/Hz)) (</w:t>
      </w:r>
      <w:r>
        <w:rPr>
          <w:lang w:val="fr-CH"/>
        </w:rPr>
        <w:t>point 8AC, Annexe 1 de l'Appendice</w:t>
      </w:r>
      <w:r w:rsidRPr="00C4249F">
        <w:rPr>
          <w:lang w:val="fr-CH"/>
        </w:rPr>
        <w:t xml:space="preserve"> </w:t>
      </w:r>
      <w:r w:rsidRPr="00BE6924">
        <w:rPr>
          <w:b/>
          <w:bCs/>
          <w:lang w:val="fr-CH"/>
        </w:rPr>
        <w:t>4</w:t>
      </w:r>
      <w:r w:rsidRPr="00C4249F">
        <w:rPr>
          <w:lang w:val="fr-CH"/>
        </w:rPr>
        <w:t xml:space="preserve">) </w:t>
      </w:r>
      <w:r>
        <w:rPr>
          <w:lang w:val="fr-CH"/>
        </w:rPr>
        <w:t>moyenne sur la bande de 4 kHz la plus défavorable est fondée sur la puissance apparente rayonnée maximale</w:t>
      </w:r>
      <w:r w:rsidRPr="00C4249F">
        <w:rPr>
          <w:lang w:val="fr-CH"/>
        </w:rPr>
        <w:t xml:space="preserve">. </w:t>
      </w:r>
      <w:r>
        <w:rPr>
          <w:lang w:val="fr-CH"/>
        </w:rPr>
        <w:t xml:space="preserve">Le </w:t>
      </w:r>
      <w:r w:rsidRPr="00C4249F">
        <w:rPr>
          <w:lang w:val="fr-CH"/>
        </w:rPr>
        <w:t xml:space="preserve">Bureau </w:t>
      </w:r>
      <w:r>
        <w:rPr>
          <w:lang w:val="fr-CH"/>
        </w:rPr>
        <w:t xml:space="preserve">tiendra compte de la densité spectrale de puissance de l'assignation notifiée en commençant par calculer la puissance apparente rayonnée (p.a.r.) maximale équivalente de l'assignation de fréquence notifiée à laquelle est appliqué un facteur de </w:t>
      </w:r>
      <w:r w:rsidRPr="00C4249F">
        <w:rPr>
          <w:lang w:val="fr-CH"/>
        </w:rPr>
        <w:t xml:space="preserve">correction </w:t>
      </w:r>
      <w:r>
        <w:rPr>
          <w:lang w:val="fr-CH"/>
        </w:rPr>
        <w:t xml:space="preserve">qui tient compte de la </w:t>
      </w:r>
      <w:r w:rsidRPr="00C4249F">
        <w:rPr>
          <w:lang w:val="fr-CH"/>
        </w:rPr>
        <w:t>diff</w:t>
      </w:r>
      <w:r>
        <w:rPr>
          <w:lang w:val="fr-CH"/>
        </w:rPr>
        <w:t>é</w:t>
      </w:r>
      <w:r w:rsidRPr="00C4249F">
        <w:rPr>
          <w:lang w:val="fr-CH"/>
        </w:rPr>
        <w:t xml:space="preserve">rence </w:t>
      </w:r>
      <w:r>
        <w:rPr>
          <w:lang w:val="fr-CH"/>
        </w:rPr>
        <w:t xml:space="preserve">des densités spectrales de puissance résultant des différentes largeurs de bande nécessaires de l'assignation de fréquence et de l'inscription correspondante dans le </w:t>
      </w:r>
      <w:r w:rsidRPr="00C4249F">
        <w:rPr>
          <w:lang w:val="fr-CH"/>
        </w:rPr>
        <w:t>Plan.</w:t>
      </w:r>
      <w:r w:rsidRPr="00C4249F" w:rsidDel="00353C5B">
        <w:rPr>
          <w:lang w:val="fr-CH"/>
        </w:rPr>
        <w:t xml:space="preserve"> </w:t>
      </w:r>
      <w:r>
        <w:rPr>
          <w:lang w:val="fr-CH"/>
        </w:rPr>
        <w:t>La puissance apparente rayonnée équivalente est obtenue à partir de la largeur de bande nécessaire et de la densité spectrale de puissance de crête de l'assignation notifiée ainsi que de la largeur de bande de l'inscription dans le Plan pour la radiodiffusion numérique</w:t>
      </w:r>
      <w:r w:rsidRPr="00C4249F">
        <w:rPr>
          <w:lang w:val="fr-CH"/>
        </w:rPr>
        <w:t xml:space="preserve">, </w:t>
      </w:r>
      <w:r>
        <w:rPr>
          <w:lang w:val="fr-CH"/>
        </w:rPr>
        <w:t>comme indiqué dans la formule ci-</w:t>
      </w:r>
      <w:proofErr w:type="gramStart"/>
      <w:r>
        <w:rPr>
          <w:lang w:val="fr-CH"/>
        </w:rPr>
        <w:t>dessous</w:t>
      </w:r>
      <w:r w:rsidRPr="00C4249F">
        <w:rPr>
          <w:lang w:val="fr-CH"/>
        </w:rPr>
        <w:t>:</w:t>
      </w:r>
      <w:proofErr w:type="gramEnd"/>
    </w:p>
    <w:p w14:paraId="2D379B0B" w14:textId="77777777" w:rsidR="00141158" w:rsidRPr="00C4249F" w:rsidRDefault="00141158" w:rsidP="00141158">
      <w:pPr>
        <w:pStyle w:val="Equation"/>
      </w:pPr>
      <w:r w:rsidRPr="0085136E">
        <w:rPr>
          <w:lang w:val="fr-CH"/>
        </w:rPr>
        <w:tab/>
      </w:r>
      <w:r w:rsidRPr="0085136E">
        <w:rPr>
          <w:lang w:val="fr-CH"/>
        </w:rPr>
        <w:tab/>
      </w:r>
      <w:r w:rsidR="00333D02" w:rsidRPr="00C4249F">
        <w:rPr>
          <w:position w:val="-32"/>
        </w:rPr>
        <w:object w:dxaOrig="6600" w:dyaOrig="760" w14:anchorId="092E6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8.8pt" o:ole="">
            <v:imagedata r:id="rId6" o:title=""/>
          </v:shape>
          <o:OLEObject Type="Embed" ProgID="Equation.3" ShapeID="_x0000_i1025" DrawAspect="Content" ObjectID="_1794806311" r:id="rId7"/>
        </w:object>
      </w:r>
    </w:p>
    <w:p w14:paraId="132C7AF0" w14:textId="77777777" w:rsidR="00752775" w:rsidRDefault="00752775" w:rsidP="00141158">
      <w:pPr>
        <w:pStyle w:val="Equationlegend0"/>
        <w:spacing w:before="0"/>
        <w:rPr>
          <w:lang w:val="fr-CH"/>
        </w:rPr>
      </w:pPr>
      <w:r>
        <w:rPr>
          <w:lang w:val="fr-CH"/>
        </w:rPr>
        <w:br w:type="page"/>
      </w:r>
    </w:p>
    <w:p w14:paraId="4943B4E9" w14:textId="4C8E890C" w:rsidR="00141158" w:rsidRPr="00C4249F" w:rsidRDefault="00141158" w:rsidP="00141158">
      <w:pPr>
        <w:pStyle w:val="Equationlegend0"/>
        <w:spacing w:before="0"/>
        <w:rPr>
          <w:lang w:val="fr-CH"/>
        </w:rPr>
      </w:pPr>
      <w:proofErr w:type="gramStart"/>
      <w:r>
        <w:rPr>
          <w:lang w:val="fr-CH"/>
        </w:rPr>
        <w:lastRenderedPageBreak/>
        <w:t>où</w:t>
      </w:r>
      <w:r w:rsidRPr="00C4249F">
        <w:rPr>
          <w:lang w:val="fr-CH"/>
        </w:rPr>
        <w:t>:</w:t>
      </w:r>
      <w:proofErr w:type="gramEnd"/>
    </w:p>
    <w:p w14:paraId="45802629" w14:textId="77777777" w:rsidR="00141158" w:rsidRPr="00C4249F" w:rsidRDefault="00141158" w:rsidP="00862274">
      <w:pPr>
        <w:pStyle w:val="enumlev1"/>
        <w:ind w:left="1134" w:hanging="1134"/>
        <w:rPr>
          <w:lang w:val="fr-CH"/>
        </w:rPr>
      </w:pPr>
      <w:proofErr w:type="gramStart"/>
      <w:r w:rsidRPr="007A75F4">
        <w:rPr>
          <w:i/>
          <w:iCs/>
          <w:lang w:val="fr-CH"/>
        </w:rPr>
        <w:t>SPD</w:t>
      </w:r>
      <w:r w:rsidRPr="00C4249F">
        <w:rPr>
          <w:vertAlign w:val="subscript"/>
          <w:lang w:val="fr-CH"/>
        </w:rPr>
        <w:t>max</w:t>
      </w:r>
      <w:r w:rsidRPr="0085136E">
        <w:rPr>
          <w:lang w:val="fr-CH"/>
        </w:rPr>
        <w:t>:</w:t>
      </w:r>
      <w:proofErr w:type="gramEnd"/>
      <w:r w:rsidRPr="0085136E">
        <w:rPr>
          <w:lang w:val="fr-CH"/>
        </w:rPr>
        <w:tab/>
      </w:r>
      <w:r>
        <w:rPr>
          <w:lang w:val="fr-CH"/>
        </w:rPr>
        <w:t xml:space="preserve">la densité spectrale de puissance maximale </w:t>
      </w:r>
      <w:r w:rsidRPr="00C4249F">
        <w:rPr>
          <w:lang w:val="fr-CH"/>
        </w:rPr>
        <w:t>(dB(W/Hz)) (</w:t>
      </w:r>
      <w:r>
        <w:rPr>
          <w:lang w:val="fr-CH"/>
        </w:rPr>
        <w:t xml:space="preserve">point </w:t>
      </w:r>
      <w:r w:rsidRPr="00C4249F">
        <w:rPr>
          <w:lang w:val="fr-CH"/>
        </w:rPr>
        <w:t xml:space="preserve">8AC, </w:t>
      </w:r>
      <w:r>
        <w:rPr>
          <w:lang w:val="fr-CH"/>
        </w:rPr>
        <w:t>Annexe 1 de l'</w:t>
      </w:r>
      <w:r w:rsidRPr="00C4249F">
        <w:rPr>
          <w:lang w:val="fr-CH"/>
        </w:rPr>
        <w:t>Appendice </w:t>
      </w:r>
      <w:r w:rsidRPr="00BE6924">
        <w:rPr>
          <w:b/>
          <w:bCs/>
          <w:lang w:val="fr-CH"/>
        </w:rPr>
        <w:t>4</w:t>
      </w:r>
      <w:r>
        <w:rPr>
          <w:lang w:val="fr-CH"/>
        </w:rPr>
        <w:t>) moyenne sur la bande de 4 kHz la plus défavorable, fondée sur la puissance apparente rayonnée maximale;</w:t>
      </w:r>
    </w:p>
    <w:p w14:paraId="6044D2BA" w14:textId="77777777" w:rsidR="00141158" w:rsidRPr="00C4249F" w:rsidRDefault="00141158" w:rsidP="00862274">
      <w:pPr>
        <w:pStyle w:val="enumlev1"/>
        <w:ind w:left="1134" w:hanging="1134"/>
        <w:rPr>
          <w:lang w:val="fr-CH"/>
        </w:rPr>
      </w:pPr>
      <w:proofErr w:type="gramStart"/>
      <w:r w:rsidRPr="007A75F4">
        <w:rPr>
          <w:i/>
          <w:iCs/>
          <w:lang w:val="fr-CH"/>
        </w:rPr>
        <w:t>BW</w:t>
      </w:r>
      <w:r w:rsidRPr="007A75F4">
        <w:rPr>
          <w:i/>
          <w:iCs/>
          <w:vertAlign w:val="subscript"/>
          <w:lang w:val="fr-CH"/>
        </w:rPr>
        <w:t>NA</w:t>
      </w:r>
      <w:r>
        <w:rPr>
          <w:lang w:val="fr-CH"/>
        </w:rPr>
        <w:t>:</w:t>
      </w:r>
      <w:proofErr w:type="gramEnd"/>
      <w:r>
        <w:rPr>
          <w:lang w:val="fr-CH"/>
        </w:rPr>
        <w:tab/>
        <w:t>la largeur de bande nécessaire notifiée</w:t>
      </w:r>
      <w:r w:rsidRPr="00C4249F">
        <w:rPr>
          <w:lang w:val="fr-CH"/>
        </w:rPr>
        <w:t xml:space="preserve"> (</w:t>
      </w:r>
      <w:r>
        <w:rPr>
          <w:lang w:val="fr-CH"/>
        </w:rPr>
        <w:t xml:space="preserve">point </w:t>
      </w:r>
      <w:r w:rsidRPr="00C4249F">
        <w:rPr>
          <w:lang w:val="fr-CH"/>
        </w:rPr>
        <w:t xml:space="preserve">7AB, </w:t>
      </w:r>
      <w:r>
        <w:rPr>
          <w:lang w:val="fr-CH"/>
        </w:rPr>
        <w:t>Annexe 1 de l'</w:t>
      </w:r>
      <w:r w:rsidRPr="00C4249F">
        <w:rPr>
          <w:lang w:val="fr-CH"/>
        </w:rPr>
        <w:t>Appendice </w:t>
      </w:r>
      <w:r w:rsidRPr="00BE6924">
        <w:rPr>
          <w:b/>
          <w:bCs/>
          <w:lang w:val="fr-CH"/>
        </w:rPr>
        <w:t>4</w:t>
      </w:r>
      <w:r>
        <w:rPr>
          <w:lang w:val="fr-CH"/>
        </w:rPr>
        <w:t>)</w:t>
      </w:r>
      <w:r w:rsidRPr="00C4249F">
        <w:rPr>
          <w:lang w:val="fr-CH"/>
        </w:rPr>
        <w:t xml:space="preserve"> en</w:t>
      </w:r>
      <w:r>
        <w:rPr>
          <w:lang w:val="fr-CH"/>
        </w:rPr>
        <w:t> </w:t>
      </w:r>
      <w:r w:rsidRPr="00C4249F">
        <w:rPr>
          <w:lang w:val="fr-CH"/>
        </w:rPr>
        <w:t>Hz</w:t>
      </w:r>
      <w:r>
        <w:rPr>
          <w:lang w:val="fr-CH"/>
        </w:rPr>
        <w:t>;</w:t>
      </w:r>
    </w:p>
    <w:p w14:paraId="4B550F9F" w14:textId="77777777" w:rsidR="00141158" w:rsidRPr="00C4249F" w:rsidRDefault="00141158" w:rsidP="00141158">
      <w:pPr>
        <w:pStyle w:val="enumlev1"/>
        <w:keepLines/>
        <w:ind w:left="1134" w:hanging="1134"/>
        <w:rPr>
          <w:lang w:val="fr-CH"/>
        </w:rPr>
      </w:pPr>
      <w:proofErr w:type="gramStart"/>
      <w:r w:rsidRPr="007A75F4">
        <w:rPr>
          <w:i/>
          <w:iCs/>
          <w:lang w:val="fr-CH"/>
        </w:rPr>
        <w:t>BW</w:t>
      </w:r>
      <w:r w:rsidRPr="007A75F4">
        <w:rPr>
          <w:i/>
          <w:iCs/>
          <w:vertAlign w:val="subscript"/>
          <w:lang w:val="fr-CH"/>
        </w:rPr>
        <w:t>PE</w:t>
      </w:r>
      <w:r>
        <w:rPr>
          <w:lang w:val="fr-CH"/>
        </w:rPr>
        <w:t>:</w:t>
      </w:r>
      <w:proofErr w:type="gramEnd"/>
      <w:r>
        <w:rPr>
          <w:lang w:val="fr-CH"/>
        </w:rPr>
        <w:tab/>
        <w:t xml:space="preserve">est la largeur de bande en </w:t>
      </w:r>
      <w:r w:rsidRPr="00C4249F">
        <w:rPr>
          <w:lang w:val="fr-CH"/>
        </w:rPr>
        <w:t xml:space="preserve">Hz </w:t>
      </w:r>
      <w:r>
        <w:rPr>
          <w:lang w:val="fr-CH"/>
        </w:rPr>
        <w:t xml:space="preserve">du système correspondant à l'inscription dans le Plan pour la radiodiffusion numérique. Dans le cas des inscriptions dans le Plan pour la radiodiffusion </w:t>
      </w:r>
      <w:r w:rsidRPr="00C4249F">
        <w:rPr>
          <w:lang w:val="fr-CH"/>
        </w:rPr>
        <w:t>DVB-T</w:t>
      </w:r>
      <w:r>
        <w:rPr>
          <w:lang w:val="fr-CH"/>
        </w:rPr>
        <w:t xml:space="preserve">, la largeur de bande est de </w:t>
      </w:r>
      <w:r w:rsidRPr="00C4249F">
        <w:rPr>
          <w:lang w:val="fr-CH"/>
        </w:rPr>
        <w:t>7</w:t>
      </w:r>
      <w:r>
        <w:rPr>
          <w:lang w:val="fr-CH"/>
        </w:rPr>
        <w:t>,</w:t>
      </w:r>
      <w:r w:rsidRPr="00C4249F">
        <w:rPr>
          <w:lang w:val="fr-CH"/>
        </w:rPr>
        <w:t>61 x 10</w:t>
      </w:r>
      <w:r w:rsidRPr="00C4249F">
        <w:rPr>
          <w:vertAlign w:val="superscript"/>
          <w:lang w:val="fr-CH"/>
        </w:rPr>
        <w:t>6 </w:t>
      </w:r>
      <w:r w:rsidRPr="00C4249F">
        <w:rPr>
          <w:lang w:val="fr-CH"/>
        </w:rPr>
        <w:t xml:space="preserve">Hz </w:t>
      </w:r>
      <w:r>
        <w:rPr>
          <w:lang w:val="fr-CH"/>
        </w:rPr>
        <w:t xml:space="preserve">pour les systèmes à </w:t>
      </w:r>
      <w:r w:rsidRPr="00C4249F">
        <w:rPr>
          <w:lang w:val="fr-CH"/>
        </w:rPr>
        <w:t xml:space="preserve">8 MHz </w:t>
      </w:r>
      <w:r>
        <w:rPr>
          <w:lang w:val="fr-CH"/>
        </w:rPr>
        <w:t xml:space="preserve">et de </w:t>
      </w:r>
      <w:r w:rsidRPr="00C4249F">
        <w:rPr>
          <w:lang w:val="fr-CH"/>
        </w:rPr>
        <w:t>6</w:t>
      </w:r>
      <w:r>
        <w:rPr>
          <w:lang w:val="fr-CH"/>
        </w:rPr>
        <w:t>,</w:t>
      </w:r>
      <w:r w:rsidRPr="00C4249F">
        <w:rPr>
          <w:lang w:val="fr-CH"/>
        </w:rPr>
        <w:t>66 x 10</w:t>
      </w:r>
      <w:r w:rsidRPr="00C4249F">
        <w:rPr>
          <w:vertAlign w:val="superscript"/>
          <w:lang w:val="fr-CH"/>
        </w:rPr>
        <w:t>6</w:t>
      </w:r>
      <w:r w:rsidRPr="00C4249F">
        <w:rPr>
          <w:lang w:val="fr-CH"/>
        </w:rPr>
        <w:t xml:space="preserve"> Hz </w:t>
      </w:r>
      <w:r>
        <w:rPr>
          <w:lang w:val="fr-CH"/>
        </w:rPr>
        <w:t xml:space="preserve">pour les systèmes à </w:t>
      </w:r>
      <w:r w:rsidRPr="00C4249F">
        <w:rPr>
          <w:lang w:val="fr-CH"/>
        </w:rPr>
        <w:t xml:space="preserve">7 MHz </w:t>
      </w:r>
      <w:r>
        <w:rPr>
          <w:lang w:val="fr-CH"/>
        </w:rPr>
        <w:t xml:space="preserve">et dans le cas des inscriptions dans le Plan pour la radiodiffusion </w:t>
      </w:r>
      <w:r w:rsidRPr="00C4249F">
        <w:rPr>
          <w:lang w:val="fr-CH"/>
        </w:rPr>
        <w:t xml:space="preserve">T-DAB, </w:t>
      </w:r>
      <w:r>
        <w:rPr>
          <w:lang w:val="fr-CH"/>
        </w:rPr>
        <w:t xml:space="preserve">elle est de </w:t>
      </w:r>
      <w:r w:rsidRPr="00C4249F">
        <w:rPr>
          <w:lang w:val="fr-CH"/>
        </w:rPr>
        <w:t>1</w:t>
      </w:r>
      <w:r>
        <w:rPr>
          <w:lang w:val="fr-CH"/>
        </w:rPr>
        <w:t>,</w:t>
      </w:r>
      <w:r w:rsidRPr="00C4249F">
        <w:rPr>
          <w:lang w:val="fr-CH"/>
        </w:rPr>
        <w:t>536 x 10</w:t>
      </w:r>
      <w:r w:rsidRPr="00C4249F">
        <w:rPr>
          <w:vertAlign w:val="superscript"/>
          <w:lang w:val="fr-CH"/>
        </w:rPr>
        <w:t>6 </w:t>
      </w:r>
      <w:r w:rsidRPr="00C4249F">
        <w:rPr>
          <w:lang w:val="fr-CH"/>
        </w:rPr>
        <w:t>Hz.</w:t>
      </w:r>
    </w:p>
    <w:p w14:paraId="19452FBD" w14:textId="0D5CCAC8" w:rsidR="00141158" w:rsidRPr="0085136E" w:rsidRDefault="00141158" w:rsidP="00BA34E4">
      <w:pPr>
        <w:rPr>
          <w:lang w:val="fr-CH"/>
        </w:rPr>
      </w:pPr>
      <w:r>
        <w:rPr>
          <w:lang w:val="fr-CH"/>
        </w:rPr>
        <w:t>Pour s'assurer que le champ rayonné par l'(les) assignation(s) de fréquence notifiée(s)</w:t>
      </w:r>
      <w:r w:rsidRPr="00C4249F">
        <w:rPr>
          <w:lang w:val="fr-CH"/>
        </w:rPr>
        <w:t xml:space="preserve">, </w:t>
      </w:r>
      <w:r>
        <w:rPr>
          <w:lang w:val="fr-CH"/>
        </w:rPr>
        <w:t xml:space="preserve">dans une </w:t>
      </w:r>
      <w:r w:rsidRPr="00C4249F">
        <w:rPr>
          <w:lang w:val="fr-CH"/>
        </w:rPr>
        <w:t>direction</w:t>
      </w:r>
      <w:r>
        <w:rPr>
          <w:lang w:val="fr-CH"/>
        </w:rPr>
        <w:t xml:space="preserve"> quelconque</w:t>
      </w:r>
      <w:r w:rsidRPr="00C4249F">
        <w:rPr>
          <w:lang w:val="fr-CH"/>
        </w:rPr>
        <w:t xml:space="preserve">, </w:t>
      </w:r>
      <w:r>
        <w:rPr>
          <w:lang w:val="fr-CH"/>
        </w:rPr>
        <w:t>ne provoque pas davantage de brouillage que l'inscription correspondante dans le Plan pour la radiodiffusion numérique</w:t>
      </w:r>
      <w:r w:rsidRPr="00C4249F">
        <w:rPr>
          <w:lang w:val="fr-CH"/>
        </w:rPr>
        <w:t>, le Bureau devra disposer des caractéristiques complètes de l'assignation de fréquence notifiée, notamment des données géographiques (hauteurs équiva</w:t>
      </w:r>
      <w:r w:rsidRPr="00C4249F">
        <w:rPr>
          <w:lang w:val="fr-CH"/>
        </w:rPr>
        <w:softHyphen/>
        <w:t>lentes de l'antenne pour 36 azimuts différents) et des renseignements concernant la trans</w:t>
      </w:r>
      <w:r w:rsidRPr="00C4249F">
        <w:rPr>
          <w:lang w:val="fr-CH"/>
        </w:rPr>
        <w:softHyphen/>
        <w:t xml:space="preserve">mission (polarisation, p.a.r., y compris l'affaiblissement de l'antenne dans les plans horizontal et vertical si, par exemple, l'inscription numérique figurant dans le Plan comporte un diagramme de rayonnement directif). Par conséquent, lorsqu'elles notifient des assignations de fréquence au titre </w:t>
      </w:r>
      <w:r w:rsidRPr="0085136E">
        <w:rPr>
          <w:lang w:val="fr-CH"/>
        </w:rPr>
        <w:t>du § 5.1.3 de l'Accord GE06, les administrations doivent fournir toutes les caractéristiques pertinentes dont a besoin le Bureau pour s'assurer que l'assignation de fréquence notifiée se situe dans les limites de l'enveloppe de l'inscription numérique figurant dans le Plan.</w:t>
      </w:r>
    </w:p>
    <w:p w14:paraId="0E452B7F" w14:textId="77777777" w:rsidR="00141158" w:rsidRPr="00D972EF" w:rsidRDefault="00141158" w:rsidP="00141158">
      <w:pPr>
        <w:rPr>
          <w:lang w:val="fr-FR"/>
        </w:rPr>
      </w:pPr>
      <w:r w:rsidRPr="00D972EF">
        <w:rPr>
          <w:lang w:val="fr-FR"/>
        </w:rPr>
        <w:t>3)</w:t>
      </w:r>
      <w:r w:rsidRPr="00D972EF">
        <w:rPr>
          <w:lang w:val="fr-FR"/>
        </w:rPr>
        <w:tab/>
        <w:t>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5.1.3 est favorable, si tous les accords nécessaires ont été obtenus et si les résultats de tous les examens requis sont favorables.</w:t>
      </w:r>
    </w:p>
    <w:p w14:paraId="0EA265B5" w14:textId="77777777" w:rsidR="00141158" w:rsidRDefault="00141158" w:rsidP="00141158">
      <w:pPr>
        <w:rPr>
          <w:lang w:val="fr-FR"/>
        </w:rPr>
      </w:pPr>
      <w:r w:rsidRPr="00D972EF">
        <w:rPr>
          <w:lang w:val="fr-FR"/>
        </w:rPr>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D972EF">
        <w:rPr>
          <w:lang w:val="fr-FR"/>
        </w:rPr>
        <w:softHyphen/>
        <w:t>sition 5.1.3 est favorable, si l'administration notificatrice déclare que toutes les conditions associées à l'observation sont entièrement respectées et si les résultats de tous les examens requis sont favorables.</w:t>
      </w:r>
    </w:p>
    <w:p w14:paraId="0724779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D0BD2F7" w14:textId="77777777" w:rsidR="00141158" w:rsidRPr="00D972EF" w:rsidRDefault="00141158" w:rsidP="00141158">
      <w:pPr>
        <w:pStyle w:val="Heading8"/>
        <w:rPr>
          <w:lang w:val="fr-FR"/>
        </w:rPr>
      </w:pPr>
      <w:r w:rsidRPr="00D972EF">
        <w:rPr>
          <w:lang w:val="fr-FR"/>
        </w:rPr>
        <w:lastRenderedPageBreak/>
        <w:t>Art. 12</w:t>
      </w:r>
    </w:p>
    <w:p w14:paraId="69A906AC" w14:textId="77777777" w:rsidR="00141158" w:rsidRPr="00D972EF" w:rsidRDefault="00141158" w:rsidP="00141158">
      <w:pPr>
        <w:pStyle w:val="Heading2"/>
        <w:jc w:val="center"/>
        <w:rPr>
          <w:u w:val="single"/>
          <w:lang w:val="fr-FR"/>
        </w:rPr>
      </w:pPr>
      <w:r w:rsidRPr="00D972EF">
        <w:rPr>
          <w:lang w:val="fr-FR"/>
        </w:rPr>
        <w:t>Entrée en vigueur, durée et application provisoire de l'Accord</w:t>
      </w:r>
    </w:p>
    <w:p w14:paraId="1471F67D" w14:textId="77777777" w:rsidR="00141158" w:rsidRPr="00D972EF" w:rsidRDefault="00141158" w:rsidP="00141158">
      <w:pPr>
        <w:pStyle w:val="Heading9"/>
        <w:rPr>
          <w:lang w:val="fr-FR"/>
        </w:rPr>
      </w:pPr>
      <w:r w:rsidRPr="00D972EF">
        <w:rPr>
          <w:lang w:val="fr-FR"/>
        </w:rPr>
        <w:t>12.6</w:t>
      </w:r>
    </w:p>
    <w:p w14:paraId="7309D281" w14:textId="77777777" w:rsidR="00141158" w:rsidRDefault="00141158" w:rsidP="00141158">
      <w:pPr>
        <w:rPr>
          <w:lang w:val="fr-FR"/>
        </w:rPr>
      </w:pPr>
      <w:r w:rsidRPr="00D972EF">
        <w:rPr>
          <w:lang w:val="fr-FR"/>
        </w:rPr>
        <w:t xml:space="preserve">La note de bas de page 7, associée à cette disposition, contient la liste des pays pour lesquels la période de transition pour la bande des ondes métriques (174-230 </w:t>
      </w:r>
      <w:proofErr w:type="gramStart"/>
      <w:r w:rsidRPr="00D972EF">
        <w:rPr>
          <w:lang w:val="fr-FR"/>
        </w:rPr>
        <w:t>MHz;</w:t>
      </w:r>
      <w:proofErr w:type="gramEnd"/>
      <w:r w:rsidRPr="00D972EF">
        <w:rPr>
          <w:lang w:val="fr-FR"/>
        </w:rPr>
        <w:t xml:space="preserve"> pour le Maroc: 170-230 MHz) prendra fin le 17 juin 2020 à 1 heure UTC. Dans ladite note il est précisé que les administrations qui n'étaient pas présentes à la CRR</w:t>
      </w:r>
      <w:r w:rsidRPr="00D972EF">
        <w:rPr>
          <w:lang w:val="fr-FR"/>
        </w:rPr>
        <w:noBreakHyphen/>
        <w:t>06 et dont les noms figurent dans la liste en question peuvent choisir une autre date à laquelle prendra fin la période de transition pour la bande des ondes métriques (notamment le 17 juin 2015 à 1 heure UTC), à condition qu'elles indiquent la date choisie au Bureau, dans un délai de 90 jours à compter de la fin de la CRR</w:t>
      </w:r>
      <w:r w:rsidRPr="00D972EF">
        <w:rPr>
          <w:lang w:val="fr-FR"/>
        </w:rPr>
        <w:noBreakHyphen/>
        <w:t>06.</w:t>
      </w:r>
    </w:p>
    <w:p w14:paraId="5ADD8870" w14:textId="77777777" w:rsidR="00141158" w:rsidRDefault="00141158" w:rsidP="00141158">
      <w:pPr>
        <w:rPr>
          <w:lang w:val="fr-FR"/>
        </w:rPr>
      </w:pPr>
      <w:r w:rsidRPr="00D972EF">
        <w:rPr>
          <w:lang w:val="fr-FR"/>
        </w:rPr>
        <w:t>Après la CRR</w:t>
      </w:r>
      <w:r w:rsidRPr="00D972EF">
        <w:rPr>
          <w:lang w:val="fr-FR"/>
        </w:rPr>
        <w:noBreakHyphen/>
        <w:t>06, le Bureau s'est mis en relation avec les administrations des Etats Membres dont les noms figurent dans la liste précitée, qui n'étaient pas présentes à la CRR</w:t>
      </w:r>
      <w:r w:rsidRPr="00D972EF">
        <w:rPr>
          <w:lang w:val="fr-FR"/>
        </w:rPr>
        <w:noBreakHyphen/>
        <w:t>06 et les a informées des décisions prises à cet égard par ladite Conférence. Aucune administration des Etats Membres concernés n'a informé le Bureau, dans le délai prévu, qu'elle avait choisi le 17 juin 2015 comme date à laquelle prendra fin la période de transition. En conséquence, pour tous les pays figurant dans la liste (note de bas de page 7), la période de transition pour la bande des ondes métriques prendra fin le 17 juin 2020 à 1 heure UTC.</w:t>
      </w:r>
    </w:p>
    <w:p w14:paraId="7FC807FA" w14:textId="77777777" w:rsidR="00141158" w:rsidRPr="00D972EF" w:rsidRDefault="00141158" w:rsidP="009A2C96">
      <w:pPr>
        <w:pStyle w:val="Heading8"/>
        <w:rPr>
          <w:lang w:val="fr-FR"/>
        </w:rPr>
      </w:pPr>
      <w:r w:rsidRPr="00D972EF">
        <w:rPr>
          <w:lang w:val="fr-FR"/>
        </w:rPr>
        <w:t>Annexe 2</w:t>
      </w:r>
    </w:p>
    <w:p w14:paraId="37E6F31D" w14:textId="77777777" w:rsidR="00141158" w:rsidRDefault="00141158" w:rsidP="00141158">
      <w:pPr>
        <w:pStyle w:val="Heading2"/>
        <w:ind w:left="0" w:firstLine="0"/>
        <w:jc w:val="center"/>
        <w:rPr>
          <w:lang w:val="fr-FR"/>
        </w:rPr>
      </w:pPr>
      <w:r w:rsidRPr="00D972EF">
        <w:rPr>
          <w:lang w:val="fr-FR"/>
        </w:rPr>
        <w:t>Eléments et critères techniques utilisés pour l'établissement du Plan</w:t>
      </w:r>
      <w:r w:rsidRPr="00D972EF">
        <w:rPr>
          <w:lang w:val="fr-FR"/>
        </w:rPr>
        <w:br/>
        <w:t>et la mise en œuvre de l'Accord</w:t>
      </w:r>
    </w:p>
    <w:p w14:paraId="32096B97" w14:textId="77777777" w:rsidR="008261C7" w:rsidRPr="008261C7" w:rsidRDefault="008261C7" w:rsidP="002A7850">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fr-CH"/>
        </w:rPr>
      </w:pPr>
      <w:r w:rsidRPr="008261C7">
        <w:rPr>
          <w:b/>
          <w:szCs w:val="24"/>
          <w:lang w:val="fr-CH"/>
        </w:rPr>
        <w:t>Appendice 2.1</w:t>
      </w:r>
      <w:r w:rsidRPr="008261C7">
        <w:rPr>
          <w:b/>
          <w:szCs w:val="24"/>
          <w:lang w:val="fr-CH"/>
        </w:rPr>
        <w:br/>
        <w:t>Section A2.1.8.1</w:t>
      </w:r>
    </w:p>
    <w:p w14:paraId="2E714158" w14:textId="77777777" w:rsidR="00193957" w:rsidRDefault="008261C7" w:rsidP="00193957">
      <w:pPr>
        <w:rPr>
          <w:rFonts w:eastAsia="SimSun"/>
          <w:lang w:val="fr-CH" w:eastAsia="zh-CN"/>
        </w:rPr>
      </w:pPr>
      <w:r w:rsidRPr="008261C7">
        <w:rPr>
          <w:rFonts w:asciiTheme="majorBidi" w:eastAsia="SimSun" w:hAnsiTheme="majorBidi" w:cstheme="majorBidi"/>
          <w:szCs w:val="24"/>
          <w:lang w:val="fr-CH" w:eastAsia="zh-CN"/>
        </w:rPr>
        <w:t xml:space="preserve">Cette section traite du facteur d'interpolation pour trajet mixte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szCs w:val="24"/>
          <w:lang w:val="fr-CH" w:eastAsia="zh-CN"/>
        </w:rPr>
        <w:t xml:space="preserve">qui est utilisé pour calculer le champ dans le cas d'un trajet traversant de multiples zones de propagation. Ce facteur A est fonction du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dont la valeur est déterminée à partir de la courbe de la Figure A.2.1-2. Il peut en résulter différentes interprétations des valeurs de 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Une telle situation pourrait conduire à différentes valeurs du champ calculées pour un trajet traversant plusieurs zones de propagation et, par conséquent, à différentes listes </w:t>
      </w:r>
      <w:r w:rsidR="00193957">
        <w:rPr>
          <w:rFonts w:asciiTheme="majorBidi" w:eastAsia="SimSun" w:hAnsiTheme="majorBidi" w:cstheme="majorBidi"/>
          <w:szCs w:val="24"/>
          <w:lang w:val="fr-CH" w:eastAsia="zh-CN"/>
        </w:rPr>
        <w:br/>
      </w:r>
      <w:r w:rsidR="00193957">
        <w:rPr>
          <w:rFonts w:eastAsia="SimSun"/>
          <w:lang w:val="fr-CH" w:eastAsia="zh-CN"/>
        </w:rPr>
        <w:br w:type="page"/>
      </w:r>
    </w:p>
    <w:p w14:paraId="49E49D5E" w14:textId="77777777" w:rsidR="008261C7" w:rsidRPr="008261C7" w:rsidRDefault="008261C7" w:rsidP="008261C7">
      <w:pPr>
        <w:rPr>
          <w:rFonts w:asciiTheme="majorBidi" w:eastAsia="SimSun" w:hAnsiTheme="majorBidi" w:cstheme="majorBidi"/>
          <w:szCs w:val="24"/>
          <w:lang w:val="fr-CH" w:eastAsia="zh-CN"/>
        </w:rPr>
      </w:pPr>
      <w:proofErr w:type="gramStart"/>
      <w:r w:rsidRPr="008261C7">
        <w:rPr>
          <w:rFonts w:asciiTheme="majorBidi" w:eastAsia="SimSun" w:hAnsiTheme="majorBidi" w:cstheme="majorBidi"/>
          <w:szCs w:val="24"/>
          <w:lang w:val="fr-CH" w:eastAsia="zh-CN"/>
        </w:rPr>
        <w:lastRenderedPageBreak/>
        <w:t>d'administrations</w:t>
      </w:r>
      <w:proofErr w:type="gramEnd"/>
      <w:r w:rsidRPr="008261C7">
        <w:rPr>
          <w:rFonts w:asciiTheme="majorBidi" w:eastAsia="SimSun" w:hAnsiTheme="majorBidi" w:cstheme="majorBidi"/>
          <w:szCs w:val="24"/>
          <w:lang w:val="fr-CH" w:eastAsia="zh-CN"/>
        </w:rPr>
        <w:t xml:space="preserve"> susceptibles d'être affectées par les projets de modification des Plans.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Le Comité a donc conclu que le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0 </w:t>
      </w:r>
      <w:r w:rsidRPr="008261C7">
        <w:rPr>
          <w:rFonts w:asciiTheme="majorBidi" w:eastAsia="SimSun" w:hAnsiTheme="majorBidi" w:cstheme="majorBidi"/>
          <w:i/>
          <w:iCs/>
          <w:szCs w:val="24"/>
          <w:lang w:val="fr-CH" w:eastAsia="zh-CN"/>
        </w:rPr>
        <w:t>(F</w:t>
      </w:r>
      <w:r w:rsidRPr="008261C7">
        <w:rPr>
          <w:rFonts w:asciiTheme="majorBidi" w:eastAsia="SimSun" w:hAnsiTheme="majorBidi" w:cstheme="majorBidi"/>
          <w:i/>
          <w:iCs/>
          <w:szCs w:val="24"/>
          <w:vertAlign w:val="subscript"/>
          <w:lang w:val="fr-CH" w:eastAsia="zh-CN"/>
        </w:rPr>
        <w:t>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(voir la Fig. A.2.1-2) sera calculé à l'aide de la formule </w:t>
      </w:r>
      <w:proofErr w:type="gramStart"/>
      <w:r w:rsidRPr="008261C7">
        <w:rPr>
          <w:rFonts w:asciiTheme="majorBidi" w:eastAsia="SimSun" w:hAnsiTheme="majorBidi" w:cstheme="majorBidi"/>
          <w:szCs w:val="24"/>
          <w:lang w:val="fr-CH" w:eastAsia="zh-CN"/>
        </w:rPr>
        <w:t>suivante:</w:t>
      </w:r>
      <w:proofErr w:type="gramEnd"/>
    </w:p>
    <w:p w14:paraId="6275F52A" w14:textId="77777777" w:rsidR="008261C7" w:rsidRPr="004B1A06" w:rsidRDefault="008261C7" w:rsidP="008261C7">
      <w:pPr>
        <w:jc w:val="center"/>
        <w:rPr>
          <w:rFonts w:asciiTheme="majorBidi" w:hAnsiTheme="majorBidi" w:cstheme="majorBidi"/>
        </w:rPr>
      </w:pPr>
      <w:r w:rsidRPr="004B1A06">
        <w:rPr>
          <w:rFonts w:asciiTheme="majorBidi" w:hAnsiTheme="majorBidi" w:cstheme="majorBidi"/>
          <w:position w:val="-12"/>
        </w:rPr>
        <w:object w:dxaOrig="2220" w:dyaOrig="405" w14:anchorId="53377FC9">
          <v:shape id="_x0000_i1026" type="#_x0000_t75" style="width:111.25pt;height:21.05pt" o:ole="">
            <v:imagedata r:id="rId8" o:title=""/>
          </v:shape>
          <o:OLEObject Type="Embed" ProgID="Equation.3" ShapeID="_x0000_i1026" DrawAspect="Content" ObjectID="_1794806312" r:id="rId9"/>
        </w:object>
      </w:r>
    </w:p>
    <w:p w14:paraId="624B3A2D" w14:textId="77777777" w:rsidR="008261C7" w:rsidRPr="008261C7" w:rsidRDefault="008261C7" w:rsidP="008261C7">
      <w:pPr>
        <w:rPr>
          <w:lang w:val="fr-CH"/>
        </w:rPr>
      </w:pPr>
      <w:r w:rsidRPr="008261C7">
        <w:rPr>
          <w:rFonts w:asciiTheme="majorBidi" w:eastAsia="SimSun" w:hAnsiTheme="majorBidi" w:cstheme="majorBidi"/>
          <w:szCs w:val="24"/>
          <w:lang w:val="fr-CH" w:eastAsia="zh-CN"/>
        </w:rPr>
        <w:t>L'utilisation de cette formule est conforme à la méthode adoptée par la CRR-06, préconisée dans la Recommandation UIT-R P.1546 et actuellement utilisée par le Bureau pour la mise en oeuvre de l'Accord GE06.</w:t>
      </w:r>
    </w:p>
    <w:p w14:paraId="7B03BC17"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A3.1-3</w:t>
      </w:r>
    </w:p>
    <w:p w14:paraId="5953C633" w14:textId="77777777" w:rsidR="00141158" w:rsidRPr="00D972EF" w:rsidRDefault="00141158" w:rsidP="00141158">
      <w:pPr>
        <w:rPr>
          <w:lang w:val="fr-FR"/>
        </w:rPr>
      </w:pPr>
      <w:r w:rsidRPr="00D972EF">
        <w:rPr>
          <w:lang w:val="fr-FR"/>
        </w:rPr>
        <w:t>Ce Tableau s'applique également aux zones géographiques XGZ et XWB.</w:t>
      </w:r>
    </w:p>
    <w:p w14:paraId="7DE77880"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A3.1-8</w:t>
      </w:r>
    </w:p>
    <w:p w14:paraId="3406CEDF" w14:textId="77777777" w:rsidR="00141158" w:rsidRPr="00D972EF" w:rsidRDefault="00141158" w:rsidP="00141158">
      <w:pPr>
        <w:rPr>
          <w:lang w:val="fr-FR"/>
        </w:rPr>
      </w:pPr>
      <w:r w:rsidRPr="00D972EF">
        <w:rPr>
          <w:lang w:val="fr-FR"/>
        </w:rPr>
        <w:t>Ce Tableau s'applique également à la zone géographique AOE, à l'exception des canaux 4 et 5.</w:t>
      </w:r>
    </w:p>
    <w:p w14:paraId="043B0AF8" w14:textId="77777777" w:rsidR="00141158" w:rsidRPr="00D972EF" w:rsidRDefault="00141158" w:rsidP="00141158">
      <w:pPr>
        <w:pStyle w:val="Heading9"/>
        <w:ind w:right="7258"/>
        <w:jc w:val="left"/>
        <w:rPr>
          <w:lang w:val="fr-FR"/>
        </w:rPr>
      </w:pPr>
      <w:r w:rsidRPr="00D972EF">
        <w:rPr>
          <w:lang w:val="fr-FR"/>
        </w:rPr>
        <w:t>Appendice 3.3</w:t>
      </w:r>
    </w:p>
    <w:p w14:paraId="68208A48" w14:textId="77777777" w:rsidR="00141158" w:rsidRPr="00D972EF" w:rsidRDefault="00141158" w:rsidP="00141158">
      <w:pPr>
        <w:rPr>
          <w:lang w:val="fr-FR"/>
        </w:rPr>
      </w:pPr>
      <w:r w:rsidRPr="00D972EF">
        <w:rPr>
          <w:lang w:val="fr-FR"/>
        </w:rPr>
        <w:t>Le § A.3.3.4 de cet Appendice fournit des informations sur les rapports de protection pour la télévision analogique. Toutefois, il ne contient aucune indication sur les rapports de protection applicables dans le cas d'une assignation de télévision analogique brouillée par des assigna</w:t>
      </w:r>
      <w:r w:rsidRPr="00D972EF">
        <w:rPr>
          <w:lang w:val="fr-FR"/>
        </w:rPr>
        <w:softHyphen/>
        <w:t>tions d'autres services de Terre primaires. Il y a lieu d'effectuer les calculs requis en applica</w:t>
      </w:r>
      <w:r w:rsidRPr="00D972EF">
        <w:rPr>
          <w:lang w:val="fr-FR"/>
        </w:rPr>
        <w:softHyphen/>
        <w:t>tion des § 4.2.4.11 et 4.2.4.12 de l'Accord en utilisant, la Recommandation UIT</w:t>
      </w:r>
      <w:r w:rsidRPr="00D972EF">
        <w:rPr>
          <w:lang w:val="fr-FR"/>
        </w:rPr>
        <w:noBreakHyphen/>
        <w:t>R SM.851</w:t>
      </w:r>
      <w:r w:rsidRPr="00D972EF">
        <w:rPr>
          <w:lang w:val="fr-FR"/>
        </w:rPr>
        <w:noBreakHyphen/>
        <w:t>1, dans les cas traités dans la présente Recommandation. Pour les autres cas qui ne sont pas traités dans cette Recommandation, les Recommandations UIT-R pertinentes peuvent être utilisées.</w:t>
      </w:r>
    </w:p>
    <w:p w14:paraId="4365E338" w14:textId="77777777" w:rsidR="00141158" w:rsidRPr="00D972EF" w:rsidRDefault="00141158" w:rsidP="00141158">
      <w:pPr>
        <w:pStyle w:val="Heading8"/>
        <w:ind w:right="7428"/>
        <w:jc w:val="left"/>
        <w:rPr>
          <w:lang w:val="fr-FR"/>
        </w:rPr>
      </w:pPr>
      <w:r w:rsidRPr="00D972EF">
        <w:rPr>
          <w:lang w:val="fr-FR"/>
        </w:rPr>
        <w:t>Annexe 3</w:t>
      </w:r>
      <w:r w:rsidRPr="00D972EF">
        <w:rPr>
          <w:lang w:val="fr-FR"/>
        </w:rPr>
        <w:br/>
        <w:t>Tableau 3</w:t>
      </w:r>
    </w:p>
    <w:p w14:paraId="36CAA6DF" w14:textId="77777777" w:rsidR="00141158" w:rsidRPr="00D972EF" w:rsidRDefault="00141158" w:rsidP="00141158">
      <w:pPr>
        <w:pStyle w:val="Heading2"/>
        <w:ind w:left="0" w:firstLine="0"/>
        <w:jc w:val="center"/>
        <w:rPr>
          <w:lang w:val="fr-FR"/>
        </w:rPr>
      </w:pPr>
      <w:r w:rsidRPr="00D972EF">
        <w:rPr>
          <w:lang w:val="fr-FR"/>
        </w:rPr>
        <w:t>Données relatives aux assignations à des stations</w:t>
      </w:r>
      <w:r w:rsidRPr="00D972EF">
        <w:rPr>
          <w:lang w:val="fr-FR"/>
        </w:rPr>
        <w:br/>
        <w:t>d'autres services de Terre primaires</w:t>
      </w:r>
    </w:p>
    <w:p w14:paraId="17709673" w14:textId="77777777" w:rsidR="00193957" w:rsidRDefault="00141158" w:rsidP="00141158">
      <w:pPr>
        <w:rPr>
          <w:lang w:val="fr-FR"/>
        </w:rPr>
      </w:pPr>
      <w:r w:rsidRPr="00D972EF">
        <w:rPr>
          <w:lang w:val="fr-FR"/>
        </w:rPr>
        <w:t>Conformément au numéro 7.1 de ce Tableau, aux fins de l'application de l'Article 4 de l'Accord, l'horaire normal de fonctionnement (UTC) de l'assignation de fréquence (corres</w:t>
      </w:r>
      <w:r w:rsidRPr="00D972EF">
        <w:rPr>
          <w:lang w:val="fr-FR"/>
        </w:rPr>
        <w:softHyphen/>
        <w:t xml:space="preserve">pondant au point 10B de l'Appendice </w:t>
      </w:r>
      <w:r w:rsidRPr="00D972EF">
        <w:rPr>
          <w:rStyle w:val="Appref"/>
          <w:b/>
          <w:color w:val="auto"/>
          <w:lang w:val="fr-FR"/>
        </w:rPr>
        <w:t>4</w:t>
      </w:r>
      <w:r w:rsidRPr="00D972EF">
        <w:rPr>
          <w:lang w:val="fr-FR"/>
        </w:rPr>
        <w:t xml:space="preserve"> du </w:t>
      </w:r>
      <w:r w:rsidRPr="00D972EF">
        <w:rPr>
          <w:bCs/>
          <w:lang w:val="fr-FR"/>
        </w:rPr>
        <w:t>RR</w:t>
      </w:r>
      <w:r w:rsidRPr="00D972EF">
        <w:rPr>
          <w:lang w:val="fr-FR"/>
        </w:rPr>
        <w:t>) est un renseignement obligatoire s'il a servi de base pour effectuer la coordination avec une autre administration (symbole «</w:t>
      </w:r>
      <w:proofErr w:type="gramStart"/>
      <w:r w:rsidRPr="00D972EF">
        <w:rPr>
          <w:lang w:val="fr-FR"/>
        </w:rPr>
        <w:t>C»</w:t>
      </w:r>
      <w:proofErr w:type="gramEnd"/>
      <w:r w:rsidRPr="00D972EF">
        <w:rPr>
          <w:lang w:val="fr-FR"/>
        </w:rPr>
        <w:t>). Par ailleurs, cet élément de données est indiqué comme étant obligatoire aux fins de l'application de l'Article 5 de l'Accord (symbole «</w:t>
      </w:r>
      <w:proofErr w:type="gramStart"/>
      <w:r w:rsidRPr="00D972EF">
        <w:rPr>
          <w:lang w:val="fr-FR"/>
        </w:rPr>
        <w:t>X»</w:t>
      </w:r>
      <w:proofErr w:type="gramEnd"/>
      <w:r w:rsidRPr="00D972EF">
        <w:rPr>
          <w:lang w:val="fr-FR"/>
        </w:rPr>
        <w:t xml:space="preserve">). Par conséquent, pour procéder aux examens au titre du § 5.2.2 de l'Accord, lorsque la communication de l'horaire normal de fonctionnement est </w:t>
      </w:r>
      <w:r w:rsidR="00193957">
        <w:rPr>
          <w:lang w:val="fr-FR"/>
        </w:rPr>
        <w:br/>
      </w:r>
    </w:p>
    <w:p w14:paraId="554880A9"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97CA6CA" w14:textId="77777777" w:rsidR="00141158" w:rsidRDefault="00141158" w:rsidP="00141158">
      <w:pPr>
        <w:rPr>
          <w:lang w:val="fr-FR"/>
        </w:rPr>
      </w:pPr>
      <w:proofErr w:type="gramStart"/>
      <w:r w:rsidRPr="00D972EF">
        <w:rPr>
          <w:lang w:val="fr-FR"/>
        </w:rPr>
        <w:lastRenderedPageBreak/>
        <w:t>obligatoire</w:t>
      </w:r>
      <w:proofErr w:type="gramEnd"/>
      <w:r w:rsidRPr="00D972EF">
        <w:rPr>
          <w:lang w:val="fr-FR"/>
        </w:rPr>
        <w:t>, le Bureau doit s'assurer que l'horaire de fonctionnement notifié est conforme à celui résultant de l'application de la procédure visée au § 4.2 de l'Accord. Compte tenu de ce qui précède, le Comité a conclu que l'élément de données</w:t>
      </w:r>
      <w:proofErr w:type="gramStart"/>
      <w:r w:rsidRPr="00D972EF">
        <w:rPr>
          <w:lang w:val="fr-FR"/>
        </w:rPr>
        <w:t xml:space="preserve"> </w:t>
      </w:r>
      <w:r w:rsidRPr="0094565F">
        <w:rPr>
          <w:i/>
          <w:iCs/>
          <w:lang w:val="fr-FR"/>
        </w:rPr>
        <w:t>«horaire</w:t>
      </w:r>
      <w:proofErr w:type="gramEnd"/>
      <w:r w:rsidRPr="0094565F">
        <w:rPr>
          <w:i/>
          <w:iCs/>
          <w:lang w:val="fr-FR"/>
        </w:rPr>
        <w:t xml:space="preserve"> normal de fonctionnement (UTC) de l'assignation de fréquence»</w:t>
      </w:r>
      <w:r w:rsidRPr="00D972EF">
        <w:rPr>
          <w:lang w:val="fr-FR"/>
        </w:rPr>
        <w:t xml:space="preserve"> devrait être considéré comme obligatoire dans le cas de toutes les soumissions au titre de l'Article 4 de l'Accord concernant des assignations à des stations d'autres services de Terre primaires.</w:t>
      </w:r>
    </w:p>
    <w:p w14:paraId="1E177398" w14:textId="77777777" w:rsidR="00141158" w:rsidRPr="00D972EF" w:rsidRDefault="00141158" w:rsidP="00D143E2">
      <w:pPr>
        <w:pStyle w:val="Heading8"/>
        <w:spacing w:before="0"/>
        <w:rPr>
          <w:lang w:val="fr-FR"/>
        </w:rPr>
      </w:pPr>
      <w:r w:rsidRPr="00D972EF">
        <w:rPr>
          <w:lang w:val="fr-FR"/>
        </w:rPr>
        <w:t>Annexe 4</w:t>
      </w:r>
    </w:p>
    <w:p w14:paraId="04BA4A64" w14:textId="77777777" w:rsidR="00141158" w:rsidRPr="00D972EF" w:rsidRDefault="00141158" w:rsidP="00141158">
      <w:pPr>
        <w:pStyle w:val="Heading2"/>
        <w:ind w:left="0" w:firstLine="0"/>
        <w:jc w:val="center"/>
        <w:rPr>
          <w:u w:val="single"/>
          <w:lang w:val="fr-FR"/>
        </w:rPr>
      </w:pPr>
      <w:r w:rsidRPr="00D972EF">
        <w:rPr>
          <w:lang w:val="fr-FR"/>
        </w:rPr>
        <w:t xml:space="preserve">Section </w:t>
      </w:r>
      <w:proofErr w:type="gramStart"/>
      <w:r w:rsidRPr="00D972EF">
        <w:rPr>
          <w:lang w:val="fr-FR"/>
        </w:rPr>
        <w:t>I:</w:t>
      </w:r>
      <w:proofErr w:type="gramEnd"/>
      <w:r w:rsidRPr="00D972EF">
        <w:rPr>
          <w:lang w:val="fr-FR"/>
        </w:rPr>
        <w:t xml:space="preserve"> Limites et méthode permettant de déterminer quand l'accord</w:t>
      </w:r>
      <w:r w:rsidRPr="00D972EF">
        <w:rPr>
          <w:lang w:val="fr-FR"/>
        </w:rPr>
        <w:br/>
        <w:t>d'une autre administration doit être obtenu</w:t>
      </w:r>
    </w:p>
    <w:p w14:paraId="79C48C55" w14:textId="77777777" w:rsidR="00141158" w:rsidRPr="00D972EF" w:rsidRDefault="00141158" w:rsidP="00141158">
      <w:pPr>
        <w:pStyle w:val="Heading9"/>
        <w:rPr>
          <w:lang w:val="fr-FR"/>
        </w:rPr>
      </w:pPr>
      <w:r w:rsidRPr="00D972EF">
        <w:rPr>
          <w:lang w:val="fr-FR"/>
        </w:rPr>
        <w:t>2.1</w:t>
      </w:r>
    </w:p>
    <w:p w14:paraId="044886F4" w14:textId="77777777" w:rsidR="00141158" w:rsidRPr="00D972EF" w:rsidRDefault="00141158" w:rsidP="00141158">
      <w:pPr>
        <w:rPr>
          <w:lang w:val="fr-FR"/>
        </w:rPr>
      </w:pPr>
      <w:r w:rsidRPr="00D972EF">
        <w:rPr>
          <w:lang w:val="fr-FR"/>
        </w:rPr>
        <w:t>A l'Étape 3 de cette Section, il est prévu que toute assignation d'un autre service primaire est sélectionnée pour examen, si elle appartient à une administration située dans le contour à 1</w:t>
      </w:r>
      <w:r w:rsidRPr="00D972EF">
        <w:rPr>
          <w:rFonts w:ascii="Tms Rmn" w:hAnsi="Tms Rmn"/>
          <w:sz w:val="12"/>
          <w:lang w:val="fr-FR"/>
        </w:rPr>
        <w:t> </w:t>
      </w:r>
      <w:r w:rsidRPr="00D972EF">
        <w:rPr>
          <w:lang w:val="fr-FR"/>
        </w:rPr>
        <w:t>000 km, pour autant qu'elle figure dans la Liste ou que la procédure de coordination de l'Article 4 de l'Accord GE06 ait déjà été engagée en vue de son inscription dans la Liste. Le Comité a conclu que le Bureau doit uniquement tenir compte des assignations de fréquence d'autres services primaires qui remplissent ces conditions et qui présentent un chevauchement de fréquences avec les assignations et/ou les allotissements de radiodiffusion pertinents (autrement dit la modification qu'il est proposé d'apporter au Plan).</w:t>
      </w:r>
    </w:p>
    <w:p w14:paraId="6D6DEBAC" w14:textId="77777777" w:rsidR="00141158" w:rsidRPr="00D972EF" w:rsidRDefault="00141158" w:rsidP="00141158">
      <w:pPr>
        <w:pStyle w:val="Heading9"/>
        <w:rPr>
          <w:lang w:val="fr-FR"/>
        </w:rPr>
      </w:pPr>
      <w:r w:rsidRPr="00D972EF">
        <w:rPr>
          <w:lang w:val="fr-FR"/>
        </w:rPr>
        <w:t>2.2</w:t>
      </w:r>
    </w:p>
    <w:p w14:paraId="2CF705B2" w14:textId="77777777" w:rsidR="00141158" w:rsidRPr="00D972EF" w:rsidRDefault="00141158" w:rsidP="00141158">
      <w:pPr>
        <w:rPr>
          <w:lang w:val="fr-FR"/>
        </w:rPr>
      </w:pPr>
      <w:r w:rsidRPr="00D972EF">
        <w:rPr>
          <w:lang w:val="fr-FR"/>
        </w:rPr>
        <w:t>Cette Section indique la méthode générale à utiliser pour tracer des contours de coordination en vue de l'application de la procédure de coordination visée au § 4.2 de l'Accord. Etant donné que les assignations de fréquence d'un autre service primaire se rapportent à des stations d'émission et à des stations de réception, cette méthode tient compte de l'incidence de la station d'émission exploitée dans l'autre service primaire sur le service de radiodiffusion et, inversement, de l'incidence probable du service de radiodiffusion sur les stations de réception exploitées dans l'autre service primaire. Par conséquent, cette Section dispose qu'il est nécessaire de tracer des contours de coordination distincts pour la même assignation, à savoir l'un pour les stations d'émission et l'autre pour les stations de réception. Elle dispose en outre que, pour l'identification des administrations affectées, il faut prendre en considération le plus grand des deux contours.</w:t>
      </w:r>
    </w:p>
    <w:p w14:paraId="1BA239D6" w14:textId="77777777" w:rsidR="00141158" w:rsidRPr="00D972EF" w:rsidRDefault="00141158" w:rsidP="00141158">
      <w:pPr>
        <w:rPr>
          <w:lang w:val="fr-FR"/>
        </w:rPr>
      </w:pPr>
      <w:r w:rsidRPr="00D972EF">
        <w:rPr>
          <w:lang w:val="fr-FR"/>
        </w:rPr>
        <w:t>Compte tenu de la variété des cas pouvant être couverts par des assignations d'autres services primaires, il se peut que, dans certaines situations, les contours de coordination respec</w:t>
      </w:r>
      <w:r w:rsidRPr="00D972EF">
        <w:rPr>
          <w:lang w:val="fr-FR"/>
        </w:rPr>
        <w:softHyphen/>
        <w:t>tivement tracés pour les stations d'émission et pour les stations de réception d'une même assignation ne se chevauchent pas ou se chevauchent seulement en partie. Par conséquent, le Comité a décidé que, dans les cas où les contours de coordination respectivement tracés pour les stations d'émission et pour les stations de réception d'une même assignation ne se che</w:t>
      </w:r>
      <w:r w:rsidRPr="00D972EF">
        <w:rPr>
          <w:lang w:val="fr-FR"/>
        </w:rPr>
        <w:softHyphen/>
        <w:t>vauchent pas ou se chevauchent seulement en partie, le résultat combiné de ces deux contours de coordination doit être pris en considération pour l'identification des administrations affectées.</w:t>
      </w:r>
    </w:p>
    <w:p w14:paraId="399174C0" w14:textId="77777777" w:rsidR="00141158" w:rsidRPr="00D972EF" w:rsidRDefault="00141158" w:rsidP="00141158">
      <w:pPr>
        <w:pStyle w:val="Heading9"/>
        <w:rPr>
          <w:lang w:val="fr-FR"/>
        </w:rPr>
      </w:pPr>
      <w:r w:rsidRPr="00D972EF">
        <w:rPr>
          <w:lang w:val="fr-FR"/>
        </w:rPr>
        <w:lastRenderedPageBreak/>
        <w:t>5.1.2</w:t>
      </w:r>
    </w:p>
    <w:p w14:paraId="1C38B175" w14:textId="5CA71B6D" w:rsidR="00141158" w:rsidRPr="00D972EF" w:rsidRDefault="00141158" w:rsidP="003E6AAE">
      <w:pPr>
        <w:rPr>
          <w:lang w:val="fr-FR"/>
        </w:rPr>
      </w:pPr>
      <w:r w:rsidRPr="00D972EF">
        <w:rPr>
          <w:lang w:val="fr-FR"/>
        </w:rPr>
        <w:t>Cette Section indique que les Tableaux A.1.2 à A.1.8 de l'Appendice 1 de cette Section contiennent les valeurs seuil du champ déclenchant la coordination à appliquer pour la protection d'autres services de Terre primaires, dans le cadre de l'application de la procédure de l'Article 4 de l'Accord GE06 (tracé des contours de coordination). Toutefois, les § A.2 à A.4 de l'Appendice 1 de la Section I, dans lesquels figurent les Tableaux A.1.2 à A.1.8, ne fournissent aucune indication sur les valeurs seuil à utiliser pour la protection d'autres services de Terre primaires vis-à-vis des assignations de télévision analogique. Or, ces valeurs sont</w:t>
      </w:r>
      <w:r w:rsidR="003E6AAE">
        <w:rPr>
          <w:lang w:val="fr-FR"/>
        </w:rPr>
        <w:t xml:space="preserve"> </w:t>
      </w:r>
      <w:r w:rsidRPr="00D972EF">
        <w:rPr>
          <w:lang w:val="fr-FR"/>
        </w:rPr>
        <w:t xml:space="preserve">nécessaires pour l'application de la procédure de l'Article 4 de l'Accord GE06 (voir les § 4.1.2.8 </w:t>
      </w:r>
      <w:r w:rsidRPr="00D972EF">
        <w:rPr>
          <w:i/>
          <w:iCs/>
          <w:lang w:val="fr-FR"/>
        </w:rPr>
        <w:t>a)</w:t>
      </w:r>
      <w:r w:rsidRPr="00D972EF">
        <w:rPr>
          <w:lang w:val="fr-FR"/>
        </w:rPr>
        <w:t xml:space="preserve"> et 4.1.2.3). Par conséquent, il convient d'effectuer les calculs requis au titre de l'application du § 4.1.2.8 </w:t>
      </w:r>
      <w:r w:rsidRPr="00D972EF">
        <w:rPr>
          <w:i/>
          <w:iCs/>
          <w:lang w:val="fr-FR"/>
        </w:rPr>
        <w:t>a)</w:t>
      </w:r>
      <w:r w:rsidRPr="00D972EF">
        <w:rPr>
          <w:lang w:val="fr-FR"/>
        </w:rPr>
        <w:t xml:space="preserve"> de l'Accord en utilisant les Recommandations UIT-R pertinentes et les indications qui y figurent, notamment les Recommandations UIT-R F.758</w:t>
      </w:r>
      <w:r w:rsidRPr="00D972EF">
        <w:rPr>
          <w:lang w:val="fr-FR"/>
        </w:rPr>
        <w:noBreakHyphen/>
      </w:r>
      <w:r w:rsidR="0091721E">
        <w:rPr>
          <w:lang w:val="fr-FR"/>
        </w:rPr>
        <w:t>7</w:t>
      </w:r>
      <w:r w:rsidRPr="00D972EF">
        <w:rPr>
          <w:lang w:val="fr-FR"/>
        </w:rPr>
        <w:t>, UIT</w:t>
      </w:r>
      <w:r w:rsidRPr="00D972EF">
        <w:rPr>
          <w:lang w:val="fr-FR"/>
        </w:rPr>
        <w:noBreakHyphen/>
        <w:t>R F.759</w:t>
      </w:r>
      <w:r w:rsidR="00004E95">
        <w:rPr>
          <w:rStyle w:val="FootnoteReference"/>
          <w:lang w:val="fr-FR"/>
        </w:rPr>
        <w:footnoteReference w:customMarkFollows="1" w:id="2"/>
        <w:t>*</w:t>
      </w:r>
      <w:r w:rsidRPr="00D972EF">
        <w:rPr>
          <w:lang w:val="fr-FR"/>
        </w:rPr>
        <w:t xml:space="preserve"> et UIT-R SM.851-1. Etant donné que la Recommandation UIT-R F.758</w:t>
      </w:r>
      <w:r w:rsidRPr="00D972EF">
        <w:rPr>
          <w:lang w:val="fr-FR"/>
        </w:rPr>
        <w:noBreakHyphen/>
      </w:r>
      <w:r w:rsidR="0091721E">
        <w:rPr>
          <w:lang w:val="fr-FR"/>
        </w:rPr>
        <w:t>7</w:t>
      </w:r>
      <w:r w:rsidRPr="00D972EF">
        <w:rPr>
          <w:lang w:val="fr-FR"/>
        </w:rPr>
        <w:t xml:space="preserve"> ne comporte pas d'informations relatives aux systèmes analogiques exploités dans le service fixe et compte tenu des indications qui y figurent, le Comité a conclu qu'il fallait utiliser la version de la Recommandation UIT-R F.758-2 dans le cas de systèmes analogiques exploités dans le service fixe. Pour les cas traités dans aucune Recommandation UIT-R, le Comité a conclu qu'il fallait effectuer les calculs à l'aide des valeurs seuil applicables à la radiodiffusion DVB</w:t>
      </w:r>
      <w:r w:rsidRPr="00D972EF">
        <w:rPr>
          <w:lang w:val="fr-FR"/>
        </w:rPr>
        <w:noBreakHyphen/>
        <w:t>T conjointement avec la méthode de calcul des valeurs relatives des rapports de protection pour la télévision analogique décrite dans la Recommandation UIT-R SM.851</w:t>
      </w:r>
      <w:r w:rsidRPr="00D972EF">
        <w:rPr>
          <w:lang w:val="fr-FR"/>
        </w:rPr>
        <w:noBreakHyphen/>
        <w:t>1.</w:t>
      </w:r>
    </w:p>
    <w:p w14:paraId="45FCA8D3" w14:textId="77777777" w:rsidR="00141158" w:rsidRPr="00D972EF" w:rsidRDefault="00141158" w:rsidP="00141158">
      <w:pPr>
        <w:rPr>
          <w:lang w:val="fr-FR"/>
        </w:rPr>
      </w:pPr>
      <w:r w:rsidRPr="00D972EF">
        <w:rPr>
          <w:lang w:val="fr-FR"/>
        </w:rPr>
        <w:t>Par conséquent, il convient de calculer les valeurs seuil à utiliser pour la protection d'autres services de Terre primaires vis</w:t>
      </w:r>
      <w:r w:rsidRPr="00D972EF">
        <w:rPr>
          <w:lang w:val="fr-FR"/>
        </w:rPr>
        <w:noBreakHyphen/>
        <w:t>à</w:t>
      </w:r>
      <w:r w:rsidRPr="00D972EF">
        <w:rPr>
          <w:lang w:val="fr-FR"/>
        </w:rPr>
        <w:noBreakHyphen/>
        <w:t xml:space="preserve">vis des assignations de télévision analogiques, dans les cas qui ne sont traités dans aucune Recommandation UIT-R, à l'aide de la formule </w:t>
      </w:r>
      <w:proofErr w:type="gramStart"/>
      <w:r w:rsidRPr="00D972EF">
        <w:rPr>
          <w:lang w:val="fr-FR"/>
        </w:rPr>
        <w:t>suivante:</w:t>
      </w:r>
      <w:proofErr w:type="gramEnd"/>
    </w:p>
    <w:p w14:paraId="08E57FE5" w14:textId="77777777" w:rsidR="00141158" w:rsidRPr="0085136E" w:rsidRDefault="00141158" w:rsidP="00141158">
      <w:pPr>
        <w:pStyle w:val="Equation"/>
        <w:jc w:val="center"/>
        <w:rPr>
          <w:rFonts w:eastAsia="SimSun"/>
          <w:lang w:val="en-US" w:eastAsia="zh-CN"/>
        </w:rPr>
      </w:pPr>
      <w:r w:rsidRPr="0085136E">
        <w:rPr>
          <w:rFonts w:eastAsia="SimSun"/>
          <w:i/>
          <w:szCs w:val="24"/>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w:t>
      </w:r>
      <w:proofErr w:type="gramStart"/>
      <w:r w:rsidRPr="0085136E">
        <w:rPr>
          <w:rFonts w:eastAsia="SimSun"/>
          <w:i/>
          <w:szCs w:val="24"/>
          <w:lang w:val="en-US" w:eastAsia="zh-CN"/>
        </w:rPr>
        <w:t>ATV</w:t>
      </w:r>
      <w:r w:rsidRPr="0085136E">
        <w:rPr>
          <w:rFonts w:eastAsia="SimSun"/>
          <w:lang w:val="en-US" w:eastAsia="zh-CN"/>
        </w:rPr>
        <w:t xml:space="preserve">  =</w:t>
      </w:r>
      <w:proofErr w:type="gramEnd"/>
      <w:r w:rsidRPr="0085136E">
        <w:rPr>
          <w:rFonts w:eastAsia="SimSun"/>
          <w:lang w:val="en-US" w:eastAsia="zh-CN"/>
        </w:rPr>
        <w:t xml:space="preserve">  </w:t>
      </w:r>
      <w:r w:rsidRPr="0085136E">
        <w:rPr>
          <w:rFonts w:eastAsia="SimSun"/>
          <w:i/>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w:t>
      </w:r>
      <w:r w:rsidRPr="0085136E">
        <w:rPr>
          <w:rFonts w:eastAsia="SimSun"/>
          <w:i/>
          <w:szCs w:val="24"/>
          <w:vertAlign w:val="subscript"/>
          <w:lang w:val="en-US" w:eastAsia="zh-CN"/>
        </w:rPr>
        <w:t>DVB-T</w:t>
      </w:r>
      <w:r w:rsidRPr="0085136E">
        <w:rPr>
          <w:rFonts w:eastAsia="SimSun"/>
          <w:szCs w:val="24"/>
          <w:lang w:val="en-US" w:eastAsia="zh-CN"/>
        </w:rPr>
        <w:t xml:space="preserve">  </w:t>
      </w:r>
      <w:r w:rsidRPr="0085136E">
        <w:rPr>
          <w:rFonts w:eastAsia="SimSun"/>
          <w:lang w:val="en-US" w:eastAsia="zh-CN"/>
        </w:rPr>
        <w:t xml:space="preserve">–  </w:t>
      </w:r>
      <w:r w:rsidRPr="0085136E">
        <w:rPr>
          <w:rFonts w:eastAsia="SimSun"/>
          <w:i/>
          <w:lang w:val="en-US" w:eastAsia="zh-CN"/>
        </w:rPr>
        <w:t>RPR</w:t>
      </w:r>
    </w:p>
    <w:p w14:paraId="6768347A" w14:textId="77777777" w:rsidR="00141158" w:rsidRPr="00D972EF" w:rsidRDefault="00141158" w:rsidP="00141158">
      <w:pPr>
        <w:rPr>
          <w:rFonts w:eastAsia="SimSun"/>
          <w:lang w:val="fr-FR" w:eastAsia="zh-CN"/>
        </w:rPr>
      </w:pPr>
      <w:proofErr w:type="gramStart"/>
      <w:r w:rsidRPr="00D972EF">
        <w:rPr>
          <w:rFonts w:eastAsia="SimSun"/>
          <w:lang w:val="fr-FR" w:eastAsia="zh-CN"/>
        </w:rPr>
        <w:t>où:</w:t>
      </w:r>
      <w:proofErr w:type="gramEnd"/>
    </w:p>
    <w:p w14:paraId="23B226AE" w14:textId="77777777"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ATV</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analogique</w:t>
      </w:r>
    </w:p>
    <w:p w14:paraId="0482AC71" w14:textId="77777777"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DVB-T</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numérique</w:t>
      </w:r>
    </w:p>
    <w:p w14:paraId="241E2C9D" w14:textId="77777777" w:rsidR="00141158" w:rsidRPr="00D972EF" w:rsidRDefault="00141158" w:rsidP="00141158">
      <w:pPr>
        <w:pStyle w:val="EquationLegend"/>
        <w:tabs>
          <w:tab w:val="clear" w:pos="1871"/>
          <w:tab w:val="clear" w:pos="2268"/>
          <w:tab w:val="left" w:pos="2552"/>
        </w:tabs>
        <w:ind w:left="2552" w:hanging="1418"/>
        <w:rPr>
          <w:lang w:val="fr-FR"/>
        </w:rPr>
      </w:pPr>
      <w:r w:rsidRPr="00D972EF">
        <w:rPr>
          <w:rFonts w:eastAsia="SimSun"/>
          <w:i/>
          <w:lang w:val="fr-FR" w:eastAsia="zh-CN"/>
        </w:rPr>
        <w:t>RPR</w:t>
      </w:r>
      <w:r w:rsidRPr="00D972EF">
        <w:rPr>
          <w:rFonts w:eastAsia="SimSun"/>
          <w:sz w:val="12"/>
          <w:szCs w:val="12"/>
          <w:lang w:val="fr-FR" w:eastAsia="zh-CN"/>
        </w:rPr>
        <w:t xml:space="preserve"> </w:t>
      </w:r>
      <w:r w:rsidRPr="00D972EF">
        <w:rPr>
          <w:rFonts w:eastAsia="SimSun"/>
          <w:lang w:val="fr-FR" w:eastAsia="zh-CN"/>
        </w:rPr>
        <w:t>:</w:t>
      </w:r>
      <w:r w:rsidRPr="00D972EF">
        <w:rPr>
          <w:rFonts w:eastAsia="SimSun"/>
          <w:lang w:val="fr-FR" w:eastAsia="zh-CN"/>
        </w:rPr>
        <w:tab/>
        <w:t xml:space="preserve">valeur relative du rapport de protection conformément à la </w:t>
      </w:r>
      <w:r w:rsidRPr="00D972EF">
        <w:rPr>
          <w:lang w:val="fr-FR"/>
        </w:rPr>
        <w:t>Recom</w:t>
      </w:r>
      <w:r w:rsidRPr="00D972EF">
        <w:rPr>
          <w:lang w:val="fr-FR"/>
        </w:rPr>
        <w:softHyphen/>
        <w:t>mandation UIT-R SM.851</w:t>
      </w:r>
      <w:r w:rsidRPr="00D972EF">
        <w:rPr>
          <w:lang w:val="fr-FR"/>
        </w:rPr>
        <w:noBreakHyphen/>
        <w:t>1.</w:t>
      </w:r>
    </w:p>
    <w:p w14:paraId="34A25A67" w14:textId="77777777" w:rsidR="00141158" w:rsidRPr="00D972EF" w:rsidRDefault="00141158" w:rsidP="00141158">
      <w:pPr>
        <w:pStyle w:val="Heading9"/>
        <w:rPr>
          <w:lang w:val="fr-FR"/>
        </w:rPr>
      </w:pPr>
      <w:r w:rsidRPr="00D972EF">
        <w:rPr>
          <w:lang w:val="fr-FR"/>
        </w:rPr>
        <w:t>5.2.2</w:t>
      </w:r>
    </w:p>
    <w:p w14:paraId="5372F350" w14:textId="77777777" w:rsidR="00141158" w:rsidRPr="00D972EF" w:rsidRDefault="00141158" w:rsidP="00141158">
      <w:pPr>
        <w:rPr>
          <w:lang w:val="fr-FR"/>
        </w:rPr>
      </w:pPr>
      <w:r w:rsidRPr="00D972EF">
        <w:rPr>
          <w:lang w:val="fr-FR"/>
        </w:rPr>
        <w:t>1)</w:t>
      </w:r>
      <w:r w:rsidRPr="00D972EF">
        <w:rPr>
          <w:lang w:val="fr-FR"/>
        </w:rPr>
        <w:tab/>
        <w:t>Afin d'effectuer les calculs visés par cette disposition, le Bureau considérera que la station de radiodiffusion de référence mentionnée dans ladite disposition (d’une puissance rayonnée maximale de 53 dBW, une hauteur équivalente maximale de l'antenne de 600 m et une polarisation mixte) fonctionne dans un système DVB-T avec une largeur de bande de 8 MHz dans la bande d’ondes décimétriques et avec une largeur de bande de 7 MHz dans la bande d'ondes métriques.</w:t>
      </w:r>
    </w:p>
    <w:p w14:paraId="7BED325B" w14:textId="77777777" w:rsidR="00C76D27" w:rsidRDefault="00C76D2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5B1B548" w14:textId="77777777" w:rsidR="00141158" w:rsidRPr="00D972EF" w:rsidRDefault="00141158" w:rsidP="00141158">
      <w:pPr>
        <w:rPr>
          <w:lang w:val="fr-FR"/>
        </w:rPr>
      </w:pPr>
      <w:r w:rsidRPr="00D972EF">
        <w:rPr>
          <w:lang w:val="fr-FR"/>
        </w:rPr>
        <w:lastRenderedPageBreak/>
        <w:t>2)</w:t>
      </w:r>
      <w:r w:rsidRPr="00D972EF">
        <w:rPr>
          <w:lang w:val="fr-FR"/>
        </w:rPr>
        <w:tab/>
        <w:t>La distance de coordination maximale pour les récepteurs d'aéronefs doit être fixée à 420 km (calculée comme contour géométrique autour de la zone de service de la station aéronautique de réception), indépendamment des indications données dans cette dispo</w:t>
      </w:r>
      <w:r w:rsidRPr="00D972EF">
        <w:rPr>
          <w:lang w:val="fr-FR"/>
        </w:rPr>
        <w:softHyphen/>
        <w:t>sition, compte tenu des indications figurant dans d'autres dispositions pertinentes (notamment les dispositions 5.1.2 et 5.2.1 de la Section I de l'Annexe 4).</w:t>
      </w:r>
    </w:p>
    <w:p w14:paraId="1D847E79" w14:textId="77777777" w:rsidR="00141158" w:rsidRPr="00D972EF" w:rsidRDefault="00141158" w:rsidP="00141158">
      <w:pPr>
        <w:rPr>
          <w:lang w:val="fr-FR"/>
        </w:rPr>
      </w:pPr>
      <w:r w:rsidRPr="00D972EF">
        <w:rPr>
          <w:lang w:val="fr-FR"/>
        </w:rPr>
        <w:t>3)</w:t>
      </w:r>
      <w:r w:rsidRPr="00D972EF">
        <w:rPr>
          <w:lang w:val="fr-FR"/>
        </w:rPr>
        <w:tab/>
        <w:t>Compte tenu de la formulation du § 4.5 qui indique les hypothèses de base à utiliser pour tracer les contours de coordination dans le cas de stations du service mobile (</w:t>
      </w:r>
      <w:proofErr w:type="gramStart"/>
      <w:r w:rsidRPr="00D972EF">
        <w:rPr>
          <w:lang w:val="fr-FR"/>
        </w:rPr>
        <w:t>sauf  mobile</w:t>
      </w:r>
      <w:proofErr w:type="gramEnd"/>
      <w:r w:rsidRPr="00D972EF">
        <w:rPr>
          <w:lang w:val="fr-FR"/>
        </w:rPr>
        <w:t xml:space="preserve"> aéronautique), le RRB a chargé le Bureau d'appliquer la méthode suivante pour tracer  le contour de coordination d'une station de réception du service mobile (sauf mobile aéronautique):</w:t>
      </w:r>
    </w:p>
    <w:p w14:paraId="7EF4B056" w14:textId="77777777" w:rsidR="00141158" w:rsidRDefault="00141158" w:rsidP="00141158">
      <w:pPr>
        <w:pStyle w:val="enumlev1"/>
        <w:tabs>
          <w:tab w:val="clear" w:pos="1134"/>
          <w:tab w:val="clear" w:pos="1871"/>
          <w:tab w:val="clear" w:pos="2608"/>
          <w:tab w:val="clear" w:pos="3345"/>
          <w:tab w:val="left" w:pos="794"/>
        </w:tabs>
        <w:ind w:left="794" w:hanging="794"/>
        <w:rPr>
          <w:lang w:val="fr-FR"/>
        </w:rPr>
      </w:pPr>
      <w:r w:rsidRPr="00D972EF">
        <w:rPr>
          <w:lang w:val="fr-FR"/>
        </w:rPr>
        <w:t>a)</w:t>
      </w:r>
      <w:r w:rsidRPr="00D972EF">
        <w:rPr>
          <w:lang w:val="fr-FR"/>
        </w:rPr>
        <w:tab/>
        <w:t>Déterminer le centre de gravité de la zone de service spécifiée.</w:t>
      </w:r>
    </w:p>
    <w:p w14:paraId="0C1DBEEB"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b)</w:t>
      </w:r>
      <w:r w:rsidRPr="00D972EF">
        <w:rPr>
          <w:lang w:val="fr-FR"/>
        </w:rPr>
        <w:tab/>
        <w:t xml:space="preserve">Déterminer les 360 points à la limite de la zone de service spécifiée </w:t>
      </w:r>
      <w:proofErr w:type="gramStart"/>
      <w:r w:rsidRPr="0094565F">
        <w:rPr>
          <w:i/>
          <w:iCs/>
          <w:lang w:val="fr-FR"/>
        </w:rPr>
        <w:t>(«points</w:t>
      </w:r>
      <w:proofErr w:type="gramEnd"/>
      <w:r w:rsidRPr="0094565F">
        <w:rPr>
          <w:i/>
          <w:iCs/>
          <w:lang w:val="fr-FR"/>
        </w:rPr>
        <w:t xml:space="preserve"> limites»)</w:t>
      </w:r>
      <w:r w:rsidRPr="00D972EF">
        <w:rPr>
          <w:lang w:val="fr-FR"/>
        </w:rPr>
        <w:t xml:space="preserve"> auxquels le champ rayonné par la station de radiodiffusion de référence est évalué. Ces points limites sont déterminés comme étant les points d'intersection entre la limite de la zone de service et les 360 rayons partant du centre de gravité de la zone de service spécifiée</w:t>
      </w:r>
      <w:r w:rsidRPr="00D972EF">
        <w:rPr>
          <w:rStyle w:val="FootnoteReference"/>
          <w:sz w:val="20"/>
          <w:lang w:val="fr-FR"/>
        </w:rPr>
        <w:footnoteReference w:customMarkFollows="1" w:id="3"/>
        <w:t>1</w:t>
      </w:r>
      <w:r w:rsidRPr="00D972EF">
        <w:rPr>
          <w:lang w:val="fr-FR"/>
        </w:rPr>
        <w:t>. Lorsqu'il y a plusieurs intersections entre un rayon donné et la zone de service, le</w:t>
      </w:r>
      <w:proofErr w:type="gramStart"/>
      <w:r w:rsidRPr="00D972EF">
        <w:rPr>
          <w:lang w:val="fr-FR"/>
        </w:rPr>
        <w:t xml:space="preserve"> </w:t>
      </w:r>
      <w:r w:rsidRPr="0094565F">
        <w:rPr>
          <w:i/>
          <w:iCs/>
          <w:lang w:val="fr-FR"/>
        </w:rPr>
        <w:t>«point</w:t>
      </w:r>
      <w:proofErr w:type="gramEnd"/>
      <w:r w:rsidRPr="0094565F">
        <w:rPr>
          <w:i/>
          <w:iCs/>
          <w:lang w:val="fr-FR"/>
        </w:rPr>
        <w:t xml:space="preserve"> limite»</w:t>
      </w:r>
      <w:r w:rsidRPr="00D972EF">
        <w:rPr>
          <w:lang w:val="fr-FR"/>
        </w:rPr>
        <w:t xml:space="preserve"> sera le point d'intersection le plus éloigné du centre de gravité.</w:t>
      </w:r>
    </w:p>
    <w:p w14:paraId="6C31F198"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c)</w:t>
      </w:r>
      <w:r w:rsidRPr="00D972EF">
        <w:rPr>
          <w:lang w:val="fr-FR"/>
        </w:rPr>
        <w:tab/>
        <w:t>Déterminer les 360 points sur le contour géométrique de 1</w:t>
      </w:r>
      <w:r w:rsidRPr="00D972EF">
        <w:rPr>
          <w:rFonts w:ascii="Tms Rmn" w:hAnsi="Tms Rmn"/>
          <w:sz w:val="12"/>
          <w:lang w:val="fr-FR"/>
        </w:rPr>
        <w:t> </w:t>
      </w:r>
      <w:r w:rsidRPr="00D972EF">
        <w:rPr>
          <w:lang w:val="fr-FR"/>
        </w:rPr>
        <w:t xml:space="preserve">000 km </w:t>
      </w:r>
      <w:proofErr w:type="gramStart"/>
      <w:r w:rsidRPr="0094565F">
        <w:rPr>
          <w:i/>
          <w:iCs/>
          <w:lang w:val="fr-FR"/>
        </w:rPr>
        <w:t>(«points</w:t>
      </w:r>
      <w:proofErr w:type="gramEnd"/>
      <w:r w:rsidRPr="0094565F">
        <w:rPr>
          <w:i/>
          <w:iCs/>
          <w:lang w:val="fr-FR"/>
        </w:rPr>
        <w:t xml:space="preserve"> initiaux de l'émetteur de référence»)</w:t>
      </w:r>
      <w:r w:rsidRPr="00D972EF">
        <w:rPr>
          <w:lang w:val="fr-FR"/>
        </w:rPr>
        <w:t xml:space="preserve"> auxquels la station de radiodiffusion de référence est initialement placée. Ces points sont déterminés comme étant les points d'intersection entre le contour géométrique de 1</w:t>
      </w:r>
      <w:r w:rsidRPr="00D972EF">
        <w:rPr>
          <w:rFonts w:ascii="Tms Rmn" w:hAnsi="Tms Rmn"/>
          <w:sz w:val="12"/>
          <w:lang w:val="fr-FR"/>
        </w:rPr>
        <w:t> </w:t>
      </w:r>
      <w:r w:rsidRPr="00D972EF">
        <w:rPr>
          <w:lang w:val="fr-FR"/>
        </w:rPr>
        <w:t xml:space="preserve">000 km autour de la zone de service spécifiée et les 360 rayons partant du centre de gravité de la zone de service spécifiée. </w:t>
      </w:r>
    </w:p>
    <w:p w14:paraId="530E4536"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d)</w:t>
      </w:r>
      <w:r w:rsidRPr="00D972EF">
        <w:rPr>
          <w:lang w:val="fr-FR"/>
        </w:rPr>
        <w:tab/>
        <w:t xml:space="preserve">Déterminer la distance de coordination pour chaque rayon de la façon </w:t>
      </w:r>
      <w:proofErr w:type="gramStart"/>
      <w:r w:rsidRPr="00D972EF">
        <w:rPr>
          <w:lang w:val="fr-FR"/>
        </w:rPr>
        <w:t>suivante:</w:t>
      </w:r>
      <w:proofErr w:type="gramEnd"/>
    </w:p>
    <w:p w14:paraId="6581FF28" w14:textId="77777777" w:rsidR="00141158" w:rsidRPr="00D972EF" w:rsidRDefault="00141158" w:rsidP="00B407CD">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1)</w:t>
      </w:r>
      <w:r w:rsidRPr="00D972EF">
        <w:rPr>
          <w:lang w:val="fr-FR"/>
        </w:rPr>
        <w:tab/>
        <w:t xml:space="preserve">placer l'émetteur de radiodiffusion de référence au point initial de l'émetteur de référence pour ce rayon et calculer à tous les points limites le champ rayonné depuis cet </w:t>
      </w:r>
      <w:proofErr w:type="gramStart"/>
      <w:r w:rsidRPr="00D972EF">
        <w:rPr>
          <w:lang w:val="fr-FR"/>
        </w:rPr>
        <w:t>emplacement;</w:t>
      </w:r>
      <w:proofErr w:type="gramEnd"/>
    </w:p>
    <w:p w14:paraId="472699DE"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2)</w:t>
      </w:r>
      <w:r w:rsidRPr="00D972EF">
        <w:rPr>
          <w:lang w:val="fr-FR"/>
        </w:rPr>
        <w:tab/>
        <w:t>si le champ rayonné par la station de radiodiffusion de référence est égal ou supérieur à la valeur seuil du champ mesurée en l'un quelconque des</w:t>
      </w:r>
      <w:proofErr w:type="gramStart"/>
      <w:r w:rsidRPr="00D972EF">
        <w:rPr>
          <w:lang w:val="fr-FR"/>
        </w:rPr>
        <w:t xml:space="preserve"> </w:t>
      </w:r>
      <w:r w:rsidRPr="0094565F">
        <w:rPr>
          <w:i/>
          <w:iCs/>
          <w:lang w:val="fr-FR"/>
        </w:rPr>
        <w:t>«points</w:t>
      </w:r>
      <w:proofErr w:type="gramEnd"/>
      <w:r w:rsidRPr="0094565F">
        <w:rPr>
          <w:i/>
          <w:iCs/>
          <w:lang w:val="fr-FR"/>
        </w:rPr>
        <w:t xml:space="preserve"> limites»</w:t>
      </w:r>
      <w:r w:rsidRPr="00D972EF">
        <w:rPr>
          <w:lang w:val="fr-FR"/>
        </w:rPr>
        <w:t>, le point initial de l'émetteur de référence détermine la distance de coordination pour ce rayon;</w:t>
      </w:r>
    </w:p>
    <w:p w14:paraId="2EE9A88D"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pPr>
    </w:p>
    <w:p w14:paraId="54F3E6F6"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sectPr w:rsidR="00A94BC9" w:rsidSect="002422C4">
          <w:headerReference w:type="even" r:id="rId10"/>
          <w:headerReference w:type="default" r:id="rId11"/>
          <w:headerReference w:type="first" r:id="rId12"/>
          <w:footnotePr>
            <w:pos w:val="beneathText"/>
          </w:footnotePr>
          <w:pgSz w:w="11907" w:h="16840" w:code="9"/>
          <w:pgMar w:top="1701" w:right="851" w:bottom="1134" w:left="1985" w:header="720" w:footer="482" w:gutter="0"/>
          <w:pgNumType w:start="1"/>
          <w:cols w:space="720"/>
          <w:vAlign w:val="both"/>
          <w:titlePg/>
        </w:sectPr>
      </w:pPr>
    </w:p>
    <w:p w14:paraId="2BF05EFC"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lastRenderedPageBreak/>
        <w:tab/>
        <w:t>3)</w:t>
      </w:r>
      <w:r w:rsidRPr="00D972EF">
        <w:rPr>
          <w:lang w:val="fr-FR"/>
        </w:rPr>
        <w:tab/>
        <w:t>si le champ rayonné par la station de radiodiffusion de référence est inférieur à la valeur seuil du champ mesurée à tous les</w:t>
      </w:r>
      <w:proofErr w:type="gramStart"/>
      <w:r w:rsidRPr="00D972EF">
        <w:rPr>
          <w:lang w:val="fr-FR"/>
        </w:rPr>
        <w:t xml:space="preserve"> </w:t>
      </w:r>
      <w:r w:rsidRPr="0094565F">
        <w:rPr>
          <w:i/>
          <w:iCs/>
          <w:lang w:val="fr-FR"/>
        </w:rPr>
        <w:t>«points</w:t>
      </w:r>
      <w:proofErr w:type="gramEnd"/>
      <w:r w:rsidRPr="0094565F">
        <w:rPr>
          <w:i/>
          <w:iCs/>
          <w:lang w:val="fr-FR"/>
        </w:rPr>
        <w:t xml:space="preserve"> limites»</w:t>
      </w:r>
      <w:r w:rsidRPr="00D972EF">
        <w:rPr>
          <w:lang w:val="fr-FR"/>
        </w:rPr>
        <w:t>, la station de radio</w:t>
      </w:r>
      <w:r w:rsidRPr="00D972EF">
        <w:rPr>
          <w:lang w:val="fr-FR"/>
        </w:rPr>
        <w:softHyphen/>
        <w:t xml:space="preserve">diffusion de référence est alors déplacée, par pas de 10 km, le long du rayon vers le centre de gravité de la zone de service jusqu'à ce que le champ rayonné depuis ce nouvel emplacement soit égal ou supérieur à la valeur seuil du champ mesurée en l'un quelconque des </w:t>
      </w:r>
      <w:r w:rsidRPr="0094565F">
        <w:rPr>
          <w:i/>
          <w:iCs/>
          <w:lang w:val="fr-FR"/>
        </w:rPr>
        <w:t>«points limites»</w:t>
      </w:r>
      <w:r w:rsidRPr="00D972EF">
        <w:rPr>
          <w:lang w:val="fr-FR"/>
        </w:rPr>
        <w:t>. L'emplacement de la station de radiodiffusion de référence à partir duquel la station produit un champ égal ou supérieur à la valeur seuil du champ mesurée en l'un quelconque des</w:t>
      </w:r>
      <w:proofErr w:type="gramStart"/>
      <w:r w:rsidRPr="00D972EF">
        <w:rPr>
          <w:lang w:val="fr-FR"/>
        </w:rPr>
        <w:t xml:space="preserve"> </w:t>
      </w:r>
      <w:r w:rsidRPr="0094565F">
        <w:rPr>
          <w:i/>
          <w:iCs/>
          <w:lang w:val="fr-FR"/>
        </w:rPr>
        <w:t>«points</w:t>
      </w:r>
      <w:proofErr w:type="gramEnd"/>
      <w:r w:rsidRPr="0094565F">
        <w:rPr>
          <w:i/>
          <w:iCs/>
          <w:lang w:val="fr-FR"/>
        </w:rPr>
        <w:t xml:space="preserve"> limites»</w:t>
      </w:r>
      <w:r w:rsidRPr="00D972EF">
        <w:rPr>
          <w:lang w:val="fr-FR"/>
        </w:rPr>
        <w:t>, détermine la distance de coordination pour ce rayon.</w:t>
      </w:r>
    </w:p>
    <w:p w14:paraId="3F78A770" w14:textId="77777777" w:rsidR="00141158" w:rsidRPr="00D972EF" w:rsidRDefault="00141158" w:rsidP="00141158">
      <w:pPr>
        <w:rPr>
          <w:lang w:val="fr-FR"/>
        </w:rPr>
      </w:pPr>
      <w:r w:rsidRPr="00D972EF">
        <w:rPr>
          <w:lang w:val="fr-FR"/>
        </w:rPr>
        <w:t>4)</w:t>
      </w:r>
      <w:r w:rsidRPr="00D972EF">
        <w:rPr>
          <w:lang w:val="fr-FR"/>
        </w:rPr>
        <w:tab/>
        <w:t>Dans le cas d'une station de réception embarquée du service mobile aéronautique ou du service de radionavigation aéronautique, le Bureau utilisera la même méthode que celle décrite au § 3 ci</w:t>
      </w:r>
      <w:r w:rsidRPr="00D972EF">
        <w:rPr>
          <w:lang w:val="fr-FR"/>
        </w:rPr>
        <w:noBreakHyphen/>
        <w:t>dessus et remplacera le contour géométrique de 1</w:t>
      </w:r>
      <w:r w:rsidRPr="00D972EF">
        <w:rPr>
          <w:rFonts w:ascii="Tms Rmn" w:hAnsi="Tms Rmn"/>
          <w:sz w:val="12"/>
          <w:lang w:val="fr-FR"/>
        </w:rPr>
        <w:t> </w:t>
      </w:r>
      <w:r w:rsidRPr="00D972EF">
        <w:rPr>
          <w:lang w:val="fr-FR"/>
        </w:rPr>
        <w:t>000 km par un contour géométrique de 420 km, conformément au § 2 ci</w:t>
      </w:r>
      <w:r w:rsidRPr="00D972EF">
        <w:rPr>
          <w:lang w:val="fr-FR"/>
        </w:rPr>
        <w:noBreakHyphen/>
        <w:t>dessus.</w:t>
      </w:r>
    </w:p>
    <w:p w14:paraId="5D2AC363" w14:textId="77777777" w:rsidR="00A94BC9" w:rsidRPr="00752B17" w:rsidRDefault="00A94BC9" w:rsidP="00A94BC9">
      <w:pPr>
        <w:pStyle w:val="Heading2"/>
        <w:jc w:val="center"/>
        <w:rPr>
          <w:lang w:val="fr-CH"/>
        </w:rPr>
      </w:pPr>
      <w:r w:rsidRPr="00752B17">
        <w:rPr>
          <w:lang w:val="fr-CH"/>
        </w:rPr>
        <w:t>Appendice 1 à la Section I</w:t>
      </w:r>
    </w:p>
    <w:p w14:paraId="4C9688E7" w14:textId="77777777" w:rsidR="00A94BC9" w:rsidRPr="00752B17" w:rsidRDefault="00A94BC9" w:rsidP="00A94BC9">
      <w:pPr>
        <w:pStyle w:val="Heading1"/>
        <w:rPr>
          <w:lang w:val="fr-CH"/>
        </w:rPr>
      </w:pPr>
      <w:r w:rsidRPr="00752B17">
        <w:rPr>
          <w:lang w:val="fr-CH"/>
        </w:rPr>
        <w:t>A</w:t>
      </w:r>
      <w:r w:rsidRPr="00752B17">
        <w:rPr>
          <w:lang w:val="fr-CH"/>
        </w:rPr>
        <w:tab/>
        <w:t>Valeurs seuil du champ déclenchant la coordination pour la protection du service de radiodiffusion et d'autres services primaires vis</w:t>
      </w:r>
      <w:r w:rsidRPr="00752B17">
        <w:rPr>
          <w:lang w:val="fr-CH"/>
        </w:rPr>
        <w:noBreakHyphen/>
        <w:t>à</w:t>
      </w:r>
      <w:r w:rsidRPr="00752B17">
        <w:rPr>
          <w:lang w:val="fr-CH"/>
        </w:rPr>
        <w:noBreakHyphen/>
        <w:t xml:space="preserve">vis d'une </w:t>
      </w:r>
      <w:r w:rsidRPr="00DD4462">
        <w:rPr>
          <w:lang w:val="fr-CH"/>
        </w:rPr>
        <w:t>modification</w:t>
      </w:r>
      <w:r w:rsidRPr="00752B17">
        <w:rPr>
          <w:lang w:val="fr-CH"/>
        </w:rPr>
        <w:t xml:space="preserve"> du Plan</w:t>
      </w:r>
    </w:p>
    <w:p w14:paraId="460EDAE3" w14:textId="77777777" w:rsidR="00A94BC9" w:rsidRPr="00752B17" w:rsidRDefault="00A94BC9" w:rsidP="00A94BC9">
      <w:pPr>
        <w:pStyle w:val="Heading2"/>
        <w:rPr>
          <w:lang w:val="fr-CH"/>
        </w:rPr>
      </w:pPr>
      <w:r w:rsidRPr="00752B17">
        <w:rPr>
          <w:lang w:val="fr-CH"/>
        </w:rPr>
        <w:t>A.2</w:t>
      </w:r>
      <w:r w:rsidRPr="00752B17">
        <w:rPr>
          <w:lang w:val="fr-CH"/>
        </w:rPr>
        <w:tab/>
        <w:t>Valeurs seuil du champ déclenchant la coordination pour protéger le service mobile dans les bandes 174</w:t>
      </w:r>
      <w:r w:rsidRPr="00752B17">
        <w:rPr>
          <w:lang w:val="fr-CH"/>
        </w:rPr>
        <w:noBreakHyphen/>
        <w:t>230 MHz et 470</w:t>
      </w:r>
      <w:r w:rsidRPr="00752B17">
        <w:rPr>
          <w:lang w:val="fr-CH"/>
        </w:rPr>
        <w:noBreakHyphen/>
        <w:t>862 MHz</w:t>
      </w:r>
    </w:p>
    <w:p w14:paraId="42F00F8E" w14:textId="57FE5D27" w:rsidR="00A94BC9" w:rsidRPr="00752B17" w:rsidRDefault="00A94BC9" w:rsidP="0094565F">
      <w:pPr>
        <w:rPr>
          <w:lang w:val="fr-CH"/>
        </w:rPr>
      </w:pPr>
      <w:bookmarkStart w:id="0" w:name="OLE_LINK2"/>
      <w:r w:rsidRPr="00752B17">
        <w:rPr>
          <w:lang w:val="fr-CH"/>
        </w:rPr>
        <w:t>Le Tableau A.1.3</w:t>
      </w:r>
      <w:bookmarkEnd w:id="0"/>
      <w:r w:rsidRPr="00752B17">
        <w:rPr>
          <w:lang w:val="fr-CH"/>
        </w:rPr>
        <w:t xml:space="preserve"> de la présente section contient les codes de type de système applicables aux systèmes du service mobile et les valeurs seuil correspondantes du champ déclenchant la coordination à appliquer pour la protection vis-à-vis de la radiodiffusion DVB-T. Ces valeurs seuil de déclenchement de la coordination ne peuvent être appliquées aux stations IMT-2000 et IMT évoluées, étant donné que les systèmes spécifiques énumérés dans le tableau n'appartiennent pas à la</w:t>
      </w:r>
      <w:proofErr w:type="gramStart"/>
      <w:r w:rsidRPr="00752B17">
        <w:rPr>
          <w:lang w:val="fr-CH"/>
        </w:rPr>
        <w:t xml:space="preserve"> «famille</w:t>
      </w:r>
      <w:proofErr w:type="gramEnd"/>
      <w:r w:rsidRPr="00752B17">
        <w:rPr>
          <w:lang w:val="fr-CH"/>
        </w:rPr>
        <w:t>» de normes IMT. Quant au code générique</w:t>
      </w:r>
      <w:proofErr w:type="gramStart"/>
      <w:r w:rsidRPr="00752B17">
        <w:rPr>
          <w:lang w:val="fr-CH"/>
        </w:rPr>
        <w:t xml:space="preserve"> «NB</w:t>
      </w:r>
      <w:proofErr w:type="gramEnd"/>
      <w:r w:rsidRPr="00752B17">
        <w:rPr>
          <w:lang w:val="fr-CH"/>
        </w:rPr>
        <w:t>» figurant dans le tableau, il ne peut être utilisé pour les systèmes IMT, conformément aux Résolutions</w:t>
      </w:r>
      <w:r w:rsidR="00B76795">
        <w:rPr>
          <w:lang w:val="fr-CH"/>
        </w:rPr>
        <w:t> </w:t>
      </w:r>
      <w:r w:rsidRPr="00752B17">
        <w:rPr>
          <w:b/>
          <w:bCs/>
          <w:lang w:val="fr-CH"/>
        </w:rPr>
        <w:t>749</w:t>
      </w:r>
      <w:r w:rsidR="00B76795">
        <w:rPr>
          <w:lang w:val="fr-CH"/>
        </w:rPr>
        <w:t> </w:t>
      </w:r>
      <w:r w:rsidRPr="00752B17">
        <w:rPr>
          <w:b/>
          <w:bCs/>
          <w:lang w:val="fr-CH"/>
        </w:rPr>
        <w:t>(Rév.CMR-</w:t>
      </w:r>
      <w:r w:rsidR="00BF18B4">
        <w:rPr>
          <w:b/>
          <w:bCs/>
          <w:lang w:val="fr-CH"/>
        </w:rPr>
        <w:t>23</w:t>
      </w:r>
      <w:r w:rsidRPr="00752B17">
        <w:rPr>
          <w:b/>
          <w:bCs/>
          <w:lang w:val="fr-CH"/>
        </w:rPr>
        <w:t>)</w:t>
      </w:r>
      <w:r w:rsidRPr="00752B17">
        <w:rPr>
          <w:lang w:val="fr-CH"/>
        </w:rPr>
        <w:t xml:space="preserve"> et </w:t>
      </w:r>
      <w:r w:rsidRPr="00752B17">
        <w:rPr>
          <w:b/>
          <w:bCs/>
          <w:lang w:val="fr-CH"/>
        </w:rPr>
        <w:t>760 (</w:t>
      </w:r>
      <w:r w:rsidR="0094565F" w:rsidRPr="0094565F">
        <w:rPr>
          <w:b/>
          <w:bCs/>
          <w:lang w:val="fr-CH"/>
        </w:rPr>
        <w:t>Rév.CMR-</w:t>
      </w:r>
      <w:r w:rsidR="00BF18B4">
        <w:rPr>
          <w:b/>
          <w:bCs/>
          <w:lang w:val="fr-CH"/>
        </w:rPr>
        <w:t>23</w:t>
      </w:r>
      <w:r w:rsidRPr="00752B17">
        <w:rPr>
          <w:b/>
          <w:bCs/>
          <w:lang w:val="fr-CH"/>
        </w:rPr>
        <w:t>)</w:t>
      </w:r>
      <w:r w:rsidRPr="00752B17">
        <w:rPr>
          <w:lang w:val="fr-CH"/>
        </w:rPr>
        <w:t>.</w:t>
      </w:r>
      <w:r w:rsidR="00BF18B4">
        <w:rPr>
          <w:rFonts w:asciiTheme="majorBidi" w:hAnsiTheme="majorBidi" w:cstheme="majorBidi"/>
          <w:b/>
          <w:color w:val="000000"/>
          <w:szCs w:val="22"/>
        </w:rPr>
        <w:tab/>
      </w:r>
      <w:r w:rsidR="00BF18B4">
        <w:rPr>
          <w:rFonts w:asciiTheme="majorBidi" w:hAnsiTheme="majorBidi" w:cstheme="majorBidi"/>
          <w:b/>
          <w:color w:val="000000"/>
          <w:szCs w:val="22"/>
        </w:rPr>
        <w:tab/>
      </w:r>
      <w:r w:rsidR="00BF18B4" w:rsidRPr="00A90E29">
        <w:rPr>
          <w:sz w:val="16"/>
          <w:szCs w:val="16"/>
        </w:rPr>
        <w:t>(</w:t>
      </w:r>
      <w:r w:rsidR="00BF18B4">
        <w:rPr>
          <w:sz w:val="16"/>
          <w:szCs w:val="16"/>
        </w:rPr>
        <w:t>MO</w:t>
      </w:r>
      <w:r w:rsidR="00BF18B4" w:rsidRPr="00A90E29">
        <w:rPr>
          <w:sz w:val="16"/>
          <w:szCs w:val="16"/>
        </w:rPr>
        <w:t>D RRB2</w:t>
      </w:r>
      <w:r w:rsidR="00BF18B4">
        <w:rPr>
          <w:sz w:val="16"/>
          <w:szCs w:val="16"/>
        </w:rPr>
        <w:t>4</w:t>
      </w:r>
      <w:r w:rsidR="00BF18B4" w:rsidRPr="00A90E29">
        <w:rPr>
          <w:sz w:val="16"/>
          <w:szCs w:val="16"/>
        </w:rPr>
        <w:t>/</w:t>
      </w:r>
      <w:r w:rsidR="00BF18B4">
        <w:rPr>
          <w:sz w:val="16"/>
          <w:szCs w:val="16"/>
        </w:rPr>
        <w:t>510</w:t>
      </w:r>
      <w:r w:rsidR="00BF18B4" w:rsidRPr="00A90E29">
        <w:rPr>
          <w:sz w:val="16"/>
          <w:szCs w:val="16"/>
        </w:rPr>
        <w:t>)</w:t>
      </w:r>
    </w:p>
    <w:p w14:paraId="0E91934E" w14:textId="77777777" w:rsidR="00A94BC9" w:rsidRPr="00752B17" w:rsidRDefault="00A94BC9" w:rsidP="00A94BC9">
      <w:pPr>
        <w:rPr>
          <w:lang w:val="fr-CH"/>
        </w:rPr>
      </w:pPr>
      <w:r w:rsidRPr="00752B17">
        <w:rPr>
          <w:lang w:val="fr-CH"/>
        </w:rPr>
        <w:t xml:space="preserve">Compte tenu de ce qui précède, le Comité a décidé que les administrations, lorsqu'elles soumettent des assignations de fréquence à des stations de systèmes </w:t>
      </w:r>
      <w:bookmarkStart w:id="1" w:name="OLE_LINK1"/>
      <w:r w:rsidRPr="00752B17">
        <w:rPr>
          <w:lang w:val="fr-CH"/>
        </w:rPr>
        <w:t>IMT-2000 et IMT évoluées</w:t>
      </w:r>
      <w:bookmarkEnd w:id="1"/>
      <w:r w:rsidRPr="00752B17">
        <w:rPr>
          <w:lang w:val="fr-CH"/>
        </w:rPr>
        <w:t xml:space="preserve"> dans la bande 470-862 MHz aux fins de l'application de la procédure de coordination prévue dans l'Accord GE06 et de la notification pour inscription dans le Fichier de référence, devront utiliser le code de type de système</w:t>
      </w:r>
      <w:proofErr w:type="gramStart"/>
      <w:r w:rsidRPr="00752B17">
        <w:rPr>
          <w:lang w:val="fr-CH"/>
        </w:rPr>
        <w:t xml:space="preserve"> «ND</w:t>
      </w:r>
      <w:proofErr w:type="gramEnd"/>
      <w:r w:rsidRPr="00752B17">
        <w:rPr>
          <w:lang w:val="fr-CH"/>
        </w:rPr>
        <w:t>».</w:t>
      </w:r>
    </w:p>
    <w:p w14:paraId="01CCCD37" w14:textId="77777777" w:rsidR="00A94BC9" w:rsidRPr="00752B17" w:rsidRDefault="00A94BC9" w:rsidP="00A94BC9">
      <w:pPr>
        <w:rPr>
          <w:rFonts w:eastAsia="SimSun"/>
          <w:lang w:val="fr-CH" w:eastAsia="zh-CN"/>
        </w:rPr>
      </w:pPr>
      <w:r w:rsidRPr="00752B17">
        <w:rPr>
          <w:lang w:val="fr-CH"/>
        </w:rPr>
        <w:t xml:space="preserve">Le Bureau calcule les valeurs seuil du champ déclenchant la coordination correspondant à ce code au moyen des caractéristiques techniques notifiées et la formule (2) donnée dans la Recommandation UIT-R M. 1767-0 de la façon </w:t>
      </w:r>
      <w:proofErr w:type="gramStart"/>
      <w:r w:rsidRPr="00752B17">
        <w:rPr>
          <w:lang w:val="fr-CH"/>
        </w:rPr>
        <w:t>suivante:</w:t>
      </w:r>
      <w:proofErr w:type="gramEnd"/>
    </w:p>
    <w:p w14:paraId="28E95B19" w14:textId="77777777" w:rsidR="00A94BC9" w:rsidRPr="00752B17" w:rsidRDefault="00A94BC9" w:rsidP="00A94BC9">
      <w:pPr>
        <w:overflowPunct/>
        <w:autoSpaceDE/>
        <w:autoSpaceDN/>
        <w:adjustRightInd/>
        <w:spacing w:after="120"/>
        <w:jc w:val="center"/>
        <w:textAlignment w:val="auto"/>
        <w:rPr>
          <w:rFonts w:asciiTheme="minorHAnsi" w:eastAsia="SimSun" w:hAnsiTheme="minorHAnsi" w:cstheme="minorHAnsi"/>
          <w:i/>
          <w:iCs/>
          <w:lang w:val="fr-CH" w:eastAsia="zh-CN"/>
        </w:rPr>
      </w:pPr>
      <w:r w:rsidRPr="00752B17">
        <w:rPr>
          <w:rFonts w:asciiTheme="minorHAnsi" w:eastAsia="SimSun" w:hAnsiTheme="minorHAnsi" w:cstheme="minorHAnsi"/>
          <w:position w:val="-14"/>
          <w:lang w:val="fr-CH" w:eastAsia="zh-CN"/>
        </w:rPr>
        <w:object w:dxaOrig="5620" w:dyaOrig="380" w14:anchorId="132E1199">
          <v:shape id="_x0000_i1027" type="#_x0000_t75" style="width:296.9pt;height:16.85pt" o:ole="">
            <v:imagedata r:id="rId13" o:title=""/>
          </v:shape>
          <o:OLEObject Type="Embed" ProgID="Equation.3" ShapeID="_x0000_i1027" DrawAspect="Content" ObjectID="_1794806313" r:id="rId14"/>
        </w:object>
      </w:r>
      <w:r w:rsidRPr="00752B17">
        <w:rPr>
          <w:rFonts w:asciiTheme="minorHAnsi" w:eastAsia="SimSun" w:hAnsiTheme="minorHAnsi" w:cstheme="minorHAnsi"/>
          <w:i/>
          <w:iCs/>
          <w:lang w:val="fr-CH" w:eastAsia="zh-CN"/>
        </w:rPr>
        <w:t xml:space="preserve">- </w:t>
      </w:r>
      <w:r w:rsidRPr="00752B17">
        <w:rPr>
          <w:rFonts w:asciiTheme="minorHAnsi" w:eastAsia="SimSun" w:hAnsiTheme="minorHAnsi" w:cstheme="minorHAnsi"/>
          <w:i/>
          <w:iCs/>
          <w:szCs w:val="24"/>
          <w:lang w:val="fr-CH" w:eastAsia="zh-CN"/>
        </w:rPr>
        <w:t xml:space="preserve">K </w:t>
      </w:r>
    </w:p>
    <w:p w14:paraId="1B5896B1" w14:textId="77777777" w:rsidR="00EE70FE" w:rsidRDefault="00EE70FE" w:rsidP="00EE70FE">
      <w:pPr>
        <w:rPr>
          <w:lang w:val="fr-CH"/>
        </w:rPr>
      </w:pPr>
      <w:r>
        <w:rPr>
          <w:lang w:val="fr-CH"/>
        </w:rPr>
        <w:br w:type="page"/>
      </w:r>
    </w:p>
    <w:p w14:paraId="3099CF28" w14:textId="77777777" w:rsidR="00A94BC9" w:rsidRPr="00752B17" w:rsidRDefault="00A94BC9" w:rsidP="00EE70FE">
      <w:pPr>
        <w:rPr>
          <w:lang w:val="fr-CH"/>
        </w:rPr>
      </w:pPr>
      <w:proofErr w:type="gramStart"/>
      <w:r w:rsidRPr="00752B17">
        <w:rPr>
          <w:lang w:val="fr-CH"/>
        </w:rPr>
        <w:lastRenderedPageBreak/>
        <w:t>où:</w:t>
      </w:r>
      <w:proofErr w:type="gramEnd"/>
    </w:p>
    <w:p w14:paraId="17ACF69E" w14:textId="77777777" w:rsidR="00A94BC9" w:rsidRPr="00752B17" w:rsidRDefault="00A94BC9" w:rsidP="00EE70FE">
      <w:pPr>
        <w:pStyle w:val="enumlev2"/>
        <w:rPr>
          <w:lang w:val="fr-CH"/>
        </w:rPr>
      </w:pPr>
      <w:proofErr w:type="gramStart"/>
      <w:r w:rsidRPr="00EE70FE">
        <w:rPr>
          <w:i/>
          <w:iCs/>
          <w:lang w:val="fr-CH"/>
        </w:rPr>
        <w:t>F</w:t>
      </w:r>
      <w:r w:rsidRPr="00752B17">
        <w:rPr>
          <w:lang w:val="fr-CH"/>
        </w:rPr>
        <w:t>:</w:t>
      </w:r>
      <w:proofErr w:type="gramEnd"/>
      <w:r w:rsidRPr="00752B17">
        <w:rPr>
          <w:lang w:val="fr-CH"/>
        </w:rPr>
        <w:tab/>
        <w:t xml:space="preserve">facteur de bruit du récepteur (récepteur de la station de base ou de la station mobile du service mobile) (dB) </w:t>
      </w:r>
    </w:p>
    <w:p w14:paraId="617DD101" w14:textId="77777777" w:rsidR="00A94BC9" w:rsidRPr="00752B17" w:rsidRDefault="00A94BC9" w:rsidP="00EE70FE">
      <w:pPr>
        <w:pStyle w:val="enumlev2"/>
        <w:rPr>
          <w:lang w:val="fr-CH"/>
        </w:rPr>
      </w:pPr>
      <w:proofErr w:type="gramStart"/>
      <w:r w:rsidRPr="00EE70FE">
        <w:rPr>
          <w:i/>
          <w:iCs/>
          <w:lang w:val="fr-CH"/>
        </w:rPr>
        <w:t>B</w:t>
      </w:r>
      <w:r w:rsidRPr="00EE70FE">
        <w:rPr>
          <w:i/>
          <w:iCs/>
          <w:vertAlign w:val="subscript"/>
          <w:lang w:val="fr-CH"/>
        </w:rPr>
        <w:t>i</w:t>
      </w:r>
      <w:r w:rsidRPr="00752B17">
        <w:rPr>
          <w:lang w:val="fr-CH"/>
        </w:rPr>
        <w:t>:</w:t>
      </w:r>
      <w:proofErr w:type="gramEnd"/>
      <w:r w:rsidRPr="00752B17">
        <w:rPr>
          <w:lang w:val="fr-CH"/>
        </w:rPr>
        <w:tab/>
        <w:t xml:space="preserve">largeur de bande de la station de radiodiffusion de Terre (MHz) </w:t>
      </w:r>
    </w:p>
    <w:p w14:paraId="32C809C0" w14:textId="77777777" w:rsidR="00A94BC9" w:rsidRPr="00752B17" w:rsidRDefault="00A94BC9" w:rsidP="00EE70FE">
      <w:pPr>
        <w:pStyle w:val="enumlev2"/>
        <w:rPr>
          <w:lang w:val="fr-CH"/>
        </w:rPr>
      </w:pPr>
      <w:proofErr w:type="gramStart"/>
      <w:r w:rsidRPr="00EE70FE">
        <w:rPr>
          <w:i/>
          <w:iCs/>
          <w:lang w:val="fr-CH"/>
        </w:rPr>
        <w:t>G</w:t>
      </w:r>
      <w:r w:rsidRPr="00EE70FE">
        <w:rPr>
          <w:i/>
          <w:iCs/>
          <w:vertAlign w:val="subscript"/>
          <w:lang w:val="fr-CH"/>
        </w:rPr>
        <w:t>i</w:t>
      </w:r>
      <w:r w:rsidRPr="00752B17">
        <w:rPr>
          <w:lang w:val="fr-CH"/>
        </w:rPr>
        <w:t>:</w:t>
      </w:r>
      <w:proofErr w:type="gramEnd"/>
      <w:r w:rsidRPr="00752B17">
        <w:rPr>
          <w:lang w:val="fr-CH"/>
        </w:rPr>
        <w:tab/>
        <w:t>gain d'antenne du récepteur de la station du service mobile (dBi)</w:t>
      </w:r>
    </w:p>
    <w:p w14:paraId="3F2AE44A" w14:textId="77777777" w:rsidR="00A94BC9" w:rsidRPr="00752B17" w:rsidRDefault="00A94BC9" w:rsidP="00EE70FE">
      <w:pPr>
        <w:pStyle w:val="enumlev2"/>
        <w:rPr>
          <w:lang w:val="fr-CH"/>
        </w:rPr>
      </w:pPr>
      <w:proofErr w:type="gramStart"/>
      <w:r w:rsidRPr="00EE70FE">
        <w:rPr>
          <w:i/>
          <w:iCs/>
          <w:lang w:val="fr-CH"/>
        </w:rPr>
        <w:t>L</w:t>
      </w:r>
      <w:r w:rsidRPr="00EE70FE">
        <w:rPr>
          <w:i/>
          <w:iCs/>
          <w:vertAlign w:val="subscript"/>
          <w:lang w:val="fr-CH"/>
        </w:rPr>
        <w:t>F</w:t>
      </w:r>
      <w:r w:rsidRPr="00752B17">
        <w:rPr>
          <w:lang w:val="fr-CH"/>
        </w:rPr>
        <w:t>:</w:t>
      </w:r>
      <w:proofErr w:type="gramEnd"/>
      <w:r w:rsidRPr="00752B17">
        <w:rPr>
          <w:lang w:val="fr-CH"/>
        </w:rPr>
        <w:tab/>
        <w:t>affaiblissement du câble de l'antenne (dB)</w:t>
      </w:r>
    </w:p>
    <w:p w14:paraId="6B84C70B" w14:textId="77777777" w:rsidR="00A94BC9" w:rsidRPr="00752B17" w:rsidRDefault="00A94BC9" w:rsidP="00EE70FE">
      <w:pPr>
        <w:pStyle w:val="enumlev2"/>
        <w:rPr>
          <w:lang w:val="fr-CH"/>
        </w:rPr>
      </w:pPr>
      <w:proofErr w:type="gramStart"/>
      <w:r w:rsidRPr="00EE70FE">
        <w:rPr>
          <w:i/>
          <w:iCs/>
          <w:lang w:val="fr-CH"/>
        </w:rPr>
        <w:t>f</w:t>
      </w:r>
      <w:r w:rsidRPr="00752B17">
        <w:rPr>
          <w:lang w:val="fr-CH"/>
        </w:rPr>
        <w:t>:</w:t>
      </w:r>
      <w:proofErr w:type="gramEnd"/>
      <w:r w:rsidRPr="00752B17">
        <w:rPr>
          <w:lang w:val="fr-CH"/>
        </w:rPr>
        <w:tab/>
        <w:t xml:space="preserve">fréquence centrale de la station brouilleuse (MHz) </w:t>
      </w:r>
    </w:p>
    <w:p w14:paraId="5FD4DADE" w14:textId="77777777" w:rsidR="00A94BC9" w:rsidRPr="00752B17" w:rsidRDefault="00A94BC9" w:rsidP="00EE70FE">
      <w:pPr>
        <w:pStyle w:val="enumlev2"/>
        <w:rPr>
          <w:lang w:val="fr-CH"/>
        </w:rPr>
      </w:pPr>
      <w:proofErr w:type="gramStart"/>
      <w:r w:rsidRPr="00EE70FE">
        <w:rPr>
          <w:i/>
          <w:iCs/>
          <w:lang w:val="fr-CH"/>
        </w:rPr>
        <w:t>P</w:t>
      </w:r>
      <w:r w:rsidRPr="00EE70FE">
        <w:rPr>
          <w:i/>
          <w:iCs/>
          <w:vertAlign w:val="subscript"/>
          <w:lang w:val="fr-CH"/>
        </w:rPr>
        <w:t>o</w:t>
      </w:r>
      <w:r w:rsidRPr="00752B17">
        <w:rPr>
          <w:lang w:val="fr-CH"/>
        </w:rPr>
        <w:t>:</w:t>
      </w:r>
      <w:proofErr w:type="gramEnd"/>
      <w:r w:rsidRPr="00752B17">
        <w:rPr>
          <w:lang w:val="fr-CH"/>
        </w:rPr>
        <w:tab/>
        <w:t>bruit artificiel (dB) (la valeur type est de 0 dB pour la bande des ondes décimétriques)</w:t>
      </w:r>
    </w:p>
    <w:p w14:paraId="03DD69D1" w14:textId="77777777" w:rsidR="00A94BC9" w:rsidRPr="00752B17" w:rsidRDefault="00A94BC9" w:rsidP="00EE70FE">
      <w:pPr>
        <w:pStyle w:val="enumlev2"/>
        <w:rPr>
          <w:lang w:val="fr-CH"/>
        </w:rPr>
      </w:pPr>
      <w:r w:rsidRPr="00EE70FE">
        <w:rPr>
          <w:i/>
          <w:iCs/>
          <w:lang w:val="fr-CH"/>
        </w:rPr>
        <w:t>I</w:t>
      </w:r>
      <w:r w:rsidRPr="00752B17">
        <w:rPr>
          <w:lang w:val="fr-CH"/>
        </w:rPr>
        <w:t>/</w:t>
      </w:r>
      <w:proofErr w:type="gramStart"/>
      <w:r w:rsidRPr="00EE70FE">
        <w:rPr>
          <w:i/>
          <w:iCs/>
          <w:lang w:val="fr-CH"/>
        </w:rPr>
        <w:t>N</w:t>
      </w:r>
      <w:r w:rsidRPr="00752B17">
        <w:rPr>
          <w:lang w:val="fr-CH"/>
        </w:rPr>
        <w:t>:</w:t>
      </w:r>
      <w:proofErr w:type="gramEnd"/>
      <w:r w:rsidRPr="00752B17">
        <w:rPr>
          <w:lang w:val="fr-CH"/>
        </w:rPr>
        <w:tab/>
        <w:t>rapport brouillage/bruit</w:t>
      </w:r>
    </w:p>
    <w:p w14:paraId="6031315E" w14:textId="77777777" w:rsidR="00A94BC9" w:rsidRPr="00752B17" w:rsidRDefault="00A94BC9" w:rsidP="00EE70FE">
      <w:pPr>
        <w:pStyle w:val="enumlev2"/>
        <w:rPr>
          <w:lang w:val="fr-CH"/>
        </w:rPr>
      </w:pPr>
      <w:proofErr w:type="gramStart"/>
      <w:r w:rsidRPr="00EE70FE">
        <w:rPr>
          <w:i/>
          <w:iCs/>
          <w:lang w:val="fr-CH"/>
        </w:rPr>
        <w:t>K</w:t>
      </w:r>
      <w:r w:rsidRPr="00752B17">
        <w:rPr>
          <w:lang w:val="fr-CH"/>
        </w:rPr>
        <w:t>:</w:t>
      </w:r>
      <w:proofErr w:type="gramEnd"/>
      <w:r w:rsidRPr="00752B17">
        <w:rPr>
          <w:lang w:val="fr-CH"/>
        </w:rPr>
        <w:tab/>
        <w:t>facteur de correction du chevauchement, calculé comme indiqué dans la Pièce jointe à l'Appendice 4.2 de l'Accord GE06 (Tableaux AT.4.2-4 et AT.4.2-5), où la largeur de bande de chevauchement est calculée comme suit:</w:t>
      </w:r>
    </w:p>
    <w:p w14:paraId="5A3FD710" w14:textId="77777777" w:rsidR="00A94BC9" w:rsidRPr="00752B17" w:rsidRDefault="00A94BC9" w:rsidP="00EE70FE">
      <w:pPr>
        <w:jc w:val="center"/>
        <w:rPr>
          <w:lang w:val="fr-CH"/>
        </w:rPr>
      </w:pPr>
      <w:r w:rsidRPr="00752B17">
        <w:rPr>
          <w:i/>
          <w:iCs/>
          <w:lang w:val="fr-CH"/>
        </w:rPr>
        <w:t xml:space="preserve">Bo </w:t>
      </w:r>
      <w:r w:rsidRPr="00752B17">
        <w:rPr>
          <w:lang w:val="fr-CH"/>
        </w:rPr>
        <w:t>= Min (</w:t>
      </w:r>
      <w:r w:rsidRPr="00752B17">
        <w:rPr>
          <w:i/>
          <w:iCs/>
          <w:lang w:val="fr-CH"/>
        </w:rPr>
        <w:t>Bi, Bv</w:t>
      </w:r>
      <w:r w:rsidRPr="00752B17">
        <w:rPr>
          <w:lang w:val="fr-CH"/>
        </w:rPr>
        <w:t>, (</w:t>
      </w:r>
      <w:r w:rsidRPr="00752B17">
        <w:rPr>
          <w:i/>
          <w:iCs/>
          <w:lang w:val="fr-CH"/>
        </w:rPr>
        <w:t xml:space="preserve">Bv </w:t>
      </w:r>
      <w:r w:rsidRPr="00752B17">
        <w:rPr>
          <w:lang w:val="fr-CH"/>
        </w:rPr>
        <w:t xml:space="preserve">+ </w:t>
      </w:r>
      <w:proofErr w:type="gramStart"/>
      <w:r w:rsidRPr="00752B17">
        <w:rPr>
          <w:i/>
          <w:iCs/>
          <w:lang w:val="fr-CH"/>
        </w:rPr>
        <w:t>Bi</w:t>
      </w:r>
      <w:r w:rsidRPr="00752B17">
        <w:rPr>
          <w:lang w:val="fr-CH"/>
        </w:rPr>
        <w:t>)/</w:t>
      </w:r>
      <w:proofErr w:type="gramEnd"/>
      <w:r w:rsidRPr="00752B17">
        <w:rPr>
          <w:lang w:val="fr-CH"/>
        </w:rPr>
        <w:t xml:space="preserve">2 – </w:t>
      </w:r>
      <w:r w:rsidRPr="00752B17">
        <w:rPr>
          <w:lang w:val="fr-CH"/>
        </w:rPr>
        <w:sym w:font="Symbol" w:char="F07C"/>
      </w:r>
      <w:r w:rsidRPr="00752B17">
        <w:rPr>
          <w:lang w:val="fr-CH"/>
        </w:rPr>
        <w:sym w:font="Symbol" w:char="F044"/>
      </w:r>
      <w:r w:rsidRPr="00752B17">
        <w:rPr>
          <w:i/>
          <w:iCs/>
          <w:lang w:val="fr-CH"/>
        </w:rPr>
        <w:t>f</w:t>
      </w:r>
      <w:r w:rsidRPr="00752B17">
        <w:rPr>
          <w:lang w:val="fr-CH"/>
        </w:rPr>
        <w:sym w:font="Symbol" w:char="F07C"/>
      </w:r>
      <w:r w:rsidRPr="00752B17">
        <w:rPr>
          <w:lang w:val="fr-CH"/>
        </w:rPr>
        <w:t>)</w:t>
      </w:r>
    </w:p>
    <w:p w14:paraId="5E2A5A93" w14:textId="77777777" w:rsidR="00A94BC9" w:rsidRPr="00752B17" w:rsidRDefault="00A94BC9" w:rsidP="00EE70FE">
      <w:pPr>
        <w:rPr>
          <w:lang w:val="fr-CH"/>
        </w:rPr>
      </w:pPr>
      <w:proofErr w:type="gramStart"/>
      <w:r w:rsidRPr="00752B17">
        <w:rPr>
          <w:lang w:val="fr-CH"/>
        </w:rPr>
        <w:t>où:</w:t>
      </w:r>
      <w:proofErr w:type="gramEnd"/>
    </w:p>
    <w:p w14:paraId="19E1AA79" w14:textId="77777777" w:rsidR="00A94BC9" w:rsidRPr="00752B17" w:rsidRDefault="00A94BC9" w:rsidP="00EE70FE">
      <w:pPr>
        <w:pStyle w:val="enumlev2"/>
        <w:rPr>
          <w:lang w:val="fr-CH"/>
        </w:rPr>
      </w:pPr>
      <w:proofErr w:type="gramStart"/>
      <w:r w:rsidRPr="00752B17">
        <w:rPr>
          <w:i/>
          <w:iCs/>
          <w:lang w:val="fr-CH"/>
        </w:rPr>
        <w:t>Bv</w:t>
      </w:r>
      <w:r w:rsidRPr="00752B17">
        <w:rPr>
          <w:lang w:val="fr-CH"/>
        </w:rPr>
        <w:t>:</w:t>
      </w:r>
      <w:proofErr w:type="gramEnd"/>
      <w:r w:rsidRPr="00752B17">
        <w:rPr>
          <w:lang w:val="fr-CH"/>
        </w:rPr>
        <w:tab/>
      </w:r>
      <w:r w:rsidRPr="00EE70FE">
        <w:rPr>
          <w:lang w:val="fr-CH"/>
        </w:rPr>
        <w:t>largeur</w:t>
      </w:r>
      <w:r w:rsidRPr="00752B17">
        <w:rPr>
          <w:lang w:val="fr-CH"/>
        </w:rPr>
        <w:t xml:space="preserve"> de bande de la station de réception du service mobile </w:t>
      </w:r>
    </w:p>
    <w:p w14:paraId="01559B1C" w14:textId="77777777" w:rsidR="00A94BC9" w:rsidRPr="00752B17" w:rsidRDefault="00A94BC9" w:rsidP="00EE70FE">
      <w:pPr>
        <w:pStyle w:val="enumlev2"/>
        <w:rPr>
          <w:lang w:val="fr-CH"/>
        </w:rPr>
      </w:pPr>
      <w:r w:rsidRPr="00752B17">
        <w:rPr>
          <w:lang w:val="fr-CH"/>
        </w:rPr>
        <w:sym w:font="Symbol" w:char="F044"/>
      </w:r>
      <w:proofErr w:type="gramStart"/>
      <w:r w:rsidRPr="00752B17">
        <w:rPr>
          <w:i/>
          <w:iCs/>
          <w:lang w:val="fr-CH"/>
        </w:rPr>
        <w:t>f</w:t>
      </w:r>
      <w:r w:rsidRPr="00752B17">
        <w:rPr>
          <w:lang w:val="fr-CH"/>
        </w:rPr>
        <w:t>:</w:t>
      </w:r>
      <w:proofErr w:type="gramEnd"/>
      <w:r w:rsidRPr="00752B17">
        <w:rPr>
          <w:lang w:val="fr-CH"/>
        </w:rPr>
        <w:tab/>
        <w:t xml:space="preserve">différence entre la fréquence centrale du système du service mobile et la fréquence centrale du signal brouilleur (DVB-T). </w:t>
      </w:r>
    </w:p>
    <w:p w14:paraId="4C2C28A9" w14:textId="77777777" w:rsidR="00A94BC9" w:rsidRPr="00752B17" w:rsidRDefault="00A94BC9" w:rsidP="00A94BC9">
      <w:pPr>
        <w:rPr>
          <w:rFonts w:eastAsia="SimSun"/>
          <w:lang w:val="fr-CH" w:eastAsia="zh-CN"/>
        </w:rPr>
      </w:pPr>
      <w:r w:rsidRPr="00752B17">
        <w:rPr>
          <w:lang w:val="fr-CH"/>
        </w:rPr>
        <w:t>Les paramètres à appliquer dans la formule sont énumérés ci-dessous. Ils sont tirés du Rapport UIT</w:t>
      </w:r>
      <w:r w:rsidRPr="00752B17">
        <w:rPr>
          <w:lang w:val="fr-CH"/>
        </w:rPr>
        <w:noBreakHyphen/>
        <w:t>R M.2039-3 pour les systèmes IMT-2000 et du Rapport UIT</w:t>
      </w:r>
      <w:r w:rsidRPr="00752B17">
        <w:rPr>
          <w:lang w:val="fr-CH"/>
        </w:rPr>
        <w:noBreakHyphen/>
        <w:t>R M.2292-0 pour les systèmes IMT évolués.</w:t>
      </w:r>
    </w:p>
    <w:tbl>
      <w:tblPr>
        <w:tblStyle w:val="TableGrid"/>
        <w:tblW w:w="0" w:type="auto"/>
        <w:jc w:val="center"/>
        <w:tblLook w:val="04A0" w:firstRow="1" w:lastRow="0" w:firstColumn="1" w:lastColumn="0" w:noHBand="0" w:noVBand="1"/>
      </w:tblPr>
      <w:tblGrid>
        <w:gridCol w:w="3539"/>
        <w:gridCol w:w="1985"/>
        <w:gridCol w:w="2551"/>
      </w:tblGrid>
      <w:tr w:rsidR="00A94BC9" w:rsidRPr="00B52F2C" w14:paraId="54E8C274" w14:textId="77777777" w:rsidTr="00EE70FE">
        <w:trPr>
          <w:jc w:val="center"/>
        </w:trPr>
        <w:tc>
          <w:tcPr>
            <w:tcW w:w="3539" w:type="dxa"/>
            <w:vAlign w:val="center"/>
          </w:tcPr>
          <w:p w14:paraId="5520AAAB" w14:textId="77777777" w:rsidR="00A94BC9" w:rsidRPr="00EE70FE" w:rsidRDefault="00A94BC9" w:rsidP="00EE70FE">
            <w:pPr>
              <w:pStyle w:val="Tablehead0"/>
              <w:framePr w:hSpace="181" w:wrap="notBeside" w:vAnchor="text" w:hAnchor="text" w:xAlign="center" w:y="1"/>
            </w:pPr>
            <w:r w:rsidRPr="00EE70FE">
              <w:t>Paramètres</w:t>
            </w:r>
          </w:p>
        </w:tc>
        <w:tc>
          <w:tcPr>
            <w:tcW w:w="1985" w:type="dxa"/>
            <w:vAlign w:val="center"/>
          </w:tcPr>
          <w:p w14:paraId="61404E2A" w14:textId="77777777" w:rsidR="00A94BC9" w:rsidRPr="00EE70FE" w:rsidRDefault="00A94BC9" w:rsidP="00EE70FE">
            <w:pPr>
              <w:pStyle w:val="Tablehead0"/>
              <w:framePr w:hSpace="181" w:wrap="notBeside" w:vAnchor="text" w:hAnchor="text" w:xAlign="center" w:y="1"/>
            </w:pPr>
            <w:r w:rsidRPr="00EE70FE">
              <w:t>Station de base de réception (ML)</w:t>
            </w:r>
          </w:p>
        </w:tc>
        <w:tc>
          <w:tcPr>
            <w:tcW w:w="2551" w:type="dxa"/>
          </w:tcPr>
          <w:p w14:paraId="7B039E9C" w14:textId="77777777" w:rsidR="00A94BC9" w:rsidRPr="00EE70FE" w:rsidRDefault="00A94BC9" w:rsidP="00EE70FE">
            <w:pPr>
              <w:pStyle w:val="Tablehead0"/>
              <w:framePr w:hSpace="181" w:wrap="notBeside" w:vAnchor="text" w:hAnchor="text" w:xAlign="center" w:y="1"/>
            </w:pPr>
            <w:r w:rsidRPr="00EE70FE">
              <w:t>Station mobile de réception (FB)</w:t>
            </w:r>
          </w:p>
        </w:tc>
      </w:tr>
      <w:tr w:rsidR="00A94BC9" w:rsidRPr="00752B17" w14:paraId="0221A204" w14:textId="77777777" w:rsidTr="00EE70FE">
        <w:trPr>
          <w:jc w:val="center"/>
        </w:trPr>
        <w:tc>
          <w:tcPr>
            <w:tcW w:w="3539" w:type="dxa"/>
          </w:tcPr>
          <w:p w14:paraId="0078B8AE" w14:textId="77777777" w:rsidR="00A94BC9" w:rsidRPr="00EE70FE" w:rsidRDefault="00A94BC9" w:rsidP="00EE70FE">
            <w:pPr>
              <w:pStyle w:val="Tabletext0"/>
              <w:framePr w:hSpace="181" w:wrap="notBeside" w:vAnchor="text" w:hAnchor="text" w:xAlign="center" w:y="1"/>
            </w:pPr>
            <w:proofErr w:type="gramStart"/>
            <w:r w:rsidRPr="00DD4462">
              <w:rPr>
                <w:i/>
                <w:iCs/>
              </w:rPr>
              <w:t>f</w:t>
            </w:r>
            <w:proofErr w:type="gramEnd"/>
            <w:r w:rsidRPr="00EE70FE">
              <w:t xml:space="preserve"> (fréquence centrale, MHz)</w:t>
            </w:r>
          </w:p>
        </w:tc>
        <w:tc>
          <w:tcPr>
            <w:tcW w:w="4536" w:type="dxa"/>
            <w:gridSpan w:val="2"/>
          </w:tcPr>
          <w:p w14:paraId="3251AB33" w14:textId="77777777" w:rsidR="00A94BC9" w:rsidRPr="00EE70FE" w:rsidRDefault="00A94BC9" w:rsidP="00EE70FE">
            <w:pPr>
              <w:pStyle w:val="Tabletext0"/>
              <w:framePr w:hSpace="181" w:wrap="notBeside" w:vAnchor="text" w:hAnchor="text" w:xAlign="center" w:y="1"/>
              <w:jc w:val="center"/>
            </w:pPr>
            <w:r w:rsidRPr="00EE70FE">
              <w:t>470-862</w:t>
            </w:r>
          </w:p>
        </w:tc>
      </w:tr>
      <w:tr w:rsidR="00A94BC9" w:rsidRPr="00752B17" w14:paraId="677DE2CD" w14:textId="77777777" w:rsidTr="00EE70FE">
        <w:trPr>
          <w:jc w:val="center"/>
        </w:trPr>
        <w:tc>
          <w:tcPr>
            <w:tcW w:w="3539" w:type="dxa"/>
            <w:vAlign w:val="center"/>
          </w:tcPr>
          <w:p w14:paraId="5F51344D" w14:textId="77777777" w:rsidR="00A94BC9" w:rsidRPr="00EE70FE" w:rsidRDefault="00A94BC9" w:rsidP="00EE70FE">
            <w:pPr>
              <w:pStyle w:val="Tabletext0"/>
              <w:framePr w:hSpace="181" w:wrap="notBeside" w:vAnchor="text" w:hAnchor="text" w:xAlign="center" w:y="1"/>
            </w:pPr>
            <w:r w:rsidRPr="0084013A">
              <w:rPr>
                <w:i/>
                <w:iCs/>
              </w:rPr>
              <w:t>F</w:t>
            </w:r>
            <w:r w:rsidRPr="00EE70FE">
              <w:t xml:space="preserve"> (facteur de bruit du récepteur, dB)</w:t>
            </w:r>
          </w:p>
        </w:tc>
        <w:tc>
          <w:tcPr>
            <w:tcW w:w="1985" w:type="dxa"/>
            <w:vAlign w:val="center"/>
          </w:tcPr>
          <w:p w14:paraId="4950630D" w14:textId="77777777" w:rsidR="00A94BC9" w:rsidRPr="00EE70FE" w:rsidRDefault="00A94BC9" w:rsidP="00EE70FE">
            <w:pPr>
              <w:pStyle w:val="Tabletext0"/>
              <w:framePr w:hSpace="181" w:wrap="notBeside" w:vAnchor="text" w:hAnchor="text" w:xAlign="center" w:y="1"/>
              <w:jc w:val="center"/>
            </w:pPr>
            <w:r w:rsidRPr="00EE70FE">
              <w:t>5</w:t>
            </w:r>
          </w:p>
        </w:tc>
        <w:tc>
          <w:tcPr>
            <w:tcW w:w="2551" w:type="dxa"/>
          </w:tcPr>
          <w:p w14:paraId="2BF4C031" w14:textId="77777777" w:rsidR="00A94BC9" w:rsidRPr="00EE70FE" w:rsidRDefault="00A94BC9" w:rsidP="00EE70FE">
            <w:pPr>
              <w:pStyle w:val="Tabletext0"/>
              <w:framePr w:hSpace="181" w:wrap="notBeside" w:vAnchor="text" w:hAnchor="text" w:xAlign="center" w:y="1"/>
              <w:jc w:val="center"/>
            </w:pPr>
            <w:r w:rsidRPr="00EE70FE">
              <w:t>9</w:t>
            </w:r>
          </w:p>
        </w:tc>
      </w:tr>
      <w:tr w:rsidR="00A94BC9" w:rsidRPr="00752B17" w14:paraId="1078FE88" w14:textId="77777777" w:rsidTr="00EE70FE">
        <w:trPr>
          <w:jc w:val="center"/>
        </w:trPr>
        <w:tc>
          <w:tcPr>
            <w:tcW w:w="3539" w:type="dxa"/>
            <w:vAlign w:val="center"/>
          </w:tcPr>
          <w:p w14:paraId="6372CBDB" w14:textId="77777777" w:rsidR="00A94BC9" w:rsidRPr="00EE70FE" w:rsidRDefault="0084013A" w:rsidP="00EE70FE">
            <w:pPr>
              <w:pStyle w:val="Tabletext0"/>
              <w:framePr w:hSpace="181" w:wrap="notBeside" w:vAnchor="text" w:hAnchor="text" w:xAlign="center" w:y="1"/>
            </w:pPr>
            <w:r w:rsidRPr="001C15B5">
              <w:rPr>
                <w:rFonts w:eastAsia="SimSun"/>
                <w:i/>
                <w:iCs/>
              </w:rPr>
              <w:t>G</w:t>
            </w:r>
            <w:r w:rsidRPr="001C15B5">
              <w:rPr>
                <w:rFonts w:eastAsia="SimSun"/>
                <w:i/>
                <w:iCs/>
                <w:vertAlign w:val="subscript"/>
              </w:rPr>
              <w:t>i</w:t>
            </w:r>
            <w:r w:rsidR="00A94BC9" w:rsidRPr="00EE70FE">
              <w:t xml:space="preserve"> (gain d'antenne du récepteur, dBi)</w:t>
            </w:r>
          </w:p>
        </w:tc>
        <w:tc>
          <w:tcPr>
            <w:tcW w:w="1985" w:type="dxa"/>
            <w:vAlign w:val="center"/>
          </w:tcPr>
          <w:p w14:paraId="4603744A" w14:textId="77777777" w:rsidR="00A94BC9" w:rsidRPr="00EE70FE" w:rsidRDefault="00A94BC9" w:rsidP="00EE70FE">
            <w:pPr>
              <w:pStyle w:val="Tabletext0"/>
              <w:framePr w:hSpace="181" w:wrap="notBeside" w:vAnchor="text" w:hAnchor="text" w:xAlign="center" w:y="1"/>
              <w:jc w:val="center"/>
            </w:pPr>
            <w:r w:rsidRPr="00EE70FE">
              <w:t>15</w:t>
            </w:r>
          </w:p>
        </w:tc>
        <w:tc>
          <w:tcPr>
            <w:tcW w:w="2551" w:type="dxa"/>
          </w:tcPr>
          <w:p w14:paraId="0D910BA9" w14:textId="77777777" w:rsidR="00A94BC9" w:rsidRPr="00EE70FE" w:rsidRDefault="00A94BC9" w:rsidP="00EE70FE">
            <w:pPr>
              <w:pStyle w:val="Tabletext0"/>
              <w:framePr w:hSpace="181" w:wrap="notBeside" w:vAnchor="text" w:hAnchor="text" w:xAlign="center" w:y="1"/>
              <w:jc w:val="center"/>
            </w:pPr>
            <w:r w:rsidRPr="00EE70FE">
              <w:t>–3</w:t>
            </w:r>
          </w:p>
        </w:tc>
      </w:tr>
      <w:tr w:rsidR="00A94BC9" w:rsidRPr="00752B17" w14:paraId="4E4C6098" w14:textId="77777777" w:rsidTr="00EE70FE">
        <w:trPr>
          <w:jc w:val="center"/>
        </w:trPr>
        <w:tc>
          <w:tcPr>
            <w:tcW w:w="3539" w:type="dxa"/>
            <w:vAlign w:val="center"/>
          </w:tcPr>
          <w:p w14:paraId="0CC95A5C" w14:textId="77777777" w:rsidR="00A94BC9" w:rsidRPr="00EE70FE" w:rsidRDefault="0084013A" w:rsidP="00EE70FE">
            <w:pPr>
              <w:pStyle w:val="Tabletext0"/>
              <w:framePr w:hSpace="181" w:wrap="notBeside" w:vAnchor="text" w:hAnchor="text" w:xAlign="center" w:y="1"/>
            </w:pPr>
            <w:r w:rsidRPr="001C15B5">
              <w:rPr>
                <w:rFonts w:eastAsia="SimSun"/>
                <w:i/>
                <w:iCs/>
              </w:rPr>
              <w:t>L</w:t>
            </w:r>
            <w:r w:rsidRPr="001C15B5">
              <w:rPr>
                <w:rFonts w:eastAsia="SimSun"/>
                <w:i/>
                <w:iCs/>
                <w:vertAlign w:val="subscript"/>
              </w:rPr>
              <w:t>F</w:t>
            </w:r>
            <w:r w:rsidR="00A94BC9" w:rsidRPr="00EE70FE">
              <w:t xml:space="preserve"> (affaiblissement du câble de l'antenne, dB)</w:t>
            </w:r>
          </w:p>
        </w:tc>
        <w:tc>
          <w:tcPr>
            <w:tcW w:w="1985" w:type="dxa"/>
            <w:vAlign w:val="center"/>
          </w:tcPr>
          <w:p w14:paraId="239C42AE" w14:textId="77777777" w:rsidR="00A94BC9" w:rsidRPr="00EE70FE" w:rsidRDefault="00A94BC9" w:rsidP="00EE70FE">
            <w:pPr>
              <w:pStyle w:val="Tabletext0"/>
              <w:framePr w:hSpace="181" w:wrap="notBeside" w:vAnchor="text" w:hAnchor="text" w:xAlign="center" w:y="1"/>
              <w:jc w:val="center"/>
            </w:pPr>
            <w:r w:rsidRPr="00EE70FE">
              <w:t>3</w:t>
            </w:r>
          </w:p>
        </w:tc>
        <w:tc>
          <w:tcPr>
            <w:tcW w:w="2551" w:type="dxa"/>
          </w:tcPr>
          <w:p w14:paraId="3CB6DD16"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1F12A57C" w14:textId="77777777" w:rsidTr="00EE70FE">
        <w:trPr>
          <w:jc w:val="center"/>
        </w:trPr>
        <w:tc>
          <w:tcPr>
            <w:tcW w:w="3539" w:type="dxa"/>
            <w:vAlign w:val="center"/>
          </w:tcPr>
          <w:p w14:paraId="63228B9F" w14:textId="77777777" w:rsidR="00A94BC9" w:rsidRPr="00EE70FE" w:rsidRDefault="0084013A" w:rsidP="00EE70FE">
            <w:pPr>
              <w:pStyle w:val="Tabletext0"/>
              <w:framePr w:hSpace="181" w:wrap="notBeside" w:vAnchor="text" w:hAnchor="text" w:xAlign="center" w:y="1"/>
            </w:pPr>
            <w:r w:rsidRPr="001C15B5">
              <w:rPr>
                <w:rFonts w:eastAsia="SimSun"/>
                <w:i/>
                <w:iCs/>
              </w:rPr>
              <w:t>P</w:t>
            </w:r>
            <w:r w:rsidRPr="001C15B5">
              <w:rPr>
                <w:rFonts w:eastAsia="SimSun"/>
                <w:i/>
                <w:iCs/>
                <w:vertAlign w:val="subscript"/>
              </w:rPr>
              <w:t>o</w:t>
            </w:r>
            <w:r w:rsidR="00A94BC9" w:rsidRPr="00EE70FE">
              <w:t xml:space="preserve"> (bruit artificiel, dB)</w:t>
            </w:r>
          </w:p>
        </w:tc>
        <w:tc>
          <w:tcPr>
            <w:tcW w:w="1985" w:type="dxa"/>
            <w:vAlign w:val="center"/>
          </w:tcPr>
          <w:p w14:paraId="3F533BE3" w14:textId="77777777" w:rsidR="00A94BC9" w:rsidRPr="00EE70FE" w:rsidRDefault="00A94BC9" w:rsidP="00EE70FE">
            <w:pPr>
              <w:pStyle w:val="Tabletext0"/>
              <w:framePr w:hSpace="181" w:wrap="notBeside" w:vAnchor="text" w:hAnchor="text" w:xAlign="center" w:y="1"/>
              <w:jc w:val="center"/>
            </w:pPr>
            <w:r w:rsidRPr="00EE70FE">
              <w:t>0</w:t>
            </w:r>
          </w:p>
        </w:tc>
        <w:tc>
          <w:tcPr>
            <w:tcW w:w="2551" w:type="dxa"/>
          </w:tcPr>
          <w:p w14:paraId="772D473B"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6B06F2FF" w14:textId="77777777" w:rsidTr="00EE70FE">
        <w:trPr>
          <w:jc w:val="center"/>
        </w:trPr>
        <w:tc>
          <w:tcPr>
            <w:tcW w:w="3539" w:type="dxa"/>
            <w:vAlign w:val="center"/>
          </w:tcPr>
          <w:p w14:paraId="2963540D" w14:textId="77777777" w:rsidR="00A94BC9" w:rsidRPr="00EE70FE" w:rsidRDefault="00DD4462" w:rsidP="00EE70FE">
            <w:pPr>
              <w:pStyle w:val="Tabletext0"/>
              <w:framePr w:hSpace="181" w:wrap="notBeside" w:vAnchor="text" w:hAnchor="text" w:xAlign="center" w:y="1"/>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985" w:type="dxa"/>
            <w:vAlign w:val="center"/>
          </w:tcPr>
          <w:p w14:paraId="629C2D92" w14:textId="77777777" w:rsidR="00A94BC9" w:rsidRPr="00EE70FE" w:rsidRDefault="00A94BC9" w:rsidP="00EE70FE">
            <w:pPr>
              <w:pStyle w:val="Tabletext0"/>
              <w:framePr w:hSpace="181" w:wrap="notBeside" w:vAnchor="text" w:hAnchor="text" w:xAlign="center" w:y="1"/>
              <w:jc w:val="center"/>
            </w:pPr>
            <w:r w:rsidRPr="00EE70FE">
              <w:t>–7</w:t>
            </w:r>
          </w:p>
        </w:tc>
        <w:tc>
          <w:tcPr>
            <w:tcW w:w="2551" w:type="dxa"/>
          </w:tcPr>
          <w:p w14:paraId="1C8D1262" w14:textId="77777777" w:rsidR="00A94BC9" w:rsidRPr="00EE70FE" w:rsidRDefault="00A94BC9" w:rsidP="00EE70FE">
            <w:pPr>
              <w:pStyle w:val="Tabletext0"/>
              <w:framePr w:hSpace="181" w:wrap="notBeside" w:vAnchor="text" w:hAnchor="text" w:xAlign="center" w:y="1"/>
              <w:jc w:val="center"/>
            </w:pPr>
            <w:r w:rsidRPr="00EE70FE">
              <w:t>12</w:t>
            </w:r>
          </w:p>
        </w:tc>
      </w:tr>
      <w:tr w:rsidR="00A94BC9" w:rsidRPr="00752B17" w14:paraId="32931CE2" w14:textId="77777777" w:rsidTr="00EE70FE">
        <w:trPr>
          <w:jc w:val="center"/>
        </w:trPr>
        <w:tc>
          <w:tcPr>
            <w:tcW w:w="3539" w:type="dxa"/>
            <w:vAlign w:val="center"/>
          </w:tcPr>
          <w:p w14:paraId="04A4FFBA" w14:textId="77777777" w:rsidR="00A94BC9" w:rsidRPr="00EE70FE" w:rsidRDefault="00A94BC9" w:rsidP="00EE70FE">
            <w:pPr>
              <w:pStyle w:val="Tabletext0"/>
              <w:framePr w:hSpace="181" w:wrap="notBeside" w:vAnchor="text" w:hAnchor="text" w:xAlign="center" w:y="1"/>
            </w:pPr>
            <w:r w:rsidRPr="00756A17">
              <w:rPr>
                <w:i/>
                <w:iCs/>
              </w:rPr>
              <w:t>I</w:t>
            </w:r>
            <w:r w:rsidRPr="00EE70FE">
              <w:t>/</w:t>
            </w:r>
            <w:r w:rsidRPr="00756A17">
              <w:rPr>
                <w:i/>
                <w:iCs/>
              </w:rPr>
              <w:t>N</w:t>
            </w:r>
            <w:r w:rsidRPr="00EE70FE">
              <w:t xml:space="preserve"> (rapport brouillage/bruit, dB)</w:t>
            </w:r>
          </w:p>
        </w:tc>
        <w:tc>
          <w:tcPr>
            <w:tcW w:w="4536" w:type="dxa"/>
            <w:gridSpan w:val="2"/>
            <w:vAlign w:val="center"/>
          </w:tcPr>
          <w:p w14:paraId="48F32304" w14:textId="77777777" w:rsidR="00A94BC9" w:rsidRPr="00EE70FE" w:rsidRDefault="00A94BC9" w:rsidP="00EE70FE">
            <w:pPr>
              <w:pStyle w:val="Tabletext0"/>
              <w:framePr w:hSpace="181" w:wrap="notBeside" w:vAnchor="text" w:hAnchor="text" w:xAlign="center" w:y="1"/>
              <w:jc w:val="center"/>
            </w:pPr>
            <w:r w:rsidRPr="00EE70FE">
              <w:t>–6</w:t>
            </w:r>
          </w:p>
        </w:tc>
      </w:tr>
      <w:tr w:rsidR="00A94BC9" w:rsidRPr="00752B17" w14:paraId="5D8C92C5" w14:textId="77777777" w:rsidTr="00EE70FE">
        <w:trPr>
          <w:jc w:val="center"/>
        </w:trPr>
        <w:tc>
          <w:tcPr>
            <w:tcW w:w="3539" w:type="dxa"/>
            <w:vAlign w:val="center"/>
          </w:tcPr>
          <w:p w14:paraId="50C7C811" w14:textId="77777777" w:rsidR="00A94BC9" w:rsidRPr="00EE70FE" w:rsidRDefault="0084013A" w:rsidP="00EE70FE">
            <w:pPr>
              <w:pStyle w:val="Tabletext0"/>
              <w:framePr w:hSpace="181" w:wrap="notBeside" w:vAnchor="text" w:hAnchor="text" w:xAlign="center" w:y="1"/>
            </w:pPr>
            <w:r w:rsidRPr="00210C2A">
              <w:rPr>
                <w:rFonts w:eastAsia="SimSun"/>
                <w:i/>
                <w:iCs/>
                <w:lang w:val="fr-CH"/>
              </w:rPr>
              <w:t>B</w:t>
            </w:r>
            <w:r w:rsidRPr="00210C2A">
              <w:rPr>
                <w:rFonts w:eastAsia="SimSun"/>
                <w:i/>
                <w:iCs/>
                <w:vertAlign w:val="subscript"/>
                <w:lang w:val="fr-CH"/>
              </w:rPr>
              <w:t>i</w:t>
            </w:r>
            <w:r w:rsidR="00A94BC9" w:rsidRPr="00EE70FE">
              <w:t xml:space="preserve"> (Largeur de bande de la station de télévision, MHz)</w:t>
            </w:r>
          </w:p>
        </w:tc>
        <w:tc>
          <w:tcPr>
            <w:tcW w:w="4536" w:type="dxa"/>
            <w:gridSpan w:val="2"/>
            <w:vAlign w:val="center"/>
          </w:tcPr>
          <w:p w14:paraId="1B531656" w14:textId="77777777" w:rsidR="00A94BC9" w:rsidRPr="00EE70FE" w:rsidRDefault="00A94BC9" w:rsidP="00EE70FE">
            <w:pPr>
              <w:pStyle w:val="Tabletext0"/>
              <w:framePr w:hSpace="181" w:wrap="notBeside" w:vAnchor="text" w:hAnchor="text" w:xAlign="center" w:y="1"/>
              <w:jc w:val="center"/>
            </w:pPr>
            <w:r w:rsidRPr="00EE70FE">
              <w:t>8</w:t>
            </w:r>
          </w:p>
        </w:tc>
      </w:tr>
    </w:tbl>
    <w:p w14:paraId="74E76BE0" w14:textId="77777777" w:rsidR="00A94BC9" w:rsidRPr="00752B17" w:rsidRDefault="00A94BC9" w:rsidP="00A94BC9">
      <w:pPr>
        <w:rPr>
          <w:rFonts w:eastAsia="SimSun"/>
          <w:lang w:val="fr-CH" w:eastAsia="zh-CN"/>
        </w:rPr>
      </w:pPr>
      <w:r w:rsidRPr="00752B17">
        <w:rPr>
          <w:lang w:val="fr-CH"/>
        </w:rPr>
        <w:t>Les paramètres ci-dessus s'appliquent aux stations fonctionnant sur la fréquence 790 MHz. Pour les autres fréquences de la bande d'ondes décimétriques, il convient de procéder à une interpolation en ajoutant un facteur de correction de 10 log (</w:t>
      </w:r>
      <w:r w:rsidRPr="003C5FA2">
        <w:rPr>
          <w:i/>
          <w:iCs/>
          <w:lang w:val="fr-CH"/>
        </w:rPr>
        <w:t>f</w:t>
      </w:r>
      <w:r w:rsidRPr="00752B17">
        <w:rPr>
          <w:lang w:val="fr-CH"/>
        </w:rPr>
        <w:t>/790).</w:t>
      </w:r>
    </w:p>
    <w:p w14:paraId="6D22682F" w14:textId="77777777" w:rsidR="00EE70FE" w:rsidRDefault="00EE70FE" w:rsidP="00A238F1">
      <w:pPr>
        <w:rPr>
          <w:lang w:val="fr-CH"/>
        </w:rPr>
      </w:pPr>
      <w:r>
        <w:rPr>
          <w:lang w:val="fr-CH"/>
        </w:rPr>
        <w:br w:type="page"/>
      </w:r>
    </w:p>
    <w:p w14:paraId="5C03BDFF" w14:textId="77777777" w:rsidR="00A94BC9" w:rsidRPr="00752B17" w:rsidRDefault="00A94BC9" w:rsidP="00A238F1">
      <w:pPr>
        <w:rPr>
          <w:rFonts w:eastAsiaTheme="minorEastAsia"/>
          <w:lang w:val="fr-CH" w:eastAsia="zh-CN"/>
        </w:rPr>
      </w:pPr>
      <w:r w:rsidRPr="00752B17">
        <w:rPr>
          <w:lang w:val="fr-CH"/>
        </w:rPr>
        <w:lastRenderedPageBreak/>
        <w:t>Selon les indications des valeurs qui en résultent, les valeurs de seuil du champ déclenchant la coordination d'une station IMT fonctionnant à 790 MHz sont égales à 17 (dB(µV/m) pour</w:t>
      </w:r>
      <w:r>
        <w:rPr>
          <w:lang w:val="fr-CH"/>
        </w:rPr>
        <w:t xml:space="preserve"> </w:t>
      </w:r>
      <w:r w:rsidRPr="00752B17">
        <w:rPr>
          <w:lang w:val="fr-CH"/>
        </w:rPr>
        <w:t xml:space="preserve">une station de base de réception et à 36 (dB(µV/m) pour une station mobile de réception, lorsque le facteur </w:t>
      </w:r>
      <w:r w:rsidRPr="000A5E42">
        <w:rPr>
          <w:i/>
          <w:iCs/>
          <w:lang w:val="fr-CH"/>
        </w:rPr>
        <w:t>K</w:t>
      </w:r>
      <w:r w:rsidRPr="00752B17">
        <w:rPr>
          <w:lang w:val="fr-CH"/>
        </w:rPr>
        <w:t xml:space="preserve"> est égal 0, c'est-à-dire lorsque la station IMT utilise une largeur de bande inférieure ou égale à 8 MHz.</w:t>
      </w:r>
    </w:p>
    <w:p w14:paraId="169CC145" w14:textId="77777777" w:rsidR="00A94BC9" w:rsidRPr="00752B17" w:rsidRDefault="00A94BC9" w:rsidP="00A94BC9">
      <w:pPr>
        <w:rPr>
          <w:rFonts w:eastAsiaTheme="minorEastAsia"/>
          <w:lang w:val="fr-CH" w:eastAsia="zh-CN"/>
        </w:rPr>
      </w:pPr>
      <w:r w:rsidRPr="00752B17">
        <w:rPr>
          <w:lang w:val="fr-CH"/>
        </w:rPr>
        <w:t>Pour établir les contours de coordination, on suppose que les hauteurs d'antenne de réception des stations de base et des stations mobiles sont respectivement de 30 m et 1,5 m</w:t>
      </w:r>
      <w:r w:rsidRPr="00752B17">
        <w:rPr>
          <w:rFonts w:eastAsiaTheme="minorEastAsia"/>
          <w:lang w:val="fr-CH" w:eastAsia="zh-CN"/>
        </w:rPr>
        <w:t>.</w:t>
      </w:r>
    </w:p>
    <w:p w14:paraId="16AF418C" w14:textId="77777777" w:rsidR="00A94BC9" w:rsidRPr="00A94BC9" w:rsidRDefault="00A94BC9" w:rsidP="00A94BC9">
      <w:pPr>
        <w:rPr>
          <w:lang w:val="fr-CH"/>
        </w:rPr>
      </w:pPr>
    </w:p>
    <w:p w14:paraId="5C72444A" w14:textId="77777777" w:rsidR="00141158" w:rsidRPr="00D972EF" w:rsidRDefault="00141158" w:rsidP="00141158">
      <w:pPr>
        <w:jc w:val="center"/>
        <w:rPr>
          <w:lang w:val="fr-FR"/>
        </w:rPr>
      </w:pPr>
      <w:r w:rsidRPr="00D972EF">
        <w:rPr>
          <w:lang w:val="fr-FR"/>
        </w:rPr>
        <w:t>____________________</w:t>
      </w:r>
    </w:p>
    <w:p w14:paraId="26B2C013" w14:textId="77777777" w:rsidR="00141158" w:rsidRDefault="00141158" w:rsidP="00141158">
      <w:pPr>
        <w:rPr>
          <w:lang w:val="fr-FR"/>
        </w:rPr>
      </w:pPr>
    </w:p>
    <w:p w14:paraId="327F4FAD" w14:textId="77777777" w:rsidR="00F70C81" w:rsidRDefault="00F70C81" w:rsidP="00141158">
      <w:pPr>
        <w:rPr>
          <w:lang w:val="fr-FR"/>
        </w:rPr>
      </w:pPr>
    </w:p>
    <w:p w14:paraId="59207138" w14:textId="77777777" w:rsidR="00F70C81" w:rsidRDefault="00F70C81" w:rsidP="00141158">
      <w:pPr>
        <w:rPr>
          <w:lang w:val="fr-FR"/>
        </w:rPr>
      </w:pPr>
    </w:p>
    <w:p w14:paraId="4CA45539" w14:textId="77777777" w:rsidR="00F70C81" w:rsidRDefault="00F70C81" w:rsidP="00141158">
      <w:pPr>
        <w:rPr>
          <w:lang w:val="fr-FR"/>
        </w:rPr>
      </w:pPr>
    </w:p>
    <w:p w14:paraId="57664A6A" w14:textId="77777777" w:rsidR="00CC0488" w:rsidRDefault="00CC0488" w:rsidP="00141158">
      <w:pPr>
        <w:rPr>
          <w:lang w:val="fr-FR"/>
        </w:rPr>
      </w:pPr>
    </w:p>
    <w:p w14:paraId="0A41B521" w14:textId="77777777" w:rsidR="00CC0488" w:rsidRDefault="00CC0488" w:rsidP="00141158">
      <w:pPr>
        <w:rPr>
          <w:lang w:val="fr-FR"/>
        </w:rPr>
      </w:pPr>
    </w:p>
    <w:p w14:paraId="15CE66B1" w14:textId="77777777" w:rsidR="00CC0488" w:rsidRDefault="00CC0488" w:rsidP="00141158">
      <w:pPr>
        <w:rPr>
          <w:lang w:val="fr-FR"/>
        </w:rPr>
      </w:pPr>
    </w:p>
    <w:p w14:paraId="2A465484" w14:textId="77777777" w:rsidR="00CC0488" w:rsidRDefault="00CC0488" w:rsidP="00141158">
      <w:pPr>
        <w:rPr>
          <w:lang w:val="fr-FR"/>
        </w:rPr>
      </w:pPr>
    </w:p>
    <w:p w14:paraId="672518FA" w14:textId="77777777" w:rsidR="00CC0488" w:rsidRDefault="00CC0488" w:rsidP="00141158">
      <w:pPr>
        <w:rPr>
          <w:lang w:val="fr-FR"/>
        </w:rPr>
      </w:pPr>
    </w:p>
    <w:p w14:paraId="153C2489" w14:textId="77777777" w:rsidR="001C3E60" w:rsidRDefault="001C3E60" w:rsidP="00141158">
      <w:pPr>
        <w:rPr>
          <w:lang w:val="fr-FR"/>
        </w:rPr>
      </w:pPr>
    </w:p>
    <w:p w14:paraId="3F525CF5" w14:textId="77777777" w:rsidR="001C3E60" w:rsidRDefault="001C3E60" w:rsidP="00141158">
      <w:pPr>
        <w:rPr>
          <w:lang w:val="fr-FR"/>
        </w:rPr>
      </w:pPr>
    </w:p>
    <w:p w14:paraId="55C4FDE4" w14:textId="77777777" w:rsidR="001C3E60" w:rsidRDefault="001C3E60" w:rsidP="00141158">
      <w:pPr>
        <w:rPr>
          <w:lang w:val="fr-FR"/>
        </w:rPr>
      </w:pPr>
    </w:p>
    <w:p w14:paraId="014CFA56" w14:textId="77777777" w:rsidR="001C3E60" w:rsidRDefault="001C3E60" w:rsidP="00141158">
      <w:pPr>
        <w:rPr>
          <w:lang w:val="fr-FR"/>
        </w:rPr>
      </w:pPr>
    </w:p>
    <w:p w14:paraId="012C54F1" w14:textId="77777777" w:rsidR="001C3E60" w:rsidRDefault="001C3E60" w:rsidP="00141158">
      <w:pPr>
        <w:rPr>
          <w:lang w:val="fr-FR"/>
        </w:rPr>
      </w:pPr>
    </w:p>
    <w:p w14:paraId="1CC34EA9" w14:textId="77777777" w:rsidR="001C3E60" w:rsidRDefault="001C3E60" w:rsidP="00141158">
      <w:pPr>
        <w:rPr>
          <w:lang w:val="fr-FR"/>
        </w:rPr>
      </w:pPr>
    </w:p>
    <w:p w14:paraId="0BAD75B6" w14:textId="77777777" w:rsidR="001C3E60" w:rsidRPr="00D972EF" w:rsidRDefault="001C3E60" w:rsidP="00141158">
      <w:pPr>
        <w:rPr>
          <w:lang w:val="fr-FR"/>
        </w:rPr>
      </w:pPr>
    </w:p>
    <w:p w14:paraId="188976D0" w14:textId="77777777" w:rsidR="00141158" w:rsidRDefault="00141158" w:rsidP="00141158">
      <w:pPr>
        <w:rPr>
          <w:lang w:val="fr-FR"/>
        </w:rPr>
      </w:pPr>
    </w:p>
    <w:p w14:paraId="6C9FC16B" w14:textId="77777777" w:rsidR="00D143E2" w:rsidRPr="00D972EF" w:rsidRDefault="00D143E2" w:rsidP="00141158">
      <w:pPr>
        <w:rPr>
          <w:lang w:val="fr-FR"/>
        </w:rPr>
      </w:pPr>
    </w:p>
    <w:p w14:paraId="47CC22BD" w14:textId="77777777" w:rsidR="00A302FC" w:rsidRDefault="00A302FC" w:rsidP="00141158">
      <w:pPr>
        <w:rPr>
          <w:lang w:val="fr-FR"/>
        </w:rPr>
        <w:sectPr w:rsidR="00A302FC" w:rsidSect="00CC0488">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14:paraId="7D5D8E70" w14:textId="77777777" w:rsidR="004E6E38" w:rsidRPr="00D972EF" w:rsidRDefault="004E6E38">
      <w:pPr>
        <w:rPr>
          <w:lang w:val="fr-FR"/>
        </w:rPr>
      </w:pPr>
    </w:p>
    <w:sectPr w:rsidR="004E6E38" w:rsidRPr="00D972EF" w:rsidSect="004635F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F8CF6" w14:textId="77777777" w:rsidR="00F37CB8" w:rsidRDefault="00F37CB8">
      <w:r>
        <w:separator/>
      </w:r>
    </w:p>
  </w:endnote>
  <w:endnote w:type="continuationSeparator" w:id="0">
    <w:p w14:paraId="0E031943" w14:textId="77777777" w:rsidR="00F37CB8" w:rsidRDefault="00F3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5CA4F" w14:textId="77777777" w:rsidR="00F37CB8" w:rsidRDefault="00F37CB8">
      <w:r>
        <w:rPr>
          <w:b/>
        </w:rPr>
        <w:t>_______________</w:t>
      </w:r>
    </w:p>
  </w:footnote>
  <w:footnote w:type="continuationSeparator" w:id="0">
    <w:p w14:paraId="3E54BB1E" w14:textId="77777777" w:rsidR="00F37CB8" w:rsidRDefault="00F37CB8">
      <w:r>
        <w:continuationSeparator/>
      </w:r>
    </w:p>
  </w:footnote>
  <w:footnote w:id="1">
    <w:p w14:paraId="66621BAF" w14:textId="77777777" w:rsidR="000109A5" w:rsidRPr="00017EF1" w:rsidRDefault="000109A5" w:rsidP="000109A5">
      <w:pPr>
        <w:pStyle w:val="FootnoteText"/>
        <w:spacing w:before="0"/>
        <w:rPr>
          <w:lang w:val="fr-CH"/>
        </w:rPr>
      </w:pPr>
      <w:r>
        <w:rPr>
          <w:rStyle w:val="FootnoteReference"/>
        </w:rPr>
        <w:footnoteRef/>
      </w:r>
      <w:r w:rsidRPr="00017EF1">
        <w:rPr>
          <w:lang w:val="fr-CH"/>
        </w:rPr>
        <w:t xml:space="preserve"> </w:t>
      </w:r>
      <w:r w:rsidRPr="00017EF1">
        <w:rPr>
          <w:lang w:val="fr-CH"/>
        </w:rPr>
        <w:tab/>
        <w:t>De même, aucune protection ne devrait être demandée vis-à-vis d’assignations découlant des allotissements qui ont été inscrits antérieurement dans le Plan.</w:t>
      </w:r>
    </w:p>
  </w:footnote>
  <w:footnote w:id="2">
    <w:p w14:paraId="5CCD0122" w14:textId="77777777" w:rsidR="00004E95" w:rsidRPr="00004E95" w:rsidRDefault="00004E95">
      <w:pPr>
        <w:pStyle w:val="FootnoteText"/>
        <w:rPr>
          <w:lang w:val="fr-CH"/>
        </w:rPr>
      </w:pPr>
      <w:r w:rsidRPr="00A94BC9">
        <w:rPr>
          <w:rStyle w:val="FootnoteReference"/>
          <w:lang w:val="fr-CH"/>
        </w:rPr>
        <w:t>*</w:t>
      </w:r>
      <w:r w:rsidRPr="00A94BC9">
        <w:rPr>
          <w:lang w:val="fr-CH"/>
        </w:rPr>
        <w:t xml:space="preserve"> </w:t>
      </w:r>
      <w:r>
        <w:rPr>
          <w:lang w:val="fr-CH"/>
        </w:rPr>
        <w:tab/>
      </w:r>
      <w:r w:rsidRPr="00004E95">
        <w:rPr>
          <w:i/>
          <w:iCs/>
          <w:lang w:val="fr-CH"/>
        </w:rPr>
        <w:t xml:space="preserve">Note du </w:t>
      </w:r>
      <w:proofErr w:type="gramStart"/>
      <w:r w:rsidRPr="00004E95">
        <w:rPr>
          <w:i/>
          <w:iCs/>
          <w:lang w:val="fr-CH"/>
        </w:rPr>
        <w:t>Secrétariat</w:t>
      </w:r>
      <w:r>
        <w:rPr>
          <w:lang w:val="fr-CH"/>
        </w:rPr>
        <w:t>:</w:t>
      </w:r>
      <w:proofErr w:type="gramEnd"/>
      <w:r>
        <w:rPr>
          <w:lang w:val="fr-CH"/>
        </w:rPr>
        <w:t xml:space="preserve"> Cette Recommandation a été supprimée en 2009.</w:t>
      </w:r>
    </w:p>
  </w:footnote>
  <w:footnote w:id="3">
    <w:p w14:paraId="3FB15928" w14:textId="77777777" w:rsidR="00141158" w:rsidRPr="0085136E" w:rsidRDefault="00141158" w:rsidP="00141158">
      <w:pPr>
        <w:pStyle w:val="FootnoteText"/>
        <w:rPr>
          <w:lang w:val="fr-CH"/>
        </w:rPr>
      </w:pPr>
      <w:r w:rsidRPr="0085136E">
        <w:rPr>
          <w:rStyle w:val="FootnoteReference"/>
          <w:lang w:val="fr-CH"/>
        </w:rPr>
        <w:t>1</w:t>
      </w:r>
      <w:r w:rsidRPr="0085136E">
        <w:rPr>
          <w:lang w:val="fr-CH"/>
        </w:rPr>
        <w:t xml:space="preserve"> </w:t>
      </w:r>
      <w:r w:rsidRPr="0085136E">
        <w:rPr>
          <w:lang w:val="fr-CH"/>
        </w:rPr>
        <w:tab/>
      </w:r>
      <w:r>
        <w:rPr>
          <w:lang w:val="fr-CH"/>
        </w:rPr>
        <w:t>La zone de service ne s'étend pas au</w:t>
      </w:r>
      <w:r>
        <w:rPr>
          <w:lang w:val="fr-CH"/>
        </w:rPr>
        <w:noBreakHyphen/>
        <w:t>delà du territoire national du pays de l'administration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RPr="00E20895" w14:paraId="37CB61E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20D96C" w14:textId="69F7D66F" w:rsidR="004371FE" w:rsidRDefault="004371FE">
          <w:pPr>
            <w:pStyle w:val="HeaderRegProc"/>
          </w:pPr>
          <w:r>
            <w:t xml:space="preserve">Partie </w:t>
          </w:r>
          <w:r w:rsidR="00BA34E4">
            <w:fldChar w:fldCharType="begin"/>
          </w:r>
          <w:r w:rsidR="00BA34E4">
            <w:instrText>styleref href</w:instrText>
          </w:r>
          <w:r w:rsidR="00BA34E4">
            <w:fldChar w:fldCharType="separate"/>
          </w:r>
          <w:r w:rsidR="00A277CA">
            <w:rPr>
              <w:noProof/>
            </w:rPr>
            <w:t>A10</w:t>
          </w:r>
          <w:r w:rsidR="00BA34E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1E6EB" w14:textId="77777777" w:rsidR="004371FE" w:rsidRDefault="004371FE">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33448151" w14:textId="77777777" w:rsidR="004371FE" w:rsidRDefault="004371FE">
          <w:pPr>
            <w:pStyle w:val="HeaderRegProc"/>
            <w:rPr>
              <w:lang w:val="fr-CH"/>
            </w:rPr>
          </w:pPr>
          <w:proofErr w:type="gramStart"/>
          <w:r>
            <w:rPr>
              <w:lang w:val="fr-FR"/>
            </w:rPr>
            <w:t>page</w:t>
          </w:r>
          <w:proofErr w:type="gramEnd"/>
          <w:r>
            <w:rPr>
              <w:lang w:val="fr-FR"/>
            </w:rPr>
            <w:t xml:space="preserv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12</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21BFE3" w14:textId="04E37BB7" w:rsidR="004371FE" w:rsidRDefault="00E20895" w:rsidP="00DF733A">
          <w:pPr>
            <w:pStyle w:val="HeaderRegProc"/>
            <w:rPr>
              <w:lang w:val="fr-CH"/>
            </w:rPr>
          </w:pPr>
          <w:proofErr w:type="gramStart"/>
          <w:r>
            <w:rPr>
              <w:lang w:val="fr-CH"/>
            </w:rPr>
            <w:t>rév</w:t>
          </w:r>
          <w:proofErr w:type="gramEnd"/>
          <w:r>
            <w:rPr>
              <w:lang w:val="fr-CH"/>
            </w:rPr>
            <w:t>.</w:t>
          </w:r>
          <w:r w:rsidR="00BF18B4">
            <w:rPr>
              <w:lang w:val="fr-CH"/>
            </w:rPr>
            <w:t xml:space="preserve"> </w:t>
          </w:r>
          <w:proofErr w:type="gramStart"/>
          <w:r w:rsidR="00DF733A">
            <w:rPr>
              <w:lang w:val="fr-CH"/>
            </w:rPr>
            <w:t>-</w:t>
          </w:r>
          <w:proofErr w:type="gramEnd"/>
        </w:p>
      </w:tc>
    </w:tr>
  </w:tbl>
  <w:p w14:paraId="107786C1" w14:textId="77777777" w:rsidR="004371FE" w:rsidRDefault="004371F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14:paraId="5766705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20BA54" w14:textId="77777777" w:rsidR="004371FE" w:rsidRDefault="004371FE">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14:paraId="5898F6E4" w14:textId="77777777" w:rsidR="004371FE" w:rsidRDefault="004371FE">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7F446284" w14:textId="77777777" w:rsidR="004371FE" w:rsidRDefault="004371FE">
          <w:pPr>
            <w:pStyle w:val="HeaderRegProc"/>
            <w:rPr>
              <w:lang w:val="fr-CH"/>
            </w:rPr>
          </w:pPr>
          <w:proofErr w:type="gramStart"/>
          <w:r>
            <w:rPr>
              <w:lang w:val="fr-FR"/>
            </w:rPr>
            <w:t>page</w:t>
          </w:r>
          <w:proofErr w:type="gramEnd"/>
          <w:r>
            <w:rPr>
              <w:lang w:val="fr-FR"/>
            </w:rPr>
            <w:t xml:space="preserv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11</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44C0C" w14:textId="2E94E1DB" w:rsidR="004371FE" w:rsidRDefault="004371FE">
          <w:pPr>
            <w:pStyle w:val="HeaderRegProc"/>
            <w:rPr>
              <w:lang w:val="fr-CH"/>
            </w:rPr>
          </w:pPr>
          <w:proofErr w:type="gramStart"/>
          <w:r>
            <w:rPr>
              <w:lang w:val="fr-CH"/>
            </w:rPr>
            <w:t>rév</w:t>
          </w:r>
          <w:proofErr w:type="gramEnd"/>
          <w:r>
            <w:rPr>
              <w:lang w:val="fr-CH"/>
            </w:rPr>
            <w:t>.</w:t>
          </w:r>
          <w:r w:rsidR="00BF18B4">
            <w:rPr>
              <w:lang w:val="fr-CH"/>
            </w:rPr>
            <w:t xml:space="preserve"> </w:t>
          </w:r>
          <w:proofErr w:type="gramStart"/>
          <w:r>
            <w:t>-</w:t>
          </w:r>
          <w:proofErr w:type="gramEnd"/>
        </w:p>
      </w:tc>
    </w:tr>
  </w:tbl>
  <w:p w14:paraId="0FF1209D" w14:textId="77777777" w:rsidR="004371FE" w:rsidRDefault="00437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015F" w14:paraId="710E315F"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0D4C564" w14:textId="77777777" w:rsidR="006D015F" w:rsidRDefault="006D015F"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3DA56AD7" w14:textId="77777777" w:rsidR="006D015F" w:rsidRDefault="006D015F"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0E0087F6" w14:textId="77777777" w:rsidR="006D015F" w:rsidRDefault="006D015F" w:rsidP="006D01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6C9147" w14:textId="451514B0" w:rsidR="006D015F" w:rsidRDefault="006D015F" w:rsidP="006D015F">
          <w:pPr>
            <w:pStyle w:val="HeaderRegProc"/>
            <w:rPr>
              <w:lang w:val="fr-CH"/>
            </w:rPr>
          </w:pPr>
          <w:proofErr w:type="gramStart"/>
          <w:r>
            <w:rPr>
              <w:lang w:val="fr-CH"/>
            </w:rPr>
            <w:t>r</w:t>
          </w:r>
          <w:r w:rsidR="00234B56">
            <w:rPr>
              <w:lang w:val="fr-CH"/>
            </w:rPr>
            <w:t>é</w:t>
          </w:r>
          <w:r>
            <w:rPr>
              <w:lang w:val="fr-CH"/>
            </w:rPr>
            <w:t>v</w:t>
          </w:r>
          <w:proofErr w:type="gramEnd"/>
          <w:r>
            <w:rPr>
              <w:lang w:val="fr-CH"/>
            </w:rPr>
            <w:t>.</w:t>
          </w:r>
          <w:r w:rsidR="00BF18B4">
            <w:rPr>
              <w:lang w:val="fr-CH"/>
            </w:rPr>
            <w:t xml:space="preserve"> </w:t>
          </w:r>
          <w:proofErr w:type="gramStart"/>
          <w:r>
            <w:t>-</w:t>
          </w:r>
          <w:proofErr w:type="gramEnd"/>
        </w:p>
      </w:tc>
    </w:tr>
  </w:tbl>
  <w:p w14:paraId="48890EE2" w14:textId="77777777" w:rsidR="004371FE" w:rsidRPr="006D015F" w:rsidRDefault="004371FE" w:rsidP="006D0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rsidRPr="00E20895" w14:paraId="277C41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11CD304" w14:textId="5095CDA1" w:rsidR="00CC0488" w:rsidRDefault="00CC0488">
          <w:pPr>
            <w:pStyle w:val="HeaderRegProc"/>
          </w:pPr>
          <w:r>
            <w:t xml:space="preserve">Partie </w:t>
          </w:r>
          <w:r>
            <w:fldChar w:fldCharType="begin"/>
          </w:r>
          <w:r>
            <w:instrText>styleref href</w:instrText>
          </w:r>
          <w:r>
            <w:fldChar w:fldCharType="separate"/>
          </w:r>
          <w:r w:rsidR="00A277CA">
            <w:rPr>
              <w:noProof/>
            </w:rPr>
            <w:t>A10</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8022A" w14:textId="77777777" w:rsidR="00CC0488" w:rsidRDefault="00CC048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ED7EA8F" w14:textId="77777777" w:rsidR="00CC0488" w:rsidRDefault="00CC048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4E6B6E" w14:textId="0283C5CA" w:rsidR="00CC0488" w:rsidRDefault="00CC0488" w:rsidP="00CC0488">
          <w:pPr>
            <w:pStyle w:val="HeaderRegProc"/>
            <w:rPr>
              <w:lang w:val="fr-CH"/>
            </w:rPr>
          </w:pPr>
          <w:proofErr w:type="gramStart"/>
          <w:r>
            <w:rPr>
              <w:lang w:val="fr-CH"/>
            </w:rPr>
            <w:t>rév</w:t>
          </w:r>
          <w:proofErr w:type="gramEnd"/>
          <w:r>
            <w:rPr>
              <w:lang w:val="fr-CH"/>
            </w:rPr>
            <w:t>.</w:t>
          </w:r>
          <w:r w:rsidR="00BF18B4">
            <w:rPr>
              <w:lang w:val="fr-CH"/>
            </w:rPr>
            <w:t xml:space="preserve"> </w:t>
          </w:r>
          <w:proofErr w:type="gramStart"/>
          <w:r w:rsidR="00B52F2C">
            <w:rPr>
              <w:lang w:val="fr-CH"/>
            </w:rPr>
            <w:t>-</w:t>
          </w:r>
          <w:proofErr w:type="gramEnd"/>
        </w:p>
      </w:tc>
    </w:tr>
  </w:tbl>
  <w:p w14:paraId="64FC5762" w14:textId="77777777" w:rsidR="00CC0488" w:rsidRDefault="00CC0488">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41B2A7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88F4B" w14:textId="77777777" w:rsidR="00CC0488" w:rsidRDefault="00CC0488">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14:paraId="1CADF602" w14:textId="77777777" w:rsidR="00CC0488" w:rsidRDefault="00CC0488">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8C36252" w14:textId="77777777" w:rsidR="00CC0488" w:rsidRDefault="00CC048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FDB73" w14:textId="1BD79102" w:rsidR="00CC0488" w:rsidRDefault="00CC0488" w:rsidP="00CC0488">
          <w:pPr>
            <w:pStyle w:val="HeaderRegProc"/>
            <w:rPr>
              <w:lang w:val="fr-CH"/>
            </w:rPr>
          </w:pPr>
          <w:proofErr w:type="gramStart"/>
          <w:r>
            <w:rPr>
              <w:lang w:val="fr-CH"/>
            </w:rPr>
            <w:t>rév</w:t>
          </w:r>
          <w:proofErr w:type="gramEnd"/>
          <w:r>
            <w:rPr>
              <w:lang w:val="fr-CH"/>
            </w:rPr>
            <w:t>.</w:t>
          </w:r>
          <w:r w:rsidR="00BF18B4">
            <w:rPr>
              <w:lang w:val="fr-CH"/>
            </w:rPr>
            <w:t xml:space="preserve"> </w:t>
          </w:r>
          <w:proofErr w:type="gramStart"/>
          <w:r w:rsidR="00B52F2C">
            <w:t>-</w:t>
          </w:r>
          <w:proofErr w:type="gramEnd"/>
        </w:p>
      </w:tc>
    </w:tr>
  </w:tbl>
  <w:p w14:paraId="7DD7EDC4" w14:textId="77777777" w:rsidR="00CC0488" w:rsidRDefault="00CC0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0E28D0F5"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CB8BB26" w14:textId="77777777" w:rsidR="00CC0488" w:rsidRDefault="00CC0488"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65F0838F" w14:textId="77777777" w:rsidR="00CC0488" w:rsidRDefault="00CC0488"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6F3EE39" w14:textId="77777777" w:rsidR="00CC0488" w:rsidRDefault="00CC0488" w:rsidP="006D01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06E269" w14:textId="3A316D73" w:rsidR="00CC0488" w:rsidRDefault="00CC0488" w:rsidP="00CC0488">
          <w:pPr>
            <w:pStyle w:val="HeaderRegProc"/>
            <w:rPr>
              <w:lang w:val="fr-CH"/>
            </w:rPr>
          </w:pPr>
          <w:proofErr w:type="gramStart"/>
          <w:r>
            <w:rPr>
              <w:lang w:val="fr-CH"/>
            </w:rPr>
            <w:t>r</w:t>
          </w:r>
          <w:r w:rsidR="00234B56">
            <w:rPr>
              <w:lang w:val="fr-CH"/>
            </w:rPr>
            <w:t>é</w:t>
          </w:r>
          <w:r>
            <w:rPr>
              <w:lang w:val="fr-CH"/>
            </w:rPr>
            <w:t>v</w:t>
          </w:r>
          <w:proofErr w:type="gramEnd"/>
          <w:r>
            <w:rPr>
              <w:lang w:val="fr-CH"/>
            </w:rPr>
            <w:t>.</w:t>
          </w:r>
          <w:r w:rsidR="00BF18B4">
            <w:rPr>
              <w:lang w:val="fr-CH"/>
            </w:rPr>
            <w:t xml:space="preserve"> 5</w:t>
          </w:r>
        </w:p>
      </w:tc>
    </w:tr>
  </w:tbl>
  <w:p w14:paraId="4EE4EF51" w14:textId="77777777" w:rsidR="00CC0488" w:rsidRPr="006D015F" w:rsidRDefault="00CC0488" w:rsidP="006D01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364BD" w14:textId="77777777" w:rsidR="004371FE" w:rsidRDefault="0043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017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0C3B"/>
    <w:rsid w:val="00004E95"/>
    <w:rsid w:val="000109A5"/>
    <w:rsid w:val="00017EF1"/>
    <w:rsid w:val="00066AE9"/>
    <w:rsid w:val="00075F4F"/>
    <w:rsid w:val="000A5E42"/>
    <w:rsid w:val="000D1CEC"/>
    <w:rsid w:val="000E2B65"/>
    <w:rsid w:val="000F74DD"/>
    <w:rsid w:val="00141158"/>
    <w:rsid w:val="00156B3A"/>
    <w:rsid w:val="00193957"/>
    <w:rsid w:val="001B7882"/>
    <w:rsid w:val="001C3E60"/>
    <w:rsid w:val="001C3E92"/>
    <w:rsid w:val="001E1C89"/>
    <w:rsid w:val="001E29DB"/>
    <w:rsid w:val="00210C2A"/>
    <w:rsid w:val="0023244B"/>
    <w:rsid w:val="00234B56"/>
    <w:rsid w:val="002375D5"/>
    <w:rsid w:val="002422C4"/>
    <w:rsid w:val="002551C0"/>
    <w:rsid w:val="00265A2C"/>
    <w:rsid w:val="00271EAE"/>
    <w:rsid w:val="002A1754"/>
    <w:rsid w:val="002A7850"/>
    <w:rsid w:val="002D78F3"/>
    <w:rsid w:val="002F0C3F"/>
    <w:rsid w:val="00322F21"/>
    <w:rsid w:val="00333D02"/>
    <w:rsid w:val="00382083"/>
    <w:rsid w:val="003929CE"/>
    <w:rsid w:val="003C5FA2"/>
    <w:rsid w:val="003E4D53"/>
    <w:rsid w:val="003E6AAE"/>
    <w:rsid w:val="003F3477"/>
    <w:rsid w:val="004178B5"/>
    <w:rsid w:val="004371FE"/>
    <w:rsid w:val="0044236C"/>
    <w:rsid w:val="004635F7"/>
    <w:rsid w:val="004737FB"/>
    <w:rsid w:val="004A6F67"/>
    <w:rsid w:val="004C2CA4"/>
    <w:rsid w:val="004D0C3B"/>
    <w:rsid w:val="004E6E38"/>
    <w:rsid w:val="00595F8E"/>
    <w:rsid w:val="005A0B06"/>
    <w:rsid w:val="005E25DF"/>
    <w:rsid w:val="005E759D"/>
    <w:rsid w:val="00650C40"/>
    <w:rsid w:val="00675ED9"/>
    <w:rsid w:val="006C3C9C"/>
    <w:rsid w:val="006D015F"/>
    <w:rsid w:val="007156F7"/>
    <w:rsid w:val="00716ABC"/>
    <w:rsid w:val="00731290"/>
    <w:rsid w:val="00752775"/>
    <w:rsid w:val="00756A17"/>
    <w:rsid w:val="00763F56"/>
    <w:rsid w:val="007A75F4"/>
    <w:rsid w:val="007F0518"/>
    <w:rsid w:val="0080382D"/>
    <w:rsid w:val="008261C7"/>
    <w:rsid w:val="0084013A"/>
    <w:rsid w:val="008413C9"/>
    <w:rsid w:val="0085136E"/>
    <w:rsid w:val="00862274"/>
    <w:rsid w:val="00864C15"/>
    <w:rsid w:val="008E57F6"/>
    <w:rsid w:val="0091721E"/>
    <w:rsid w:val="0094565F"/>
    <w:rsid w:val="0095114B"/>
    <w:rsid w:val="009914BA"/>
    <w:rsid w:val="009A2C96"/>
    <w:rsid w:val="009A5645"/>
    <w:rsid w:val="009B6262"/>
    <w:rsid w:val="009C39CD"/>
    <w:rsid w:val="009F1535"/>
    <w:rsid w:val="009F4019"/>
    <w:rsid w:val="00A238F1"/>
    <w:rsid w:val="00A242E8"/>
    <w:rsid w:val="00A277CA"/>
    <w:rsid w:val="00A302FC"/>
    <w:rsid w:val="00A54A2C"/>
    <w:rsid w:val="00A94BC9"/>
    <w:rsid w:val="00AA472B"/>
    <w:rsid w:val="00AB62B3"/>
    <w:rsid w:val="00AF5036"/>
    <w:rsid w:val="00B407CD"/>
    <w:rsid w:val="00B52F2C"/>
    <w:rsid w:val="00B64C7A"/>
    <w:rsid w:val="00B76795"/>
    <w:rsid w:val="00BA34E4"/>
    <w:rsid w:val="00BF18B4"/>
    <w:rsid w:val="00C42E32"/>
    <w:rsid w:val="00C438E0"/>
    <w:rsid w:val="00C76D27"/>
    <w:rsid w:val="00CA64D1"/>
    <w:rsid w:val="00CC0488"/>
    <w:rsid w:val="00D102AF"/>
    <w:rsid w:val="00D143E2"/>
    <w:rsid w:val="00D474C4"/>
    <w:rsid w:val="00D6124B"/>
    <w:rsid w:val="00D90C10"/>
    <w:rsid w:val="00D972EF"/>
    <w:rsid w:val="00DB68C3"/>
    <w:rsid w:val="00DC0FA2"/>
    <w:rsid w:val="00DD4462"/>
    <w:rsid w:val="00DE3EC2"/>
    <w:rsid w:val="00DF733A"/>
    <w:rsid w:val="00E20895"/>
    <w:rsid w:val="00E457F8"/>
    <w:rsid w:val="00E8296C"/>
    <w:rsid w:val="00E87D15"/>
    <w:rsid w:val="00ED202D"/>
    <w:rsid w:val="00EE70FE"/>
    <w:rsid w:val="00EF5C7B"/>
    <w:rsid w:val="00F30C81"/>
    <w:rsid w:val="00F37CB8"/>
    <w:rsid w:val="00F628D0"/>
    <w:rsid w:val="00F70C81"/>
    <w:rsid w:val="00F85495"/>
    <w:rsid w:val="00F86378"/>
    <w:rsid w:val="00FC6E87"/>
    <w:rsid w:val="00FE607A"/>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28ABA86"/>
  <w15:docId w15:val="{F6E3F381-74AC-4E1B-8785-0E93C425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E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0D1C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0D1CEC"/>
    <w:pPr>
      <w:spacing w:before="480"/>
      <w:outlineLvl w:val="1"/>
    </w:pPr>
    <w:rPr>
      <w:sz w:val="26"/>
    </w:rPr>
  </w:style>
  <w:style w:type="paragraph" w:styleId="Heading3">
    <w:name w:val="heading 3"/>
    <w:basedOn w:val="Heading1"/>
    <w:next w:val="Normal"/>
    <w:qFormat/>
    <w:rsid w:val="000D1CEC"/>
    <w:pPr>
      <w:spacing w:before="360"/>
      <w:outlineLvl w:val="2"/>
    </w:pPr>
    <w:rPr>
      <w:sz w:val="24"/>
    </w:rPr>
  </w:style>
  <w:style w:type="paragraph" w:styleId="Heading4">
    <w:name w:val="heading 4"/>
    <w:basedOn w:val="Heading3"/>
    <w:next w:val="Normal"/>
    <w:qFormat/>
    <w:rsid w:val="000D1CEC"/>
    <w:pPr>
      <w:outlineLvl w:val="3"/>
    </w:pPr>
  </w:style>
  <w:style w:type="paragraph" w:styleId="Heading5">
    <w:name w:val="heading 5"/>
    <w:basedOn w:val="Heading3"/>
    <w:next w:val="Normal"/>
    <w:qFormat/>
    <w:rsid w:val="000D1CEC"/>
    <w:pPr>
      <w:outlineLvl w:val="4"/>
    </w:pPr>
  </w:style>
  <w:style w:type="paragraph" w:styleId="Heading6">
    <w:name w:val="heading 6"/>
    <w:basedOn w:val="Heading3"/>
    <w:next w:val="Normal"/>
    <w:qFormat/>
    <w:rsid w:val="000D1CEC"/>
    <w:pPr>
      <w:outlineLvl w:val="5"/>
    </w:pPr>
  </w:style>
  <w:style w:type="paragraph" w:styleId="Heading7">
    <w:name w:val="heading 7"/>
    <w:basedOn w:val="Heading3"/>
    <w:next w:val="Normal"/>
    <w:qFormat/>
    <w:rsid w:val="000D1CEC"/>
    <w:pPr>
      <w:outlineLvl w:val="6"/>
    </w:pPr>
  </w:style>
  <w:style w:type="paragraph" w:styleId="Heading8">
    <w:name w:val="heading 8"/>
    <w:basedOn w:val="Heading3"/>
    <w:next w:val="Normal"/>
    <w:qFormat/>
    <w:rsid w:val="000D1CE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0D1CE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0D1CEC"/>
    <w:rPr>
      <w:vertAlign w:val="superscript"/>
    </w:rPr>
  </w:style>
  <w:style w:type="paragraph" w:styleId="TOC8">
    <w:name w:val="toc 8"/>
    <w:basedOn w:val="Normal"/>
    <w:next w:val="Normal"/>
    <w:semiHidden/>
    <w:rsid w:val="000D1CEC"/>
    <w:pPr>
      <w:tabs>
        <w:tab w:val="left" w:pos="7711"/>
        <w:tab w:val="right" w:leader="dot" w:pos="9725"/>
      </w:tabs>
      <w:ind w:left="6350"/>
    </w:pPr>
  </w:style>
  <w:style w:type="paragraph" w:styleId="TOC7">
    <w:name w:val="toc 7"/>
    <w:basedOn w:val="Normal"/>
    <w:next w:val="Normal"/>
    <w:semiHidden/>
    <w:rsid w:val="000D1CEC"/>
    <w:pPr>
      <w:tabs>
        <w:tab w:val="left" w:pos="6350"/>
        <w:tab w:val="right" w:leader="dot" w:pos="9725"/>
      </w:tabs>
      <w:ind w:left="5103"/>
    </w:pPr>
  </w:style>
  <w:style w:type="paragraph" w:styleId="TOC6">
    <w:name w:val="toc 6"/>
    <w:basedOn w:val="TOC4"/>
    <w:next w:val="Normal"/>
    <w:semiHidden/>
    <w:rsid w:val="000D1CEC"/>
    <w:pPr>
      <w:ind w:left="3913"/>
    </w:pPr>
  </w:style>
  <w:style w:type="paragraph" w:styleId="TOC4">
    <w:name w:val="toc 4"/>
    <w:basedOn w:val="TOC3"/>
    <w:next w:val="Normal"/>
    <w:semiHidden/>
    <w:rsid w:val="000D1CEC"/>
    <w:pPr>
      <w:tabs>
        <w:tab w:val="clear" w:pos="2268"/>
      </w:tabs>
      <w:spacing w:before="80"/>
      <w:ind w:left="3119" w:hanging="851"/>
    </w:pPr>
  </w:style>
  <w:style w:type="paragraph" w:styleId="TOC3">
    <w:name w:val="toc 3"/>
    <w:basedOn w:val="TOC2"/>
    <w:next w:val="Normal"/>
    <w:semiHidden/>
    <w:rsid w:val="000D1CEC"/>
    <w:pPr>
      <w:tabs>
        <w:tab w:val="clear" w:pos="1985"/>
        <w:tab w:val="left" w:pos="2268"/>
      </w:tabs>
      <w:ind w:left="2268" w:hanging="2268"/>
    </w:pPr>
  </w:style>
  <w:style w:type="paragraph" w:styleId="TOC2">
    <w:name w:val="toc 2"/>
    <w:basedOn w:val="TOC1"/>
    <w:next w:val="Normal"/>
    <w:semiHidden/>
    <w:rsid w:val="000D1C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0D1C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0D1CEC"/>
    <w:pPr>
      <w:tabs>
        <w:tab w:val="clear" w:pos="2268"/>
        <w:tab w:val="left" w:pos="3062"/>
      </w:tabs>
      <w:ind w:left="3062" w:hanging="3062"/>
    </w:pPr>
  </w:style>
  <w:style w:type="paragraph" w:styleId="Index1">
    <w:name w:val="index 1"/>
    <w:basedOn w:val="Normal"/>
    <w:next w:val="Normal"/>
    <w:semiHidden/>
    <w:rsid w:val="000D1CEC"/>
  </w:style>
  <w:style w:type="paragraph" w:styleId="Footer">
    <w:name w:val="footer"/>
    <w:basedOn w:val="Normal"/>
    <w:rsid w:val="000D1CEC"/>
    <w:pPr>
      <w:tabs>
        <w:tab w:val="left" w:pos="567"/>
        <w:tab w:val="center" w:pos="3742"/>
        <w:tab w:val="right" w:pos="6974"/>
      </w:tabs>
    </w:pPr>
  </w:style>
  <w:style w:type="paragraph" w:styleId="Header">
    <w:name w:val="header"/>
    <w:basedOn w:val="Normal"/>
    <w:rsid w:val="000D1CEC"/>
    <w:pPr>
      <w:tabs>
        <w:tab w:val="clear" w:pos="1134"/>
        <w:tab w:val="clear" w:pos="1871"/>
        <w:tab w:val="clear" w:pos="2268"/>
        <w:tab w:val="center" w:pos="4320"/>
        <w:tab w:val="right" w:pos="8640"/>
      </w:tabs>
    </w:pPr>
  </w:style>
  <w:style w:type="character" w:styleId="FootnoteReference">
    <w:name w:val="footnote reference"/>
    <w:basedOn w:val="DefaultParagraphFont"/>
    <w:rsid w:val="000D1CEC"/>
    <w:rPr>
      <w:position w:val="6"/>
      <w:sz w:val="16"/>
    </w:rPr>
  </w:style>
  <w:style w:type="paragraph" w:styleId="FootnoteText">
    <w:name w:val="footnote text"/>
    <w:basedOn w:val="Normal"/>
    <w:rsid w:val="000D1CE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0D1CEC"/>
    <w:pPr>
      <w:spacing w:before="120"/>
      <w:ind w:left="1134"/>
    </w:pPr>
  </w:style>
  <w:style w:type="paragraph" w:customStyle="1" w:styleId="TableLegend">
    <w:name w:val="Table_Legend"/>
    <w:basedOn w:val="TableText"/>
    <w:next w:val="Normal"/>
    <w:rsid w:val="000D1CEC"/>
    <w:pPr>
      <w:keepNext/>
      <w:tabs>
        <w:tab w:val="left" w:pos="284"/>
        <w:tab w:val="left" w:pos="567"/>
        <w:tab w:val="left" w:pos="851"/>
        <w:tab w:val="left" w:pos="1134"/>
      </w:tabs>
      <w:spacing w:before="120" w:after="0"/>
    </w:pPr>
  </w:style>
  <w:style w:type="paragraph" w:customStyle="1" w:styleId="TableText">
    <w:name w:val="Table_Text"/>
    <w:basedOn w:val="Normal"/>
    <w:rsid w:val="000D1C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0D1CEC"/>
    <w:pPr>
      <w:spacing w:before="0"/>
    </w:pPr>
    <w:rPr>
      <w:b/>
    </w:rPr>
  </w:style>
  <w:style w:type="paragraph" w:customStyle="1" w:styleId="Table">
    <w:name w:val="Table_#"/>
    <w:basedOn w:val="Normal"/>
    <w:next w:val="TableTitle"/>
    <w:rsid w:val="000D1CE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D1CEC"/>
    <w:pPr>
      <w:tabs>
        <w:tab w:val="clear" w:pos="2268"/>
        <w:tab w:val="left" w:pos="2608"/>
        <w:tab w:val="left" w:pos="3345"/>
      </w:tabs>
      <w:spacing w:before="120"/>
      <w:ind w:left="454" w:hanging="454"/>
    </w:pPr>
  </w:style>
  <w:style w:type="paragraph" w:customStyle="1" w:styleId="enumlev2">
    <w:name w:val="enumlev2"/>
    <w:basedOn w:val="enumlev1"/>
    <w:rsid w:val="000D1CEC"/>
    <w:pPr>
      <w:tabs>
        <w:tab w:val="left" w:pos="907"/>
      </w:tabs>
      <w:ind w:left="908"/>
    </w:pPr>
  </w:style>
  <w:style w:type="paragraph" w:customStyle="1" w:styleId="enumlev3">
    <w:name w:val="enumlev3"/>
    <w:basedOn w:val="enumlev2"/>
    <w:rsid w:val="000D1CEC"/>
    <w:pPr>
      <w:tabs>
        <w:tab w:val="clear" w:pos="1134"/>
        <w:tab w:val="clear" w:pos="1871"/>
        <w:tab w:val="clear" w:pos="2608"/>
        <w:tab w:val="left" w:pos="1361"/>
      </w:tabs>
      <w:ind w:left="1361"/>
    </w:pPr>
  </w:style>
  <w:style w:type="paragraph" w:customStyle="1" w:styleId="Figure">
    <w:name w:val="Figure"/>
    <w:basedOn w:val="Normal"/>
    <w:rsid w:val="000D1CEC"/>
    <w:pPr>
      <w:keepNext/>
      <w:keepLines/>
      <w:spacing w:before="240"/>
      <w:jc w:val="center"/>
    </w:pPr>
  </w:style>
  <w:style w:type="paragraph" w:customStyle="1" w:styleId="FigureLegend">
    <w:name w:val="Figure_Legend"/>
    <w:basedOn w:val="TableLegend"/>
    <w:next w:val="Figure0"/>
    <w:rsid w:val="000D1CEC"/>
  </w:style>
  <w:style w:type="paragraph" w:customStyle="1" w:styleId="Figure0">
    <w:name w:val="Figure_#"/>
    <w:basedOn w:val="Table"/>
    <w:next w:val="FigureTitle"/>
    <w:rsid w:val="000D1CEC"/>
  </w:style>
  <w:style w:type="paragraph" w:customStyle="1" w:styleId="FigureTitle">
    <w:name w:val="Figure_Title"/>
    <w:basedOn w:val="TableTitle"/>
    <w:next w:val="Normal"/>
    <w:rsid w:val="000D1CEC"/>
    <w:pPr>
      <w:spacing w:after="720"/>
    </w:pPr>
  </w:style>
  <w:style w:type="paragraph" w:customStyle="1" w:styleId="Annex">
    <w:name w:val="Annex_#"/>
    <w:basedOn w:val="Art"/>
    <w:next w:val="AnnexRef"/>
    <w:rsid w:val="000D1CEC"/>
  </w:style>
  <w:style w:type="paragraph" w:customStyle="1" w:styleId="Art">
    <w:name w:val="Art_#"/>
    <w:basedOn w:val="Normal"/>
    <w:next w:val="Arttitle"/>
    <w:rsid w:val="000D1CEC"/>
    <w:pPr>
      <w:keepNext/>
      <w:keepLines/>
      <w:spacing w:before="720"/>
      <w:jc w:val="center"/>
    </w:pPr>
    <w:rPr>
      <w:sz w:val="28"/>
    </w:rPr>
  </w:style>
  <w:style w:type="paragraph" w:customStyle="1" w:styleId="Arttitle">
    <w:name w:val="Art_title"/>
    <w:next w:val="Normalaftertitle"/>
    <w:rsid w:val="000D1CE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0D1CEC"/>
    <w:pPr>
      <w:spacing w:before="360"/>
    </w:pPr>
  </w:style>
  <w:style w:type="paragraph" w:customStyle="1" w:styleId="AnnexRef">
    <w:name w:val="Annex_Ref"/>
    <w:basedOn w:val="Normal"/>
    <w:rsid w:val="000D1CEC"/>
    <w:pPr>
      <w:jc w:val="center"/>
    </w:pPr>
  </w:style>
  <w:style w:type="paragraph" w:customStyle="1" w:styleId="AnnexTitle">
    <w:name w:val="Annex_Title"/>
    <w:basedOn w:val="Arttitle"/>
    <w:next w:val="Normal"/>
    <w:rsid w:val="000D1CEC"/>
    <w:pPr>
      <w:spacing w:after="0"/>
    </w:pPr>
  </w:style>
  <w:style w:type="paragraph" w:customStyle="1" w:styleId="Appendix">
    <w:name w:val="Appendix_#"/>
    <w:basedOn w:val="Art"/>
    <w:next w:val="AppendixTitle"/>
    <w:rsid w:val="000D1CEC"/>
  </w:style>
  <w:style w:type="paragraph" w:customStyle="1" w:styleId="AppendixTitle">
    <w:name w:val="Appendix_Title"/>
    <w:basedOn w:val="Arttitle"/>
    <w:next w:val="Normal"/>
    <w:rsid w:val="000D1CEC"/>
  </w:style>
  <w:style w:type="paragraph" w:customStyle="1" w:styleId="headfoot">
    <w:name w:val="head_foot"/>
    <w:basedOn w:val="Normal"/>
    <w:next w:val="Normalaftertitle"/>
    <w:rsid w:val="000D1CEC"/>
    <w:pPr>
      <w:spacing w:before="0"/>
    </w:pPr>
    <w:rPr>
      <w:color w:val="0000FF"/>
      <w:sz w:val="20"/>
    </w:rPr>
  </w:style>
  <w:style w:type="paragraph" w:customStyle="1" w:styleId="AppendixRef">
    <w:name w:val="Appendix_Ref"/>
    <w:basedOn w:val="AnnexRef"/>
    <w:next w:val="AppendixTitle"/>
    <w:rsid w:val="000D1CEC"/>
  </w:style>
  <w:style w:type="paragraph" w:customStyle="1" w:styleId="RefTitle">
    <w:name w:val="Ref_Title"/>
    <w:basedOn w:val="Normal"/>
    <w:next w:val="RefText"/>
    <w:rsid w:val="000D1CEC"/>
    <w:pPr>
      <w:spacing w:before="480"/>
      <w:jc w:val="left"/>
    </w:pPr>
    <w:rPr>
      <w:b/>
    </w:rPr>
  </w:style>
  <w:style w:type="paragraph" w:customStyle="1" w:styleId="RefText">
    <w:name w:val="Ref_Text"/>
    <w:basedOn w:val="Normal"/>
    <w:rsid w:val="000D1CEC"/>
  </w:style>
  <w:style w:type="paragraph" w:customStyle="1" w:styleId="listitem">
    <w:name w:val="listitem"/>
    <w:basedOn w:val="Normal"/>
    <w:rsid w:val="000D1CEC"/>
    <w:pPr>
      <w:keepLines/>
      <w:spacing w:before="0"/>
      <w:jc w:val="left"/>
    </w:pPr>
  </w:style>
  <w:style w:type="paragraph" w:customStyle="1" w:styleId="TableRef">
    <w:name w:val="Table_Ref"/>
    <w:basedOn w:val="Normal"/>
    <w:next w:val="TableTitle"/>
    <w:rsid w:val="000D1CEC"/>
    <w:pPr>
      <w:keepNext/>
      <w:spacing w:before="567"/>
      <w:jc w:val="center"/>
    </w:pPr>
    <w:rPr>
      <w:sz w:val="18"/>
    </w:rPr>
  </w:style>
  <w:style w:type="paragraph" w:customStyle="1" w:styleId="Signcountry">
    <w:name w:val="Sign_country"/>
    <w:basedOn w:val="Normal"/>
    <w:next w:val="SignPart"/>
    <w:rsid w:val="000D1CEC"/>
    <w:pPr>
      <w:keepNext/>
      <w:keepLines/>
      <w:spacing w:before="240" w:after="57"/>
      <w:jc w:val="left"/>
    </w:pPr>
    <w:rPr>
      <w:b/>
    </w:rPr>
  </w:style>
  <w:style w:type="paragraph" w:customStyle="1" w:styleId="SignPart">
    <w:name w:val="Sign_Part"/>
    <w:basedOn w:val="Signcountry"/>
    <w:rsid w:val="000D1CEC"/>
    <w:pPr>
      <w:keepNext w:val="0"/>
      <w:keepLines w:val="0"/>
      <w:spacing w:before="0"/>
      <w:ind w:left="284"/>
    </w:pPr>
    <w:rPr>
      <w:b w:val="0"/>
      <w:smallCaps/>
    </w:rPr>
  </w:style>
  <w:style w:type="paragraph" w:customStyle="1" w:styleId="Chap">
    <w:name w:val="Chap_#"/>
    <w:basedOn w:val="Art"/>
    <w:next w:val="Chaptitle"/>
    <w:rsid w:val="000D1CEC"/>
    <w:pPr>
      <w:spacing w:before="1200"/>
    </w:pPr>
    <w:rPr>
      <w:sz w:val="32"/>
    </w:rPr>
  </w:style>
  <w:style w:type="paragraph" w:customStyle="1" w:styleId="Chaptitle">
    <w:name w:val="Chap_title"/>
    <w:basedOn w:val="Arttitle"/>
    <w:next w:val="Art"/>
    <w:rsid w:val="000D1CEC"/>
    <w:rPr>
      <w:sz w:val="32"/>
    </w:rPr>
  </w:style>
  <w:style w:type="paragraph" w:customStyle="1" w:styleId="Protfin">
    <w:name w:val="Prot_fin"/>
    <w:basedOn w:val="Normal"/>
    <w:next w:val="Normalaftertitle"/>
    <w:rsid w:val="000D1CEC"/>
    <w:pPr>
      <w:pageBreakBefore/>
      <w:spacing w:before="720" w:after="240"/>
      <w:jc w:val="center"/>
    </w:pPr>
    <w:rPr>
      <w:b/>
    </w:rPr>
  </w:style>
  <w:style w:type="paragraph" w:customStyle="1" w:styleId="Prot">
    <w:name w:val="Prot_#"/>
    <w:basedOn w:val="Normal"/>
    <w:next w:val="Protlang"/>
    <w:rsid w:val="000D1CEC"/>
    <w:pPr>
      <w:keepNext/>
      <w:spacing w:before="240"/>
      <w:jc w:val="center"/>
    </w:pPr>
  </w:style>
  <w:style w:type="paragraph" w:customStyle="1" w:styleId="Protlang">
    <w:name w:val="Prot_lang"/>
    <w:basedOn w:val="Prot"/>
    <w:next w:val="Protpays"/>
    <w:rsid w:val="000D1C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0D1CEC"/>
    <w:pPr>
      <w:framePr w:wrap="auto"/>
      <w:spacing w:before="113" w:line="199" w:lineRule="exact"/>
      <w:jc w:val="left"/>
    </w:pPr>
  </w:style>
  <w:style w:type="paragraph" w:customStyle="1" w:styleId="Prottexte">
    <w:name w:val="Prot_texte"/>
    <w:basedOn w:val="Protlang"/>
    <w:rsid w:val="000D1CEC"/>
    <w:pPr>
      <w:keepNext w:val="0"/>
      <w:keepLines w:val="0"/>
      <w:framePr w:wrap="auto"/>
      <w:spacing w:before="113" w:line="199" w:lineRule="exact"/>
      <w:jc w:val="both"/>
    </w:pPr>
    <w:rPr>
      <w:i w:val="0"/>
    </w:rPr>
  </w:style>
  <w:style w:type="paragraph" w:customStyle="1" w:styleId="Protcall">
    <w:name w:val="Prot_call"/>
    <w:basedOn w:val="Prottexte"/>
    <w:next w:val="Prottexte"/>
    <w:rsid w:val="000D1CEC"/>
    <w:pPr>
      <w:keepNext/>
      <w:keepLines/>
      <w:framePr w:wrap="auto" w:xAlign="left"/>
      <w:spacing w:before="170"/>
      <w:ind w:left="794"/>
      <w:jc w:val="left"/>
    </w:pPr>
    <w:rPr>
      <w:i/>
    </w:rPr>
  </w:style>
  <w:style w:type="paragraph" w:customStyle="1" w:styleId="Res">
    <w:name w:val="Res_#"/>
    <w:basedOn w:val="Art"/>
    <w:next w:val="Restitle"/>
    <w:rsid w:val="000D1CEC"/>
  </w:style>
  <w:style w:type="paragraph" w:customStyle="1" w:styleId="Restitle">
    <w:name w:val="Res_title"/>
    <w:basedOn w:val="Arttitle"/>
    <w:next w:val="headfoot"/>
    <w:rsid w:val="000D1CEC"/>
    <w:pPr>
      <w:spacing w:after="120"/>
    </w:pPr>
  </w:style>
  <w:style w:type="paragraph" w:customStyle="1" w:styleId="Rec">
    <w:name w:val="Rec_#"/>
    <w:basedOn w:val="Res"/>
    <w:next w:val="Rectitle"/>
    <w:rsid w:val="000D1CEC"/>
  </w:style>
  <w:style w:type="paragraph" w:customStyle="1" w:styleId="Rectitle">
    <w:name w:val="Rec_title"/>
    <w:basedOn w:val="Restitle"/>
    <w:next w:val="headfoot"/>
    <w:rsid w:val="000D1CEC"/>
  </w:style>
  <w:style w:type="paragraph" w:customStyle="1" w:styleId="Equation">
    <w:name w:val="Equation"/>
    <w:basedOn w:val="Normal"/>
    <w:rsid w:val="000D1CEC"/>
    <w:pPr>
      <w:tabs>
        <w:tab w:val="clear" w:pos="1871"/>
        <w:tab w:val="clear" w:pos="2268"/>
        <w:tab w:val="center" w:pos="4678"/>
        <w:tab w:val="right" w:pos="9356"/>
      </w:tabs>
      <w:jc w:val="left"/>
    </w:pPr>
  </w:style>
  <w:style w:type="paragraph" w:customStyle="1" w:styleId="Note">
    <w:name w:val="Note"/>
    <w:basedOn w:val="Normal"/>
    <w:rsid w:val="000D1CEC"/>
    <w:pPr>
      <w:tabs>
        <w:tab w:val="left" w:pos="284"/>
      </w:tabs>
      <w:spacing w:before="160"/>
    </w:pPr>
    <w:rPr>
      <w:sz w:val="20"/>
    </w:rPr>
  </w:style>
  <w:style w:type="paragraph" w:customStyle="1" w:styleId="Signcountry0">
    <w:name w:val="Sign country"/>
    <w:basedOn w:val="Normal"/>
    <w:next w:val="Signpart0"/>
    <w:rsid w:val="000D1CEC"/>
    <w:pPr>
      <w:keepNext/>
      <w:keepLines/>
      <w:spacing w:before="240" w:after="57"/>
      <w:jc w:val="left"/>
    </w:pPr>
    <w:rPr>
      <w:b/>
    </w:rPr>
  </w:style>
  <w:style w:type="paragraph" w:customStyle="1" w:styleId="Signpart0">
    <w:name w:val="Sign part"/>
    <w:basedOn w:val="Signcountry0"/>
    <w:rsid w:val="000D1CEC"/>
    <w:pPr>
      <w:keepNext w:val="0"/>
      <w:keepLines w:val="0"/>
      <w:spacing w:before="0"/>
      <w:ind w:left="284"/>
    </w:pPr>
    <w:rPr>
      <w:b w:val="0"/>
      <w:smallCaps/>
    </w:rPr>
  </w:style>
  <w:style w:type="paragraph" w:customStyle="1" w:styleId="Section1">
    <w:name w:val="Section_1"/>
    <w:basedOn w:val="Normal"/>
    <w:rsid w:val="000D1C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0D1CEC"/>
    <w:pPr>
      <w:pageBreakBefore/>
      <w:spacing w:before="720" w:after="240"/>
      <w:jc w:val="center"/>
    </w:pPr>
    <w:rPr>
      <w:b/>
    </w:rPr>
  </w:style>
  <w:style w:type="paragraph" w:customStyle="1" w:styleId="Prot0">
    <w:name w:val="Prot #"/>
    <w:basedOn w:val="Normal"/>
    <w:next w:val="Protlang0"/>
    <w:rsid w:val="000D1CEC"/>
    <w:pPr>
      <w:keepNext/>
      <w:spacing w:before="240"/>
      <w:jc w:val="center"/>
    </w:pPr>
  </w:style>
  <w:style w:type="paragraph" w:customStyle="1" w:styleId="Protlang0">
    <w:name w:val="Prot lang"/>
    <w:basedOn w:val="Prot0"/>
    <w:next w:val="Protpays0"/>
    <w:rsid w:val="000D1C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0D1CEC"/>
    <w:pPr>
      <w:framePr w:wrap="auto"/>
      <w:spacing w:before="113" w:line="199" w:lineRule="exact"/>
      <w:jc w:val="left"/>
    </w:pPr>
  </w:style>
  <w:style w:type="paragraph" w:customStyle="1" w:styleId="Prottexte0">
    <w:name w:val="Prot texte"/>
    <w:basedOn w:val="Protlang0"/>
    <w:rsid w:val="000D1CEC"/>
    <w:pPr>
      <w:keepNext w:val="0"/>
      <w:keepLines w:val="0"/>
      <w:framePr w:wrap="auto"/>
      <w:spacing w:before="113" w:line="199" w:lineRule="exact"/>
      <w:jc w:val="both"/>
    </w:pPr>
    <w:rPr>
      <w:i w:val="0"/>
    </w:rPr>
  </w:style>
  <w:style w:type="paragraph" w:customStyle="1" w:styleId="Protcall0">
    <w:name w:val="Prot call"/>
    <w:basedOn w:val="Prottexte0"/>
    <w:next w:val="Prottexte0"/>
    <w:rsid w:val="000D1CEC"/>
    <w:pPr>
      <w:keepNext/>
      <w:keepLines/>
      <w:framePr w:wrap="auto" w:xAlign="left"/>
      <w:spacing w:before="170"/>
      <w:ind w:left="794"/>
      <w:jc w:val="left"/>
    </w:pPr>
    <w:rPr>
      <w:i/>
    </w:rPr>
  </w:style>
  <w:style w:type="character" w:styleId="PageNumber">
    <w:name w:val="page number"/>
    <w:basedOn w:val="DefaultParagraphFont"/>
    <w:rsid w:val="000D1CEC"/>
  </w:style>
  <w:style w:type="paragraph" w:customStyle="1" w:styleId="TableFin">
    <w:name w:val="Table_Fin"/>
    <w:basedOn w:val="Normal"/>
    <w:rsid w:val="000D1CEC"/>
    <w:pPr>
      <w:tabs>
        <w:tab w:val="clear" w:pos="1134"/>
      </w:tabs>
      <w:spacing w:before="0"/>
    </w:pPr>
    <w:rPr>
      <w:sz w:val="12"/>
    </w:rPr>
  </w:style>
  <w:style w:type="paragraph" w:customStyle="1" w:styleId="MEP">
    <w:name w:val="MEP"/>
    <w:basedOn w:val="Normal"/>
    <w:rsid w:val="000D1CEC"/>
  </w:style>
  <w:style w:type="paragraph" w:customStyle="1" w:styleId="head">
    <w:name w:val="head"/>
    <w:basedOn w:val="headfoot"/>
    <w:rsid w:val="000D1CEC"/>
  </w:style>
  <w:style w:type="paragraph" w:customStyle="1" w:styleId="foot">
    <w:name w:val="foot"/>
    <w:basedOn w:val="headfoot"/>
    <w:rsid w:val="000D1CEC"/>
  </w:style>
  <w:style w:type="character" w:customStyle="1" w:styleId="href">
    <w:name w:val="href"/>
    <w:basedOn w:val="DefaultParagraphFont"/>
    <w:rsid w:val="000D1CEC"/>
  </w:style>
  <w:style w:type="paragraph" w:customStyle="1" w:styleId="Section2">
    <w:name w:val="Section_2"/>
    <w:basedOn w:val="Section1"/>
    <w:rsid w:val="000D1CEC"/>
    <w:pPr>
      <w:jc w:val="left"/>
    </w:pPr>
    <w:rPr>
      <w:b w:val="0"/>
      <w:i/>
    </w:rPr>
  </w:style>
  <w:style w:type="paragraph" w:customStyle="1" w:styleId="Section3">
    <w:name w:val="Section_3"/>
    <w:basedOn w:val="Section1"/>
    <w:rsid w:val="000D1CEC"/>
    <w:rPr>
      <w:b w:val="0"/>
    </w:rPr>
  </w:style>
  <w:style w:type="paragraph" w:customStyle="1" w:styleId="EquationLegend">
    <w:name w:val="Equation_Legend"/>
    <w:basedOn w:val="NormalIndent"/>
    <w:rsid w:val="000D1CEC"/>
  </w:style>
  <w:style w:type="paragraph" w:customStyle="1" w:styleId="Call">
    <w:name w:val="Call"/>
    <w:basedOn w:val="Normal"/>
    <w:next w:val="Normal"/>
    <w:rsid w:val="000D1CEC"/>
    <w:pPr>
      <w:tabs>
        <w:tab w:val="clear" w:pos="1871"/>
        <w:tab w:val="clear" w:pos="2268"/>
      </w:tabs>
      <w:spacing w:before="360"/>
      <w:ind w:left="1134"/>
    </w:pPr>
    <w:rPr>
      <w:i/>
    </w:rPr>
  </w:style>
  <w:style w:type="paragraph" w:customStyle="1" w:styleId="Headingb">
    <w:name w:val="Heading b"/>
    <w:basedOn w:val="Heading3"/>
    <w:rsid w:val="000D1CEC"/>
    <w:pPr>
      <w:spacing w:before="400"/>
      <w:ind w:left="0" w:firstLine="0"/>
      <w:outlineLvl w:val="9"/>
    </w:pPr>
  </w:style>
  <w:style w:type="paragraph" w:customStyle="1" w:styleId="TableHead">
    <w:name w:val="Table_Head"/>
    <w:basedOn w:val="TableText"/>
    <w:next w:val="TableText"/>
    <w:rsid w:val="000D1CEC"/>
    <w:pPr>
      <w:spacing w:before="80" w:after="80"/>
      <w:jc w:val="center"/>
    </w:pPr>
    <w:rPr>
      <w:b/>
    </w:rPr>
  </w:style>
  <w:style w:type="paragraph" w:customStyle="1" w:styleId="Line">
    <w:name w:val="Line"/>
    <w:basedOn w:val="Normal"/>
    <w:next w:val="Normal"/>
    <w:rsid w:val="000D1CE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0D1CEC"/>
    <w:rPr>
      <w:b w:val="0"/>
      <w:i/>
    </w:rPr>
  </w:style>
  <w:style w:type="paragraph" w:styleId="TableofFigures">
    <w:name w:val="table of figures"/>
    <w:basedOn w:val="Normal"/>
    <w:next w:val="Normal"/>
    <w:semiHidden/>
    <w:rsid w:val="000D1CE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0D1CE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0D1CEC"/>
    <w:rPr>
      <w:sz w:val="16"/>
    </w:rPr>
  </w:style>
  <w:style w:type="paragraph" w:styleId="CommentText">
    <w:name w:val="annotation text"/>
    <w:basedOn w:val="Normal"/>
    <w:semiHidden/>
    <w:rsid w:val="000D1CEC"/>
    <w:rPr>
      <w:sz w:val="20"/>
      <w:lang w:val="fr-FR"/>
    </w:rPr>
  </w:style>
  <w:style w:type="paragraph" w:customStyle="1" w:styleId="Tabletext0">
    <w:name w:val="Table_text"/>
    <w:basedOn w:val="Normal"/>
    <w:link w:val="TabletextChar"/>
    <w:rsid w:val="000D1CE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0D1CE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0D1CEC"/>
    <w:pPr>
      <w:keepNext/>
      <w:spacing w:before="80" w:after="80"/>
      <w:jc w:val="center"/>
    </w:pPr>
    <w:rPr>
      <w:b/>
    </w:rPr>
  </w:style>
  <w:style w:type="character" w:customStyle="1" w:styleId="Artrefdef">
    <w:name w:val="Art_ref_def"/>
    <w:basedOn w:val="DefaultParagraphFont"/>
    <w:rsid w:val="000D1CEC"/>
  </w:style>
  <w:style w:type="character" w:customStyle="1" w:styleId="Apprefdef">
    <w:name w:val="App_ref_def"/>
    <w:basedOn w:val="DefaultParagraphFont"/>
    <w:rsid w:val="000D1CEC"/>
  </w:style>
  <w:style w:type="character" w:customStyle="1" w:styleId="Resrefdef">
    <w:name w:val="Res_ref_def"/>
    <w:basedOn w:val="DefaultParagraphFont"/>
    <w:rsid w:val="000D1CEC"/>
  </w:style>
  <w:style w:type="paragraph" w:customStyle="1" w:styleId="HeaderRegProc">
    <w:name w:val="Header_RegProc"/>
    <w:basedOn w:val="Normal"/>
    <w:rsid w:val="000D1CE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0D1CEC"/>
    <w:pPr>
      <w:tabs>
        <w:tab w:val="clear" w:pos="907"/>
        <w:tab w:val="left" w:pos="1814"/>
      </w:tabs>
      <w:spacing w:before="80"/>
      <w:ind w:left="1815"/>
    </w:pPr>
    <w:rPr>
      <w:lang w:val="fr-CH"/>
    </w:rPr>
  </w:style>
  <w:style w:type="character" w:customStyle="1" w:styleId="href2">
    <w:name w:val="href2"/>
    <w:basedOn w:val="href"/>
    <w:rsid w:val="000D1CEC"/>
  </w:style>
  <w:style w:type="character" w:customStyle="1" w:styleId="Style1">
    <w:name w:val="Style1"/>
    <w:basedOn w:val="DefaultParagraphFont"/>
    <w:rsid w:val="000D1CEC"/>
  </w:style>
  <w:style w:type="character" w:customStyle="1" w:styleId="Appdef">
    <w:name w:val="App_def"/>
    <w:basedOn w:val="DefaultParagraphFont"/>
    <w:rsid w:val="000D1CEC"/>
    <w:rPr>
      <w:b/>
      <w:color w:val="FFCC00"/>
    </w:rPr>
  </w:style>
  <w:style w:type="character" w:customStyle="1" w:styleId="Appref">
    <w:name w:val="App_ref"/>
    <w:basedOn w:val="DefaultParagraphFont"/>
    <w:rsid w:val="000D1CEC"/>
    <w:rPr>
      <w:color w:val="3366FF"/>
    </w:rPr>
  </w:style>
  <w:style w:type="character" w:customStyle="1" w:styleId="Artdef">
    <w:name w:val="Art_def"/>
    <w:basedOn w:val="DefaultParagraphFont"/>
    <w:rsid w:val="000D1CEC"/>
    <w:rPr>
      <w:b/>
      <w:color w:val="FFCC00"/>
    </w:rPr>
  </w:style>
  <w:style w:type="character" w:customStyle="1" w:styleId="Artref">
    <w:name w:val="Art_ref"/>
    <w:basedOn w:val="DefaultParagraphFont"/>
    <w:rsid w:val="000D1CEC"/>
    <w:rPr>
      <w:color w:val="3366FF"/>
    </w:rPr>
  </w:style>
  <w:style w:type="character" w:customStyle="1" w:styleId="Recdef">
    <w:name w:val="Rec_def"/>
    <w:basedOn w:val="DefaultParagraphFont"/>
    <w:rsid w:val="000D1CEC"/>
    <w:rPr>
      <w:b/>
      <w:color w:val="FFCC00"/>
    </w:rPr>
  </w:style>
  <w:style w:type="character" w:customStyle="1" w:styleId="Recref">
    <w:name w:val="Rec_ref"/>
    <w:basedOn w:val="DefaultParagraphFont"/>
    <w:rsid w:val="000D1CEC"/>
    <w:rPr>
      <w:color w:val="3366FF"/>
    </w:rPr>
  </w:style>
  <w:style w:type="character" w:customStyle="1" w:styleId="Resdef">
    <w:name w:val="Res_def"/>
    <w:basedOn w:val="DefaultParagraphFont"/>
    <w:rsid w:val="000D1CEC"/>
    <w:rPr>
      <w:b/>
      <w:color w:val="FFCC00"/>
    </w:rPr>
  </w:style>
  <w:style w:type="character" w:customStyle="1" w:styleId="Resref">
    <w:name w:val="Res_ref"/>
    <w:basedOn w:val="DefaultParagraphFont"/>
    <w:rsid w:val="000D1CEC"/>
    <w:rPr>
      <w:color w:val="3366FF"/>
    </w:rPr>
  </w:style>
  <w:style w:type="character" w:customStyle="1" w:styleId="Tableref0">
    <w:name w:val="Table_ref"/>
    <w:basedOn w:val="DefaultParagraphFont"/>
    <w:rsid w:val="000D1CEC"/>
    <w:rPr>
      <w:color w:val="3366FF"/>
    </w:rPr>
  </w:style>
  <w:style w:type="character" w:customStyle="1" w:styleId="Appref0">
    <w:name w:val="App#_ref"/>
    <w:basedOn w:val="DefaultParagraphFont"/>
    <w:rsid w:val="000D1CEC"/>
  </w:style>
  <w:style w:type="character" w:customStyle="1" w:styleId="Artref0">
    <w:name w:val="Art#_ref"/>
    <w:basedOn w:val="DefaultParagraphFont"/>
    <w:rsid w:val="000D1CEC"/>
  </w:style>
  <w:style w:type="character" w:customStyle="1" w:styleId="Resref0">
    <w:name w:val="Res#_ref"/>
    <w:basedOn w:val="DefaultParagraphFont"/>
    <w:rsid w:val="000D1CEC"/>
  </w:style>
  <w:style w:type="character" w:customStyle="1" w:styleId="artdef0">
    <w:name w:val="artdef"/>
    <w:basedOn w:val="DefaultParagraphFont"/>
    <w:rsid w:val="000D1CEC"/>
    <w:rPr>
      <w:rFonts w:ascii="Times New Roman" w:hAnsi="Times New Roman" w:cs="Times New Roman" w:hint="default"/>
      <w:b/>
      <w:bCs/>
    </w:rPr>
  </w:style>
  <w:style w:type="paragraph" w:customStyle="1" w:styleId="Equationlegend0">
    <w:name w:val="Equation_legend"/>
    <w:basedOn w:val="Normal"/>
    <w:rsid w:val="00A302FC"/>
    <w:pPr>
      <w:tabs>
        <w:tab w:val="clear" w:pos="1134"/>
        <w:tab w:val="clear" w:pos="1871"/>
        <w:tab w:val="clear" w:pos="2268"/>
        <w:tab w:val="right" w:pos="1814"/>
        <w:tab w:val="left" w:pos="1985"/>
      </w:tabs>
      <w:spacing w:before="80"/>
      <w:ind w:left="1985" w:hanging="1985"/>
      <w:jc w:val="left"/>
    </w:pPr>
    <w:rPr>
      <w:lang w:val="fr-FR"/>
    </w:rPr>
  </w:style>
  <w:style w:type="character" w:customStyle="1" w:styleId="enumlev1Char">
    <w:name w:val="enumlev1 Char"/>
    <w:basedOn w:val="DefaultParagraphFont"/>
    <w:link w:val="enumlev1"/>
    <w:rsid w:val="00017EF1"/>
    <w:rPr>
      <w:sz w:val="24"/>
      <w:lang w:val="en-GB" w:eastAsia="en-US"/>
    </w:rPr>
  </w:style>
  <w:style w:type="paragraph" w:customStyle="1" w:styleId="AnnexNoTitle">
    <w:name w:val="Annex_NoTitle"/>
    <w:basedOn w:val="Normal"/>
    <w:next w:val="Normal"/>
    <w:rsid w:val="00017EF1"/>
    <w:pPr>
      <w:keepNext/>
      <w:keepLines/>
      <w:tabs>
        <w:tab w:val="clear" w:pos="1134"/>
        <w:tab w:val="clear" w:pos="1871"/>
        <w:tab w:val="clear" w:pos="2268"/>
        <w:tab w:val="left" w:pos="794"/>
        <w:tab w:val="left" w:pos="1191"/>
        <w:tab w:val="left" w:pos="1588"/>
        <w:tab w:val="left" w:pos="1985"/>
      </w:tabs>
      <w:spacing w:before="720" w:after="120" w:line="280" w:lineRule="exact"/>
      <w:jc w:val="center"/>
      <w:textAlignment w:val="auto"/>
    </w:pPr>
    <w:rPr>
      <w:rFonts w:ascii="Calibri" w:hAnsi="Calibri" w:cs="Calibri"/>
      <w:b/>
      <w:szCs w:val="22"/>
      <w:lang w:val="en-US"/>
    </w:rPr>
  </w:style>
  <w:style w:type="character" w:customStyle="1" w:styleId="TabletextChar">
    <w:name w:val="Table_text Char"/>
    <w:basedOn w:val="DefaultParagraphFont"/>
    <w:link w:val="Tabletext0"/>
    <w:locked/>
    <w:rsid w:val="00A94BC9"/>
    <w:rPr>
      <w:sz w:val="22"/>
      <w:lang w:val="fr-FR" w:eastAsia="en-US"/>
    </w:rPr>
  </w:style>
  <w:style w:type="table" w:styleId="TableGrid">
    <w:name w:val="Table Grid"/>
    <w:basedOn w:val="TableNormal"/>
    <w:rsid w:val="00A94BC9"/>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134</TotalTime>
  <Pages>16</Pages>
  <Words>5668</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37907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A10 / GE06 du RR</dc:subject>
  <dc:creator>Composition des Publications</dc:creator>
  <cp:keywords>FOLIOS:  1  -  8</cp:keywords>
  <dc:description>Edition 2009:  10.03.2009/DD (dict. ok)</dc:description>
  <cp:lastModifiedBy>Saez Grau, Ricardo</cp:lastModifiedBy>
  <cp:revision>82</cp:revision>
  <cp:lastPrinted>2024-12-04T07:26:00Z</cp:lastPrinted>
  <dcterms:created xsi:type="dcterms:W3CDTF">2012-08-08T15:58:00Z</dcterms:created>
  <dcterms:modified xsi:type="dcterms:W3CDTF">2024-12-04T07:30:00Z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